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ind w:left="188" w:right="158"/>
        <w:jc w:val="both"/>
      </w:pPr>
      <w:r>
        <w:rPr/>
        <w:t>Ata da quinquagésima quarta reunião ordinária do Comitê de Investimentos do Instituto de Previdência e</w:t>
      </w:r>
      <w:r>
        <w:rPr>
          <w:spacing w:val="-6"/>
        </w:rPr>
        <w:t> </w:t>
      </w:r>
      <w:r>
        <w:rPr/>
        <w:t>Assistência Social do Servidor Público do Município de Petrópolis – INPAS. Aos quinze dias do mês de maio do ano de dois mil e dezessete, às dez horas e quarenta minutos, no Auditório do Instituto de Previdência e Assistência Social do Servidor Público do Município de Petrópolis, reuniram-se os seguintes membros do Comitê de Investimentos deste Regime Próprio de Previdência Social: a) Diretor Financeiro do INPAS, senhor Robson Carneiro da Cruz; b) Chefe da Divisão de Contabilidade, senhora Lucimar da Glória Gomes, Presidente eleita deste Comitê c) Gestora Previdenciária, senhora Adriana Catarina da Costa, Secretária eleita deste Comitê; d) Gestora de Investimentos, senhora Michele Schiffler Forster; e) Chefe da Divisão de Tesouraria, senhora Claudia Miranda do Nascimento; f) Gestora Previdenciária, senhora Carla Cristina Correia Maduro Vogas Tavares. Registra-se a ausência do Sr. Fernando Leite Fortes, por reunião neste Instituto. Com esta composição iniciou-se a referida reunião para atendimento à pauta do dia, que teve a seguinte ordem: 1-análise do cenário macroeconômico, bem como as expectativas de mercado; 2-avaliação dos investimentos que compõem o patrimônio dos diversos segmentos de aplicação; 3-análise do fluxo de caixa, considerando as obrigações previdenciárias e administrativas para o mês em curso; 4-proposições de investimentos/desinvestimentos; 5-assuntos gerais.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Presidente do</w:t>
      </w:r>
      <w:r>
        <w:rPr>
          <w:spacing w:val="-2"/>
        </w:rPr>
        <w:t> </w:t>
      </w:r>
      <w:r>
        <w:rPr/>
        <w:t>Comitê iniciou a reunião agradecendo a presença de todos. Em seguida, perguntou se havia alguma retificação a ser feita na ata da quinquagésima terceira reunião, que fora enviada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e-mail. Como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houve,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referida ata foi</w:t>
      </w:r>
      <w:r>
        <w:rPr>
          <w:spacing w:val="-2"/>
        </w:rPr>
        <w:t> </w:t>
      </w:r>
      <w:r>
        <w:rPr/>
        <w:t>aprovada. Passando para</w:t>
      </w:r>
      <w:r>
        <w:rPr>
          <w:spacing w:val="-1"/>
        </w:rPr>
        <w:t> </w:t>
      </w:r>
      <w:r>
        <w:rPr/>
        <w:t>os primeiro e segundo pontos de pauta, a Gestora de Investimentos Sra. Michele Schiffler Forster, comentou que a aprovação da reforma da previdência ocasionou uma valorização nesta última semana nos investimentos. Com relação à taxa de juros básicos, por unanimidade, em sua última reunião em 12/04/17, o Copom reduziu a taxa selic em 1,00%; agora em 11,25%, sendo a próxima reunião em 31/05/17.</w:t>
      </w:r>
      <w:r>
        <w:rPr>
          <w:spacing w:val="-5"/>
        </w:rPr>
        <w:t> </w:t>
      </w:r>
      <w:r>
        <w:rPr/>
        <w:t>Após, apresentou a rentabilidade mensal dos índices. No mês de abril, o IRFM1 apresentou valorização de 0,8736%; o IRFM-1+, de 0,4131%; o IRFM, de 0,5347%; o IMA</w:t>
      </w:r>
      <w:r>
        <w:rPr>
          <w:spacing w:val="40"/>
        </w:rPr>
        <w:t> </w:t>
      </w:r>
      <w:r>
        <w:rPr/>
        <w:t>B5, de 0,7098%. O IMA</w:t>
      </w:r>
      <w:r>
        <w:rPr>
          <w:spacing w:val="-7"/>
        </w:rPr>
        <w:t> </w:t>
      </w:r>
      <w:r>
        <w:rPr/>
        <w:t>B5+ foi o único, dentre os comumente pesquisados por participarem da estratégia de investimentos em renda fixa deste Instituto, que apresentou variação negativa, fechando abril em -0,8155%. O acumulado do ano registrou as seguintes rentabilidade: Ibovespa: 8,59; IMA</w:t>
      </w:r>
      <w:r>
        <w:rPr>
          <w:spacing w:val="-5"/>
        </w:rPr>
        <w:t> </w:t>
      </w:r>
      <w:r>
        <w:rPr/>
        <w:t>B5+: 7,46%;</w:t>
      </w:r>
      <w:r>
        <w:rPr>
          <w:spacing w:val="3"/>
        </w:rPr>
        <w:t> </w:t>
      </w:r>
      <w:r>
        <w:rPr/>
        <w:t>IRFM-1+:</w:t>
      </w:r>
      <w:r>
        <w:rPr>
          <w:spacing w:val="3"/>
        </w:rPr>
        <w:t> </w:t>
      </w:r>
      <w:r>
        <w:rPr/>
        <w:t>7,25%;</w:t>
      </w:r>
      <w:r>
        <w:rPr>
          <w:spacing w:val="3"/>
        </w:rPr>
        <w:t> </w:t>
      </w:r>
      <w:r>
        <w:rPr/>
        <w:t>IMA</w:t>
      </w:r>
      <w:r>
        <w:rPr>
          <w:spacing w:val="-9"/>
        </w:rPr>
        <w:t> </w:t>
      </w:r>
      <w:r>
        <w:rPr/>
        <w:t>B:</w:t>
      </w:r>
      <w:r>
        <w:rPr>
          <w:spacing w:val="3"/>
        </w:rPr>
        <w:t> </w:t>
      </w:r>
      <w:r>
        <w:rPr/>
        <w:t>6,55%;</w:t>
      </w:r>
      <w:r>
        <w:rPr>
          <w:spacing w:val="3"/>
        </w:rPr>
        <w:t> </w:t>
      </w:r>
      <w:r>
        <w:rPr/>
        <w:t>IRFM:</w:t>
      </w:r>
      <w:r>
        <w:rPr>
          <w:spacing w:val="3"/>
        </w:rPr>
        <w:t> </w:t>
      </w:r>
      <w:r>
        <w:rPr/>
        <w:t>6,48%;</w:t>
      </w:r>
      <w:r>
        <w:rPr>
          <w:spacing w:val="3"/>
        </w:rPr>
        <w:t> </w:t>
      </w:r>
      <w:r>
        <w:rPr/>
        <w:t>IMA</w:t>
      </w:r>
      <w:r>
        <w:rPr>
          <w:spacing w:val="-11"/>
        </w:rPr>
        <w:t> </w:t>
      </w:r>
      <w:r>
        <w:rPr/>
        <w:t>Geral:</w:t>
      </w:r>
      <w:r>
        <w:rPr>
          <w:spacing w:val="1"/>
        </w:rPr>
        <w:t> </w:t>
      </w:r>
      <w:r>
        <w:rPr/>
        <w:t>5,68%;</w:t>
      </w:r>
      <w:r>
        <w:rPr>
          <w:spacing w:val="4"/>
        </w:rPr>
        <w:t> </w:t>
      </w:r>
      <w:r>
        <w:rPr>
          <w:spacing w:val="-5"/>
        </w:rPr>
        <w:t>IMA</w:t>
      </w:r>
    </w:p>
    <w:p>
      <w:pPr>
        <w:pStyle w:val="BodyText"/>
        <w:ind w:left="188" w:right="177"/>
        <w:jc w:val="both"/>
      </w:pPr>
      <w:r>
        <w:rPr/>
        <w:t>B5:</w:t>
      </w:r>
      <w:r>
        <w:rPr>
          <w:spacing w:val="-6"/>
        </w:rPr>
        <w:t> </w:t>
      </w:r>
      <w:r>
        <w:rPr/>
        <w:t>4,83;</w:t>
      </w:r>
      <w:r>
        <w:rPr>
          <w:spacing w:val="-6"/>
        </w:rPr>
        <w:t> </w:t>
      </w:r>
      <w:r>
        <w:rPr/>
        <w:t>IRFM-1:</w:t>
      </w:r>
      <w:r>
        <w:rPr>
          <w:spacing w:val="-4"/>
        </w:rPr>
        <w:t> </w:t>
      </w:r>
      <w:r>
        <w:rPr/>
        <w:t>4,36;</w:t>
      </w:r>
      <w:r>
        <w:rPr>
          <w:spacing w:val="-4"/>
        </w:rPr>
        <w:t> </w:t>
      </w:r>
      <w:r>
        <w:rPr/>
        <w:t>DI:</w:t>
      </w:r>
      <w:r>
        <w:rPr>
          <w:spacing w:val="-4"/>
        </w:rPr>
        <w:t> </w:t>
      </w:r>
      <w:r>
        <w:rPr/>
        <w:t>3,84.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Câmbio,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Dólar</w:t>
      </w:r>
      <w:r>
        <w:rPr>
          <w:spacing w:val="-4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teve</w:t>
      </w:r>
      <w:r>
        <w:rPr>
          <w:spacing w:val="-3"/>
        </w:rPr>
        <w:t> </w:t>
      </w:r>
      <w:r>
        <w:rPr/>
        <w:t>valorização de</w:t>
      </w:r>
      <w:r>
        <w:rPr>
          <w:spacing w:val="53"/>
        </w:rPr>
        <w:t> </w:t>
      </w:r>
      <w:r>
        <w:rPr/>
        <w:t>1,41%</w:t>
      </w:r>
      <w:r>
        <w:rPr>
          <w:spacing w:val="53"/>
        </w:rPr>
        <w:t> </w:t>
      </w:r>
      <w:r>
        <w:rPr/>
        <w:t>fechando</w:t>
      </w:r>
      <w:r>
        <w:rPr>
          <w:spacing w:val="54"/>
        </w:rPr>
        <w:t> </w:t>
      </w:r>
      <w:r>
        <w:rPr/>
        <w:t>abril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R$3,17.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IBOVESPA</w:t>
      </w:r>
      <w:r>
        <w:rPr>
          <w:spacing w:val="42"/>
        </w:rPr>
        <w:t> </w:t>
      </w:r>
      <w:r>
        <w:rPr/>
        <w:t>fechou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/>
        <w:t>mês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abril</w:t>
      </w:r>
      <w:r>
        <w:rPr>
          <w:spacing w:val="55"/>
        </w:rPr>
        <w:t> </w:t>
      </w:r>
      <w:r>
        <w:rPr>
          <w:spacing w:val="-5"/>
        </w:rPr>
        <w:t>aos</w:t>
      </w:r>
    </w:p>
    <w:p>
      <w:pPr>
        <w:pStyle w:val="BodyText"/>
        <w:ind w:left="188"/>
      </w:pPr>
      <w:r>
        <w:rPr/>
        <w:t>65.403</w:t>
      </w:r>
      <w:r>
        <w:rPr>
          <w:spacing w:val="33"/>
        </w:rPr>
        <w:t> </w:t>
      </w:r>
      <w:r>
        <w:rPr/>
        <w:t>pontos,</w:t>
      </w:r>
      <w:r>
        <w:rPr>
          <w:spacing w:val="34"/>
        </w:rPr>
        <w:t> </w:t>
      </w:r>
      <w:r>
        <w:rPr/>
        <w:t>com</w:t>
      </w:r>
      <w:r>
        <w:rPr>
          <w:spacing w:val="33"/>
        </w:rPr>
        <w:t> </w:t>
      </w:r>
      <w:r>
        <w:rPr/>
        <w:t>uma</w:t>
      </w:r>
      <w:r>
        <w:rPr>
          <w:spacing w:val="34"/>
        </w:rPr>
        <w:t> </w:t>
      </w:r>
      <w:r>
        <w:rPr/>
        <w:t>valorização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0,64%,</w:t>
      </w:r>
      <w:r>
        <w:rPr>
          <w:spacing w:val="34"/>
        </w:rPr>
        <w:t> </w:t>
      </w:r>
      <w:r>
        <w:rPr/>
        <w:t>conforme</w:t>
      </w:r>
      <w:r>
        <w:rPr>
          <w:spacing w:val="36"/>
        </w:rPr>
        <w:t> </w:t>
      </w:r>
      <w:r>
        <w:rPr/>
        <w:t>veiculado</w:t>
      </w:r>
      <w:r>
        <w:rPr>
          <w:spacing w:val="33"/>
        </w:rPr>
        <w:t> </w:t>
      </w:r>
      <w:r>
        <w:rPr/>
        <w:t>pelo</w:t>
      </w:r>
      <w:r>
        <w:rPr>
          <w:spacing w:val="33"/>
        </w:rPr>
        <w:t> </w:t>
      </w:r>
      <w:r>
        <w:rPr/>
        <w:t>jornal Valor</w:t>
      </w:r>
      <w:r>
        <w:rPr>
          <w:spacing w:val="-8"/>
        </w:rPr>
        <w:t> </w:t>
      </w:r>
      <w:r>
        <w:rPr/>
        <w:t>Econômico.</w:t>
      </w:r>
      <w:r>
        <w:rPr>
          <w:spacing w:val="-17"/>
        </w:rPr>
        <w:t> </w:t>
      </w:r>
      <w:r>
        <w:rPr/>
        <w:t>Após,</w:t>
      </w:r>
      <w:r>
        <w:rPr>
          <w:spacing w:val="-5"/>
        </w:rPr>
        <w:t> </w:t>
      </w:r>
      <w:r>
        <w:rPr/>
        <w:t>fez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breve</w:t>
      </w:r>
      <w:r>
        <w:rPr>
          <w:spacing w:val="-5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Relatório</w:t>
      </w:r>
      <w:r>
        <w:rPr>
          <w:spacing w:val="-6"/>
        </w:rPr>
        <w:t> </w:t>
      </w:r>
      <w:r>
        <w:rPr/>
        <w:t>Focus,</w:t>
      </w:r>
      <w:r>
        <w:rPr>
          <w:spacing w:val="-5"/>
        </w:rPr>
        <w:t> </w:t>
      </w:r>
      <w:r>
        <w:rPr/>
        <w:t>ressaltando</w:t>
      </w:r>
      <w:r>
        <w:rPr>
          <w:spacing w:val="-6"/>
        </w:rPr>
        <w:t> </w:t>
      </w:r>
      <w:r>
        <w:rPr>
          <w:spacing w:val="-5"/>
        </w:rPr>
        <w:t>que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952" w:footer="1554" w:top="1880" w:bottom="1740" w:left="1800" w:right="144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ind w:left="188" w:right="166"/>
        <w:jc w:val="both"/>
      </w:pPr>
      <w:r>
        <w:rPr/>
        <w:t>a</w:t>
      </w:r>
      <w:r>
        <w:rPr>
          <w:spacing w:val="-4"/>
        </w:rPr>
        <w:t> </w:t>
      </w:r>
      <w:r>
        <w:rPr/>
        <w:t>expectativa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bookmarkStart w:name="Instituto de Previdência e Assistência S" w:id="1"/>
      <w:bookmarkEnd w:id="1"/>
      <w:r>
        <w:rPr/>
        <w:t>m</w:t>
      </w:r>
      <w:r>
        <w:rPr/>
        <w:t>ercado</w:t>
      </w:r>
      <w:r>
        <w:rPr>
          <w:spacing w:val="-3"/>
        </w:rPr>
        <w:t> </w:t>
      </w:r>
      <w:r>
        <w:rPr/>
        <w:t>financeiro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mantém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queda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IPCA,</w:t>
      </w:r>
      <w:r>
        <w:rPr>
          <w:spacing w:val="-2"/>
        </w:rPr>
        <w:t> </w:t>
      </w:r>
      <w:r>
        <w:rPr/>
        <w:t>que em quatro semanas estava em 4,09, em uma semana em 4,03 e em cinco de maio, em 4,01 para fechamento em 2017. A taxa Selic, há quatro semanas, estável em 8,50 e o PIB ainda com leve crescimento, de 0,47. Com relação às movimentações de abril para o INPAS, o saldo anterior foi de R$630.735,63; as aplicações somaram R$400.00,00 e os regates ocorreram no montante de R$245.000,00. Assim, o saldo de fechamento do mês foi de R$793.234,63, graças ao retorno financeiro de R$7.499,00 que representa percentualmente, 0,8480. O atingimento da meta atuarial no mês foi de 135,14%, e o acumulado no ano é de 137,05%. O IPCA</w:t>
      </w:r>
      <w:r>
        <w:rPr>
          <w:spacing w:val="-16"/>
        </w:rPr>
        <w:t> </w:t>
      </w:r>
      <w:r>
        <w:rPr/>
        <w:t>de abril ficou em 0,14%, 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acumulado no</w:t>
      </w:r>
      <w:r>
        <w:rPr>
          <w:spacing w:val="-2"/>
        </w:rPr>
        <w:t> </w:t>
      </w:r>
      <w:r>
        <w:rPr/>
        <w:t>ano em 1,1%. Já</w:t>
      </w:r>
      <w:r>
        <w:rPr>
          <w:spacing w:val="-1"/>
        </w:rPr>
        <w:t> </w:t>
      </w:r>
      <w:r>
        <w:rPr/>
        <w:t>o INPC de abril registrou 0,08% e o acumulando no ano, até o momento, é de 1,06%. A recomendação da consultoria contratada – Di</w:t>
      </w:r>
      <w:r>
        <w:rPr>
          <w:spacing w:val="-1"/>
        </w:rPr>
        <w:t> </w:t>
      </w:r>
      <w:r>
        <w:rPr/>
        <w:t>Blasi, é a de posicionar a carteira em Títulos Públicos Federais, IRFM e IMA-B.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Gestora de Investimentos comentou que</w:t>
      </w:r>
      <w:r>
        <w:rPr>
          <w:spacing w:val="-1"/>
        </w:rPr>
        <w:t> </w:t>
      </w:r>
      <w:r>
        <w:rPr/>
        <w:t>verificou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recomendação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consultoria</w:t>
      </w:r>
      <w:r>
        <w:rPr>
          <w:spacing w:val="-1"/>
        </w:rPr>
        <w:t> </w:t>
      </w:r>
      <w:r>
        <w:rPr/>
        <w:t>Crédido&amp;Mercado,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 a mesma apresenta o mesmo posicionamento. Com relação ao FASSE, o saldo inicial de abril foi de R$292.235,98, os resgates somaram R$1.000,00 e os rendimentos foram de R$2.224,26, fechando o mês com um saldo de R$293.460,24. Terminados tais pontos, passou-se ao terceiro ponto de pauta. Em resumo, o mês de maio iniciou com R467.812,61. Os repasses somaram, até o momento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reunião,</w:t>
      </w:r>
      <w:r>
        <w:rPr>
          <w:spacing w:val="-3"/>
        </w:rPr>
        <w:t> </w:t>
      </w:r>
      <w:r>
        <w:rPr/>
        <w:t>R$3.548.401,48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pagamentos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realizados até o final do mês, incluindo a previsão para a folha de pagamento de aposentados e pensionistas, somam R$13.576.082,60. Assim, até o presente momento, apresenta-se um déficit financeiro de R$9.959.868,51 para maio. O Diretor Financeiro,</w:t>
      </w:r>
      <w:r>
        <w:rPr>
          <w:spacing w:val="-4"/>
        </w:rPr>
        <w:t> </w:t>
      </w:r>
      <w:r>
        <w:rPr/>
        <w:t>sr.</w:t>
      </w:r>
      <w:r>
        <w:rPr>
          <w:spacing w:val="-6"/>
        </w:rPr>
        <w:t> </w:t>
      </w:r>
      <w:r>
        <w:rPr/>
        <w:t>Robson,</w:t>
      </w:r>
      <w:r>
        <w:rPr>
          <w:spacing w:val="-4"/>
        </w:rPr>
        <w:t> </w:t>
      </w:r>
      <w:r>
        <w:rPr/>
        <w:t>disse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realizados</w:t>
      </w:r>
      <w:r>
        <w:rPr>
          <w:spacing w:val="-4"/>
        </w:rPr>
        <w:t> </w:t>
      </w:r>
      <w:r>
        <w:rPr/>
        <w:t>aportes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tal</w:t>
      </w:r>
      <w:r>
        <w:rPr>
          <w:spacing w:val="-7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seja sanada, como vem ocorrendo todos os meses. Com relação ao quarto item de pauta, a sr. Lucimar perguntou aos membros se havia alguma proposição de investimentos ou desinvestimentos; não houve qualquer manifestação, e desta forma se manterá em maio os benchmarks aprovados anteriormente. Nos assuntos gerais, a Presidente comentou a solicitação feita por esta Secretária, fora da</w:t>
      </w:r>
      <w:r>
        <w:rPr>
          <w:spacing w:val="40"/>
        </w:rPr>
        <w:t> </w:t>
      </w:r>
      <w:r>
        <w:rPr/>
        <w:t>reunião e para que fosse lá deliberada, de retirada desta posição por problemas de saúde.</w:t>
      </w:r>
      <w:r>
        <w:rPr>
          <w:spacing w:val="-7"/>
        </w:rPr>
        <w:t> </w:t>
      </w:r>
      <w:r>
        <w:rPr/>
        <w:t>Assim, estimando pronto reestabelecimento à mesma, convidou a servidora Carla C. C. M. Vogas Tavares para assumir tal posição. A</w:t>
      </w:r>
      <w:r>
        <w:rPr>
          <w:spacing w:val="-2"/>
        </w:rPr>
        <w:t> </w:t>
      </w:r>
      <w:r>
        <w:rPr/>
        <w:t>servidora aceitou. Esta Secretária agradeceu esse novo período para o qual foi eleita.</w:t>
      </w:r>
      <w:r>
        <w:rPr>
          <w:spacing w:val="-5"/>
        </w:rPr>
        <w:t> </w:t>
      </w:r>
      <w:r>
        <w:rPr/>
        <w:t>Após, a sr. Lucimar pediu ao sr. Robson que marque, graças a sua proximidade laboral com o Diretor- Presidente, uma reunião dela com ele, a fim de seja realizada, quando necessário, uma adaptação da reunião deste Comitê com a agenda dele, facilitando assim sua presença nas mesmas. Nada a mais havendo a tratar, a sra. Presidente encerrou a reunião</w:t>
      </w:r>
      <w:r>
        <w:rPr>
          <w:spacing w:val="-1"/>
        </w:rPr>
        <w:t> </w:t>
      </w:r>
      <w:r>
        <w:rPr/>
        <w:t>às</w:t>
      </w:r>
      <w:r>
        <w:rPr>
          <w:spacing w:val="2"/>
        </w:rPr>
        <w:t> </w:t>
      </w:r>
      <w:r>
        <w:rPr/>
        <w:t>11</w:t>
      </w:r>
      <w:r>
        <w:rPr>
          <w:spacing w:val="-1"/>
        </w:rPr>
        <w:t> </w:t>
      </w:r>
      <w:r>
        <w:rPr/>
        <w:t>horas e</w:t>
      </w:r>
      <w:r>
        <w:rPr>
          <w:spacing w:val="2"/>
        </w:rPr>
        <w:t> </w:t>
      </w:r>
      <w:r>
        <w:rPr/>
        <w:t>55</w:t>
      </w:r>
      <w:r>
        <w:rPr>
          <w:spacing w:val="-1"/>
        </w:rPr>
        <w:t> </w:t>
      </w:r>
      <w:r>
        <w:rPr/>
        <w:t>minutos, e a presente</w:t>
      </w:r>
      <w:r>
        <w:rPr>
          <w:spacing w:val="-13"/>
        </w:rPr>
        <w:t> </w:t>
      </w:r>
      <w:r>
        <w:rPr/>
        <w:t>Ata</w:t>
      </w:r>
      <w:r>
        <w:rPr>
          <w:spacing w:val="2"/>
        </w:rPr>
        <w:t> </w:t>
      </w:r>
      <w:r>
        <w:rPr/>
        <w:t>segue</w:t>
      </w:r>
      <w:r>
        <w:rPr>
          <w:spacing w:val="2"/>
        </w:rPr>
        <w:t> </w:t>
      </w:r>
      <w:r>
        <w:rPr/>
        <w:t>lavrada</w:t>
      </w:r>
      <w:r>
        <w:rPr>
          <w:spacing w:val="2"/>
        </w:rPr>
        <w:t> </w:t>
      </w:r>
      <w:r>
        <w:rPr/>
        <w:t>por mim,</w:t>
      </w:r>
      <w:r>
        <w:rPr>
          <w:spacing w:val="-11"/>
        </w:rPr>
        <w:t> </w:t>
      </w:r>
      <w:r>
        <w:rPr>
          <w:spacing w:val="-2"/>
        </w:rPr>
        <w:t>Adriana</w:t>
      </w:r>
    </w:p>
    <w:p>
      <w:pPr>
        <w:pStyle w:val="BodyText"/>
        <w:spacing w:after="0"/>
        <w:jc w:val="both"/>
        <w:sectPr>
          <w:pgSz w:w="12240" w:h="15840"/>
          <w:pgMar w:header="952" w:footer="1554" w:top="1880" w:bottom="1760" w:left="1800" w:right="1440"/>
        </w:sectPr>
      </w:pPr>
    </w:p>
    <w:p>
      <w:pPr>
        <w:pStyle w:val="BodyText"/>
        <w:spacing w:before="155"/>
      </w:pPr>
    </w:p>
    <w:p>
      <w:pPr>
        <w:pStyle w:val="BodyText"/>
        <w:ind w:left="188"/>
      </w:pPr>
      <w:r>
        <w:rPr/>
        <w:t>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submeterei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554" w:top="1880" w:bottom="1760" w:left="1800" w:right="1440"/>
        </w:sectPr>
      </w:pPr>
    </w:p>
    <w:p>
      <w:pPr>
        <w:pStyle w:val="BodyText"/>
        <w:spacing w:before="89"/>
        <w:ind w:left="410" w:right="38" w:firstLine="614"/>
      </w:pPr>
      <w:r>
        <w:rPr/>
        <w:t>Lucimar Glória Gomes Chefe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Divisão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Contabilidade</w:t>
      </w:r>
    </w:p>
    <w:p>
      <w:pPr>
        <w:pStyle w:val="BodyText"/>
        <w:ind w:left="1688"/>
      </w:pPr>
      <w:r>
        <w:rPr>
          <w:spacing w:val="-2"/>
        </w:rPr>
        <w:t>Presidente</w:t>
      </w:r>
    </w:p>
    <w:p>
      <w:pPr>
        <w:pStyle w:val="BodyText"/>
        <w:spacing w:before="89"/>
        <w:ind w:left="410" w:right="631"/>
        <w:jc w:val="center"/>
      </w:pPr>
      <w:r>
        <w:rPr/>
        <w:br w:type="column"/>
      </w:r>
      <w:r>
        <w:rPr/>
        <w:t>Adrina</w:t>
      </w:r>
      <w:r>
        <w:rPr>
          <w:spacing w:val="-13"/>
        </w:rPr>
        <w:t> </w:t>
      </w:r>
      <w:r>
        <w:rPr/>
        <w:t>Catarina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Costa Gestora Previdenciária </w:t>
      </w:r>
      <w:r>
        <w:rPr>
          <w:spacing w:val="-2"/>
        </w:rPr>
        <w:t>Secretária</w:t>
      </w:r>
    </w:p>
    <w:p>
      <w:pPr>
        <w:pStyle w:val="BodyText"/>
        <w:spacing w:after="0"/>
        <w:jc w:val="center"/>
        <w:sectPr>
          <w:type w:val="continuous"/>
          <w:pgSz w:w="12240" w:h="15840"/>
          <w:pgMar w:header="952" w:footer="1554" w:top="1880" w:bottom="1740" w:left="1800" w:right="1440"/>
          <w:cols w:num="2" w:equalWidth="0">
            <w:col w:w="4083" w:space="1241"/>
            <w:col w:w="3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554" w:top="1880" w:bottom="1740" w:left="1800" w:right="1440"/>
        </w:sectPr>
      </w:pPr>
    </w:p>
    <w:p>
      <w:pPr>
        <w:pStyle w:val="BodyText"/>
        <w:spacing w:before="89"/>
        <w:ind w:left="1266" w:right="38" w:hanging="331"/>
      </w:pPr>
      <w:r>
        <w:rPr/>
        <w:t>Robson</w:t>
      </w:r>
      <w:r>
        <w:rPr>
          <w:spacing w:val="-15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Cruz Diretor Financeiro</w:t>
      </w:r>
    </w:p>
    <w:p>
      <w:pPr>
        <w:pStyle w:val="BodyText"/>
        <w:spacing w:before="89"/>
        <w:ind w:left="953" w:right="629" w:hanging="18"/>
      </w:pPr>
      <w:r>
        <w:rPr/>
        <w:br w:type="column"/>
      </w:r>
      <w:r>
        <w:rPr/>
        <w:t>Michele Schifller Forster Gestora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Investimentos</w:t>
      </w:r>
    </w:p>
    <w:p>
      <w:pPr>
        <w:pStyle w:val="BodyText"/>
        <w:spacing w:after="0"/>
        <w:sectPr>
          <w:type w:val="continuous"/>
          <w:pgSz w:w="12240" w:h="15840"/>
          <w:pgMar w:header="952" w:footer="1554" w:top="1880" w:bottom="1740" w:left="1800" w:right="1440"/>
          <w:cols w:num="2" w:equalWidth="0">
            <w:col w:w="3623" w:space="1153"/>
            <w:col w:w="42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554" w:top="1880" w:bottom="1740" w:left="1800" w:right="1440"/>
        </w:sectPr>
      </w:pPr>
    </w:p>
    <w:p>
      <w:pPr>
        <w:pStyle w:val="BodyText"/>
        <w:spacing w:before="90"/>
        <w:ind w:left="561" w:right="38" w:hanging="26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3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 Divisão de Tesouraria</w:t>
      </w:r>
    </w:p>
    <w:p>
      <w:pPr>
        <w:pStyle w:val="BodyText"/>
        <w:spacing w:before="90"/>
        <w:ind w:left="1247" w:right="50" w:hanging="712"/>
      </w:pPr>
      <w:r>
        <w:rPr/>
        <w:br w:type="column"/>
      </w:r>
      <w:r>
        <w:rPr/>
        <w:t>Carla</w:t>
      </w:r>
      <w:r>
        <w:rPr>
          <w:spacing w:val="-17"/>
        </w:rPr>
        <w:t> </w:t>
      </w:r>
      <w:r>
        <w:rPr/>
        <w:t>Cristina</w:t>
      </w:r>
      <w:r>
        <w:rPr>
          <w:spacing w:val="-16"/>
        </w:rPr>
        <w:t> </w:t>
      </w:r>
      <w:r>
        <w:rPr/>
        <w:t>Correia</w:t>
      </w:r>
      <w:r>
        <w:rPr>
          <w:spacing w:val="-16"/>
        </w:rPr>
        <w:t> </w:t>
      </w:r>
      <w:r>
        <w:rPr/>
        <w:t>M.</w:t>
      </w:r>
      <w:r>
        <w:rPr>
          <w:spacing w:val="-16"/>
        </w:rPr>
        <w:t> </w:t>
      </w:r>
      <w:r>
        <w:rPr/>
        <w:t>V.</w:t>
      </w:r>
      <w:r>
        <w:rPr>
          <w:spacing w:val="-17"/>
        </w:rPr>
        <w:t> </w:t>
      </w:r>
      <w:r>
        <w:rPr/>
        <w:t>Tavares Gestora Previdenciária</w:t>
      </w:r>
    </w:p>
    <w:sectPr>
      <w:type w:val="continuous"/>
      <w:pgSz w:w="12240" w:h="15840"/>
      <w:pgMar w:header="952" w:footer="1554" w:top="1880" w:bottom="1740" w:left="1800" w:right="1440"/>
      <w:cols w:num="2" w:equalWidth="0">
        <w:col w:w="3959" w:space="657"/>
        <w:col w:w="43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1652270</wp:posOffset>
              </wp:positionH>
              <wp:positionV relativeFrom="page">
                <wp:posOffset>8925150</wp:posOffset>
              </wp:positionV>
              <wp:extent cx="336486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486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5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2.767761pt;width:264.95pt;height:31.2pt;mso-position-horizontal-relative:page;mso-position-vertical-relative:page;z-index:-1576755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5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1109980</wp:posOffset>
          </wp:positionH>
          <wp:positionV relativeFrom="page">
            <wp:posOffset>604519</wp:posOffset>
          </wp:positionV>
          <wp:extent cx="1336040" cy="5016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0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2179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2179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4pt;height:29.25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2025-05-16T19:01:13Z</dcterms:created>
  <dcterms:modified xsi:type="dcterms:W3CDTF">2025-05-16T19:01:13Z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