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4931410"/>
                <wp:effectExtent l="0" t="0" r="0" b="253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4931410"/>
                          <a:chExt cx="5488940" cy="49314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492442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341,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09/06/1952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46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TORNANDO EXTENSIVO AOS EXTRANUMERÁRIOS MENSALISTAS E CONTRATADOS A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APOSENTADORIA CONCEDIDA AOS FUNCIONÁRIOS.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PROMULGO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341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JUNHO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1952: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1º </w:t>
                              </w:r>
                              <w:r>
                                <w:rPr>
                                  <w:sz w:val="17"/>
                                </w:rPr>
                                <w:t>Fica estendido aos extranumerários mensalistas e contratados o disposto no Título II - Direitos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Vantagens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XI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Aposentadoria,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Decreto-Lei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Estadual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624,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28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 outubro de 1942 (Estatuto dos Funcionários Públicos Civis dos Municípios).</w:t>
                              </w:r>
                            </w:p>
                            <w:p>
                              <w:pPr>
                                <w:spacing w:before="188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Revogam-se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331,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fs.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71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verso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 nº 2, do registro das - Deliberações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sancionadas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Afonso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Campos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557" w:right="531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Oficial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secretaria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27-2-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953 Proj nº 34/52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88.3pt;mso-position-horizontal-relative:char;mso-position-vertical-relative:line" id="docshapegroup3" coordorigin="0,0" coordsize="8644,7766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755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341,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09/06/1952</w:t>
                        </w:r>
                      </w:p>
                      <w:p>
                        <w:pPr>
                          <w:spacing w:line="235" w:lineRule="auto" w:before="1"/>
                          <w:ind w:left="46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TORNANDO EXTENSIVO AOS EXTRANUMERÁRIOS MENSALISTAS E CONTRATADOS A </w:t>
                        </w:r>
                        <w:r>
                          <w:rPr>
                            <w:b/>
                            <w:sz w:val="17"/>
                          </w:rPr>
                          <w:t>APOSENTADORIA CONCEDIDA AOS FUNCIONÁRIOS.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PROMULGO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341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9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JUNHO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1952: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1º </w:t>
                        </w:r>
                        <w:r>
                          <w:rPr>
                            <w:sz w:val="17"/>
                          </w:rPr>
                          <w:t>Fica estendido aos extranumerários mensalistas e contratados o disposto no Título II - Direitos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Vantagens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Capítulo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XI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Aposentadoria,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Decreto-Lei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Estadual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624,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28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 outubro de 1942 (Estatuto dos Funcionários Públicos Civis dos Municípios).</w:t>
                        </w:r>
                      </w:p>
                      <w:p>
                        <w:pPr>
                          <w:spacing w:before="188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Revogam-se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331,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fs.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71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verso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 nº 2, do registro das - Deliberações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sancionadas</w:t>
                        </w:r>
                      </w:p>
                      <w:p>
                        <w:pPr>
                          <w:spacing w:line="189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Afonso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Campos</w:t>
                        </w:r>
                      </w:p>
                      <w:p>
                        <w:pPr>
                          <w:spacing w:line="235" w:lineRule="auto" w:before="1"/>
                          <w:ind w:left="557" w:right="531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Oficial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secretaria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27-2-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953 Proj nº 34/52</w:t>
                        </w:r>
                      </w:p>
                      <w:p>
                        <w:pPr>
                          <w:spacing w:line="192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1979167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39996pt;margin-top:821.867249pt;width:117.65pt;height:13.2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3765229</wp:posOffset>
              </wp:positionH>
              <wp:positionV relativeFrom="page">
                <wp:posOffset>10437714</wp:posOffset>
              </wp:positionV>
              <wp:extent cx="1812289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22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74762pt;margin-top:821.867249pt;width:142.7pt;height:13.2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1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2025-05-20T19:02:14Z</dcterms:created>
  <dcterms:modified xsi:type="dcterms:W3CDTF">2025-05-20T19:02:14Z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