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5"/>
      </w:pPr>
    </w:p>
    <w:p>
      <w:pPr>
        <w:pStyle w:val="BodyText"/>
        <w:spacing w:line="276" w:lineRule="auto"/>
        <w:ind w:left="188" w:right="14"/>
        <w:jc w:val="both"/>
      </w:pPr>
      <w:r>
        <w:rPr/>
        <w:t>Ata da décima sétima reunião extraordinária do Comitê de Investimentos do Instituto</w:t>
      </w:r>
      <w:r>
        <w:rPr>
          <w:spacing w:val="40"/>
        </w:rPr>
        <w:t> </w:t>
      </w:r>
      <w:r>
        <w:rPr/>
        <w:t>de Previdência e Assistência Social do Servidor Público do Município de Petrópolis – INPAS. Aos sete dias do mês de outubro do ano de dois mil e dezessete, às dez horas e quinze minutos, no Auditório do Instituto de Previdência e Assistência Social do Servidor Público do Município de Petrópolis, reuniram-se os seguintes membros do Comitê de Investimentos deste Regime Próprio de Previdência Social: a)- Diretor Financeiro do INPAS, senhor Robson Carneiro da Cruz; b)- Chefe da Divisão de Contabilidade, senhora Lucimar da Glória Gomes, Presidente eleita deste Comitê; c) Gestora Previdenciária, senhora Carla Cristina Correia Maduro Vogas Tavares, secretária deste Comitê; d) Gestora de Investimentos, senhora Michele Schiffler</w:t>
      </w:r>
      <w:r>
        <w:rPr>
          <w:spacing w:val="40"/>
        </w:rPr>
        <w:t> </w:t>
      </w:r>
      <w:r>
        <w:rPr/>
        <w:t>Forster;</w:t>
      </w:r>
      <w:r>
        <w:rPr>
          <w:spacing w:val="-2"/>
        </w:rPr>
        <w:t> </w:t>
      </w:r>
      <w:r>
        <w:rPr/>
        <w:t>e)</w:t>
      </w:r>
      <w:r>
        <w:rPr>
          <w:spacing w:val="-3"/>
        </w:rPr>
        <w:t> </w:t>
      </w:r>
      <w:r>
        <w:rPr/>
        <w:t>Chefe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Divisão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Tesouraria,</w:t>
      </w:r>
      <w:r>
        <w:rPr>
          <w:spacing w:val="-1"/>
        </w:rPr>
        <w:t> </w:t>
      </w:r>
      <w:r>
        <w:rPr/>
        <w:t>senhora</w:t>
      </w:r>
      <w:r>
        <w:rPr>
          <w:spacing w:val="-3"/>
        </w:rPr>
        <w:t> </w:t>
      </w:r>
      <w:r>
        <w:rPr/>
        <w:t>Claudia</w:t>
      </w:r>
      <w:r>
        <w:rPr>
          <w:spacing w:val="-1"/>
        </w:rPr>
        <w:t> </w:t>
      </w:r>
      <w:r>
        <w:rPr/>
        <w:t>Miranda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Nascimento;</w:t>
      </w:r>
      <w:r>
        <w:rPr>
          <w:spacing w:val="-2"/>
        </w:rPr>
        <w:t> </w:t>
      </w:r>
      <w:r>
        <w:rPr/>
        <w:t>f) Gestora Previdenciária, senhora Adriana Catarina da Costa. Registra-se a ausência do Diretor-Presidente, Sr. Fernando Leite Fortes. Com esta composição iniciou-se a referida reunião extraordinária para atendimento à pauta do dia, que teve a seguinte ordem: 1)- leitura da ata da última reunião ordinária do Comitê de Investimentos; 2)- análise da nova minuta da Política de Investimentos, de acordo com a Resolução do Conselho Monetário Nacional – CMN nº 4.604, de 19 de outubro de 2017, publicada em 20 de outubro de 2017; 3)- Assuntos Gerais. A Presidente do Comitê iniciou a reunião</w:t>
      </w:r>
      <w:r>
        <w:rPr>
          <w:spacing w:val="-1"/>
        </w:rPr>
        <w:t> </w:t>
      </w:r>
      <w:r>
        <w:rPr/>
        <w:t>agradecendo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presença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todos.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que se</w:t>
      </w:r>
      <w:r>
        <w:rPr>
          <w:spacing w:val="-2"/>
        </w:rPr>
        <w:t> </w:t>
      </w:r>
      <w:r>
        <w:rPr/>
        <w:t>refere à</w:t>
      </w:r>
      <w:r>
        <w:rPr>
          <w:spacing w:val="-2"/>
        </w:rPr>
        <w:t> </w:t>
      </w:r>
      <w:r>
        <w:rPr/>
        <w:t>ata da 59ª</w:t>
      </w:r>
      <w:r>
        <w:rPr>
          <w:spacing w:val="-3"/>
        </w:rPr>
        <w:t> </w:t>
      </w:r>
      <w:r>
        <w:rPr/>
        <w:t>reunião, enviada por e-mail para todos os membros do Comitê e lida nesta reunião, não houve retificações, tendo sido integralmente aprovada. Passando para o segundo ponto de pauta,</w:t>
      </w:r>
      <w:r>
        <w:rPr>
          <w:spacing w:val="-1"/>
        </w:rPr>
        <w:t> </w:t>
      </w:r>
      <w:r>
        <w:rPr/>
        <w:t>o Comitê decidiu,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unanimidade,</w:t>
      </w:r>
      <w:r>
        <w:rPr>
          <w:spacing w:val="-1"/>
        </w:rPr>
        <w:t> </w:t>
      </w:r>
      <w:r>
        <w:rPr/>
        <w:t>que não poderá votar</w:t>
      </w:r>
      <w:r>
        <w:rPr>
          <w:spacing w:val="-2"/>
        </w:rPr>
        <w:t> </w:t>
      </w:r>
      <w:r>
        <w:rPr/>
        <w:t>hoje a</w:t>
      </w:r>
      <w:r>
        <w:rPr>
          <w:spacing w:val="-1"/>
        </w:rPr>
        <w:t> </w:t>
      </w:r>
      <w:r>
        <w:rPr/>
        <w:t>nova Política</w:t>
      </w:r>
      <w:r>
        <w:rPr>
          <w:spacing w:val="-1"/>
        </w:rPr>
        <w:t> </w:t>
      </w:r>
      <w:r>
        <w:rPr/>
        <w:t>de Investimentos em razão de a Consultoria Di Blasi ainda não ter enviado o Resumo do Demonstrativo da referida Política de Investimentos para 2018, o qual, segundo a aludida</w:t>
      </w:r>
      <w:r>
        <w:rPr>
          <w:spacing w:val="-3"/>
        </w:rPr>
        <w:t> </w:t>
      </w:r>
      <w:r>
        <w:rPr/>
        <w:t>consultoria,</w:t>
      </w:r>
      <w:r>
        <w:rPr>
          <w:spacing w:val="-3"/>
        </w:rPr>
        <w:t> </w:t>
      </w:r>
      <w:r>
        <w:rPr/>
        <w:t>ainda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dependendo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informações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Previdência Social. Foi também solicitada a presença do consultor Di Blasi no próximo dia 17 de novembro para que possamos tirar algumas dúvidas existentes sobre a nova legislação, qual seja, a Resolução nº 4604/2017. Em assuntos gerais, a Presidente do Comitê informou que a assinatura do Jornal Valor Econômico, de interesse do Comitê de Investimentos, será encerrada no dia 14 de dezembro. Ela então indagou se todos concordavam em renovar a assinatura somente a partir de 01 de janeiro, já com o novo orçamento aprovado. Tal proposta foi aceita por todos os presentes. Quanto à</w:t>
      </w:r>
      <w:r>
        <w:rPr>
          <w:spacing w:val="40"/>
        </w:rPr>
        <w:t> </w:t>
      </w:r>
      <w:r>
        <w:rPr/>
        <w:t>tramitação dos processos de credenciamento das instituições financeiras junto ao INPAS,</w:t>
      </w:r>
      <w:r>
        <w:rPr>
          <w:spacing w:val="17"/>
        </w:rPr>
        <w:t> </w:t>
      </w:r>
      <w:r>
        <w:rPr/>
        <w:t>a gestora Carla informou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participou da reunião da</w:t>
      </w:r>
      <w:r>
        <w:rPr>
          <w:spacing w:val="17"/>
        </w:rPr>
        <w:t> </w:t>
      </w:r>
      <w:r>
        <w:rPr/>
        <w:t>comissão de</w:t>
      </w:r>
      <w:r>
        <w:rPr>
          <w:spacing w:val="17"/>
        </w:rPr>
        <w:t> </w:t>
      </w:r>
      <w:r>
        <w:rPr/>
        <w:t>workflow</w:t>
      </w:r>
    </w:p>
    <w:p>
      <w:pPr>
        <w:pStyle w:val="BodyText"/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952" w:footer="1481" w:top="1880" w:bottom="1680" w:left="1800" w:right="1080"/>
          <w:pgNumType w:start="1"/>
        </w:sectPr>
      </w:pPr>
    </w:p>
    <w:p>
      <w:pPr>
        <w:pStyle w:val="BodyText"/>
        <w:spacing w:before="155"/>
      </w:pPr>
    </w:p>
    <w:p>
      <w:pPr>
        <w:pStyle w:val="BodyText"/>
        <w:spacing w:line="276" w:lineRule="auto"/>
        <w:ind w:left="188" w:right="26"/>
        <w:jc w:val="both"/>
      </w:pPr>
      <w:r>
        <w:rPr/>
        <w:t>juntamente com </w:t>
      </w:r>
      <w:bookmarkStart w:name="Instituto de Previdência e Assistência S" w:id="1"/>
      <w:bookmarkEnd w:id="1"/>
      <w:r>
        <w:rPr/>
        <w:t>a</w:t>
      </w:r>
      <w:r>
        <w:rPr/>
        <w:t> gestora Adriana e que, em virtude do surgimento de algumas</w:t>
      </w:r>
      <w:r>
        <w:rPr>
          <w:spacing w:val="40"/>
        </w:rPr>
        <w:t> </w:t>
      </w:r>
      <w:r>
        <w:rPr/>
        <w:t>dúvidas, essa tramitação será revista por elas e, sendo possível, uma nova minuta já</w:t>
      </w:r>
      <w:r>
        <w:rPr>
          <w:spacing w:val="40"/>
        </w:rPr>
        <w:t> </w:t>
      </w:r>
      <w:r>
        <w:rPr/>
        <w:t>será apresentada na próxima reunião do Comitê. Sem mais, a Presidente encerrou a reunião às 11:00 horas A presente Ata segue lavrada por mim, Carla Maduro Vogas Tavares, Secretária deste Comitê, que a submeterei à aprovação dos demais membros e devidamente colherei suas assinaturas.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pgSz w:w="12240" w:h="15840"/>
          <w:pgMar w:header="952" w:footer="1481" w:top="1880" w:bottom="1680" w:left="1800" w:right="1080"/>
        </w:sectPr>
      </w:pPr>
    </w:p>
    <w:p>
      <w:pPr>
        <w:spacing w:line="276" w:lineRule="auto" w:before="90"/>
        <w:ind w:left="574" w:right="38" w:firstLine="566"/>
        <w:jc w:val="left"/>
        <w:rPr>
          <w:sz w:val="24"/>
        </w:rPr>
      </w:pPr>
      <w:r>
        <w:rPr>
          <w:sz w:val="24"/>
        </w:rPr>
        <w:t>Lucimar Glória Gomes Chefe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Divisão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Contabilidade</w:t>
      </w:r>
    </w:p>
    <w:p>
      <w:pPr>
        <w:spacing w:line="275" w:lineRule="exact" w:before="0"/>
        <w:ind w:left="1752" w:right="0" w:firstLine="0"/>
        <w:jc w:val="left"/>
        <w:rPr>
          <w:sz w:val="24"/>
        </w:rPr>
      </w:pPr>
      <w:r>
        <w:rPr>
          <w:spacing w:val="-2"/>
          <w:sz w:val="24"/>
        </w:rPr>
        <w:t>Presidente</w:t>
      </w:r>
    </w:p>
    <w:p>
      <w:pPr>
        <w:spacing w:line="276" w:lineRule="auto" w:before="90"/>
        <w:ind w:left="240" w:right="202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Carla</w:t>
      </w:r>
      <w:r>
        <w:rPr>
          <w:spacing w:val="-8"/>
          <w:sz w:val="24"/>
        </w:rPr>
        <w:t> </w:t>
      </w:r>
      <w:r>
        <w:rPr>
          <w:sz w:val="24"/>
        </w:rPr>
        <w:t>Cristina</w:t>
      </w:r>
      <w:r>
        <w:rPr>
          <w:spacing w:val="-9"/>
          <w:sz w:val="24"/>
        </w:rPr>
        <w:t> </w:t>
      </w:r>
      <w:r>
        <w:rPr>
          <w:sz w:val="24"/>
        </w:rPr>
        <w:t>Correia</w:t>
      </w:r>
      <w:r>
        <w:rPr>
          <w:spacing w:val="-8"/>
          <w:sz w:val="24"/>
        </w:rPr>
        <w:t> </w:t>
      </w:r>
      <w:r>
        <w:rPr>
          <w:sz w:val="24"/>
        </w:rPr>
        <w:t>M.</w:t>
      </w:r>
      <w:r>
        <w:rPr>
          <w:spacing w:val="-9"/>
          <w:sz w:val="24"/>
        </w:rPr>
        <w:t> </w:t>
      </w:r>
      <w:r>
        <w:rPr>
          <w:sz w:val="24"/>
        </w:rPr>
        <w:t>V.</w:t>
      </w:r>
      <w:r>
        <w:rPr>
          <w:spacing w:val="-9"/>
          <w:sz w:val="24"/>
        </w:rPr>
        <w:t> </w:t>
      </w:r>
      <w:r>
        <w:rPr>
          <w:sz w:val="24"/>
        </w:rPr>
        <w:t>Tavares Gestora Previdenciária</w:t>
      </w:r>
    </w:p>
    <w:p>
      <w:pPr>
        <w:spacing w:line="275" w:lineRule="exact" w:before="0"/>
        <w:ind w:left="240" w:right="258" w:firstLine="0"/>
        <w:jc w:val="center"/>
        <w:rPr>
          <w:sz w:val="24"/>
        </w:rPr>
      </w:pPr>
      <w:r>
        <w:rPr>
          <w:spacing w:val="-2"/>
          <w:sz w:val="24"/>
        </w:rPr>
        <w:t>Secretária</w:t>
      </w:r>
    </w:p>
    <w:p>
      <w:pPr>
        <w:spacing w:after="0" w:line="275" w:lineRule="exact"/>
        <w:jc w:val="center"/>
        <w:rPr>
          <w:sz w:val="24"/>
        </w:rPr>
        <w:sectPr>
          <w:type w:val="continuous"/>
          <w:pgSz w:w="12240" w:h="15840"/>
          <w:pgMar w:header="952" w:footer="1481" w:top="1880" w:bottom="1680" w:left="1800" w:right="1080"/>
          <w:cols w:num="2" w:equalWidth="0">
            <w:col w:w="3968" w:space="720"/>
            <w:col w:w="4672"/>
          </w:cols>
        </w:sectPr>
      </w:pPr>
    </w:p>
    <w:p>
      <w:pPr>
        <w:pStyle w:val="BodyText"/>
        <w:spacing w:before="10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952" w:footer="1481" w:top="1880" w:bottom="1680" w:left="1800" w:right="1080"/>
        </w:sectPr>
      </w:pPr>
    </w:p>
    <w:p>
      <w:pPr>
        <w:spacing w:line="276" w:lineRule="auto" w:before="89"/>
        <w:ind w:left="1362" w:right="38" w:hanging="302"/>
        <w:jc w:val="left"/>
        <w:rPr>
          <w:sz w:val="24"/>
        </w:rPr>
      </w:pPr>
      <w:r>
        <w:rPr>
          <w:sz w:val="24"/>
        </w:rPr>
        <w:t>Robson</w:t>
      </w:r>
      <w:r>
        <w:rPr>
          <w:spacing w:val="-14"/>
          <w:sz w:val="24"/>
        </w:rPr>
        <w:t> </w:t>
      </w:r>
      <w:r>
        <w:rPr>
          <w:sz w:val="24"/>
        </w:rPr>
        <w:t>Carneiro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Cruz Diretor Financeiro</w:t>
      </w:r>
    </w:p>
    <w:p>
      <w:pPr>
        <w:spacing w:line="276" w:lineRule="auto" w:before="89"/>
        <w:ind w:left="1078" w:right="1099" w:hanging="18"/>
        <w:jc w:val="left"/>
        <w:rPr>
          <w:sz w:val="24"/>
        </w:rPr>
      </w:pPr>
      <w:r>
        <w:rPr/>
        <w:br w:type="column"/>
      </w:r>
      <w:r>
        <w:rPr>
          <w:sz w:val="24"/>
        </w:rPr>
        <w:t>Michele</w:t>
      </w:r>
      <w:r>
        <w:rPr>
          <w:spacing w:val="-1"/>
          <w:sz w:val="24"/>
        </w:rPr>
        <w:t> </w:t>
      </w:r>
      <w:r>
        <w:rPr>
          <w:sz w:val="24"/>
        </w:rPr>
        <w:t>Schifller Forster Gestora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Investimentos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2240" w:h="15840"/>
          <w:pgMar w:header="952" w:footer="1481" w:top="1880" w:bottom="1680" w:left="1800" w:right="1080"/>
          <w:cols w:num="2" w:equalWidth="0">
            <w:col w:w="3545" w:space="1203"/>
            <w:col w:w="46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952" w:footer="1481" w:top="1880" w:bottom="1680" w:left="1800" w:right="1080"/>
        </w:sectPr>
      </w:pPr>
    </w:p>
    <w:p>
      <w:pPr>
        <w:spacing w:line="276" w:lineRule="auto" w:before="90"/>
        <w:ind w:left="704" w:right="38" w:hanging="14"/>
        <w:jc w:val="left"/>
        <w:rPr>
          <w:sz w:val="24"/>
        </w:rPr>
      </w:pPr>
      <w:r>
        <w:rPr>
          <w:sz w:val="24"/>
        </w:rPr>
        <w:t>Claudia</w:t>
      </w:r>
      <w:r>
        <w:rPr>
          <w:spacing w:val="-14"/>
          <w:sz w:val="24"/>
        </w:rPr>
        <w:t> </w:t>
      </w:r>
      <w:r>
        <w:rPr>
          <w:sz w:val="24"/>
        </w:rPr>
        <w:t>Miranda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Nascimento Chefe da Divisão de Tesouraria</w:t>
      </w:r>
    </w:p>
    <w:p>
      <w:pPr>
        <w:spacing w:line="276" w:lineRule="auto" w:before="90"/>
        <w:ind w:left="863" w:right="1045" w:hanging="174"/>
        <w:jc w:val="left"/>
        <w:rPr>
          <w:sz w:val="24"/>
        </w:rPr>
      </w:pPr>
      <w:r>
        <w:rPr/>
        <w:br w:type="column"/>
      </w:r>
      <w:r>
        <w:rPr>
          <w:sz w:val="24"/>
        </w:rPr>
        <w:t>Adriana</w:t>
      </w:r>
      <w:r>
        <w:rPr>
          <w:spacing w:val="-14"/>
          <w:sz w:val="24"/>
        </w:rPr>
        <w:t> </w:t>
      </w:r>
      <w:r>
        <w:rPr>
          <w:sz w:val="24"/>
        </w:rPr>
        <w:t>Catarina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Costa Gestora Previdenciária</w:t>
      </w:r>
    </w:p>
    <w:sectPr>
      <w:type w:val="continuous"/>
      <w:pgSz w:w="12240" w:h="15840"/>
      <w:pgMar w:header="952" w:footer="1481" w:top="1880" w:bottom="1680" w:left="1800" w:right="1080"/>
      <w:cols w:num="2" w:equalWidth="0">
        <w:col w:w="3851" w:space="1235"/>
        <w:col w:w="42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1652270</wp:posOffset>
              </wp:positionH>
              <wp:positionV relativeFrom="page">
                <wp:posOffset>8978490</wp:posOffset>
              </wp:positionV>
              <wp:extent cx="3363595" cy="3962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63595" cy="39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1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Lima,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salas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101/115 -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tel.: (24) 2220-9200</w:t>
                          </w:r>
                        </w:p>
                        <w:p>
                          <w:pPr>
                            <w:spacing w:before="0"/>
                            <w:ind w:left="352" w:right="347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DAF-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Diretoria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Administração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Finanças.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daf@inpas.rj.gov.br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Site: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www.inpas.rj.gov.br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0.100006pt;margin-top:706.967773pt;width:264.850pt;height:31.2pt;mso-position-horizontal-relative:page;mso-position-vertical-relative:page;z-index:-1576345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1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Lima,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–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salas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101/115 -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tel.: (24) 2220-9200</w:t>
                    </w:r>
                  </w:p>
                  <w:p>
                    <w:pPr>
                      <w:spacing w:before="0"/>
                      <w:ind w:left="352" w:right="347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DAF-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Diretoria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de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Administração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Finanças.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E-mail: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daf@inpas.rj.gov.br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Site: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hyperlink r:id="rId2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www.inpas.rj.gov.br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2000">
          <wp:simplePos x="0" y="0"/>
          <wp:positionH relativeFrom="page">
            <wp:posOffset>1108710</wp:posOffset>
          </wp:positionH>
          <wp:positionV relativeFrom="page">
            <wp:posOffset>604519</wp:posOffset>
          </wp:positionV>
          <wp:extent cx="1337310" cy="50419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731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2508250</wp:posOffset>
              </wp:positionH>
              <wp:positionV relativeFrom="page">
                <wp:posOffset>596096</wp:posOffset>
              </wp:positionV>
              <wp:extent cx="3477260" cy="3714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7726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 Servidor Público do Município de Petrópolis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7.5pt;margin-top:46.936718pt;width:273.8pt;height:29.25pt;mso-position-horizontal-relative:page;mso-position-vertical-relative:page;z-index:-1576396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 Servidor Público do Município de Petrópolis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daf@inpas.rj.gov.br" TargetMode="External"/><Relationship Id="rId2" Type="http://schemas.openxmlformats.org/officeDocument/2006/relationships/hyperlink" Target="http://www.inpas.rj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2025-05-16T19:01:13Z</dcterms:created>
  <dcterms:modified xsi:type="dcterms:W3CDTF">2025-05-16T19:01:13Z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