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393"/>
        <w:rPr>
          <w:sz w:val="20"/>
        </w:rPr>
      </w:pPr>
      <w:r>
        <w:rPr>
          <w:sz w:val="20"/>
        </w:rPr>
        <w:drawing>
          <wp:inline distT="0" distB="0" distL="0" distR="0">
            <wp:extent cx="3096905" cy="13507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096905" cy="1350740"/>
                    </a:xfrm>
                    <a:prstGeom prst="rect">
                      <a:avLst/>
                    </a:prstGeom>
                  </pic:spPr>
                </pic:pic>
              </a:graphicData>
            </a:graphic>
          </wp:inline>
        </w:drawing>
      </w:r>
      <w:r>
        <w:rPr>
          <w:sz w:val="20"/>
        </w:rPr>
      </w:r>
    </w:p>
    <w:p>
      <w:pPr>
        <w:pStyle w:val="BodyText"/>
      </w:pPr>
    </w:p>
    <w:p>
      <w:pPr>
        <w:pStyle w:val="BodyText"/>
      </w:pPr>
    </w:p>
    <w:p>
      <w:pPr>
        <w:pStyle w:val="BodyText"/>
      </w:pPr>
    </w:p>
    <w:p>
      <w:pPr>
        <w:pStyle w:val="BodyText"/>
        <w:spacing w:before="232"/>
      </w:pPr>
    </w:p>
    <w:p>
      <w:pPr>
        <w:pStyle w:val="BodyText"/>
        <w:spacing w:line="364" w:lineRule="auto" w:before="1"/>
        <w:ind w:left="96" w:right="94"/>
        <w:jc w:val="both"/>
      </w:pPr>
      <w:r>
        <w:rPr/>
        <w:t>Ata da vigésima sexta reunião ordinária do Comitê de Investimentos do Instituto de Previdência e Assistência Social do Servidor Público do Município de Petrópolis – INPAS.</w:t>
      </w:r>
    </w:p>
    <w:p>
      <w:pPr>
        <w:pStyle w:val="BodyText"/>
        <w:spacing w:line="364" w:lineRule="auto" w:before="2"/>
        <w:ind w:left="96" w:right="95"/>
        <w:jc w:val="both"/>
      </w:pPr>
      <w:r>
        <w:rPr/>
        <w:t>Aos dez dias do mês de dezembro do ano de dois mil e quatorze, às dez horas e trinta e cinco minutos, na sala de reuniões do Instituto de Previdência e Assistência Social do Servidor Público do Município de Petrópolis, reuniram-se os seguintes membros do Comitê de Investimentos deste Regime Próprio de Previdência Social: a) Diretor-Presidente do INPAS, senhor Marcus Antonio Curvelo da Silva; b)- Diretor Administrativo-Financeiro do INPAS, senhor Daniel Luiz Simões Campos,</w:t>
      </w:r>
      <w:r>
        <w:rPr>
          <w:spacing w:val="27"/>
        </w:rPr>
        <w:t> </w:t>
      </w:r>
      <w:r>
        <w:rPr/>
        <w:t>Presidente</w:t>
      </w:r>
      <w:r>
        <w:rPr>
          <w:spacing w:val="25"/>
        </w:rPr>
        <w:t> </w:t>
      </w:r>
      <w:r>
        <w:rPr/>
        <w:t>eleito</w:t>
      </w:r>
      <w:r>
        <w:rPr>
          <w:spacing w:val="24"/>
        </w:rPr>
        <w:t> </w:t>
      </w:r>
      <w:r>
        <w:rPr/>
        <w:t>deste Comitê; c) Chefe</w:t>
      </w:r>
      <w:r>
        <w:rPr>
          <w:spacing w:val="25"/>
        </w:rPr>
        <w:t> </w:t>
      </w:r>
      <w:r>
        <w:rPr/>
        <w:t>do</w:t>
      </w:r>
      <w:r>
        <w:rPr>
          <w:spacing w:val="25"/>
        </w:rPr>
        <w:t> </w:t>
      </w:r>
      <w:r>
        <w:rPr/>
        <w:t>Setor de Tesouraria,</w:t>
      </w:r>
      <w:r>
        <w:rPr>
          <w:spacing w:val="27"/>
        </w:rPr>
        <w:t> </w:t>
      </w:r>
      <w:r>
        <w:rPr/>
        <w:t>Sra.</w:t>
      </w:r>
      <w:r>
        <w:rPr>
          <w:spacing w:val="25"/>
        </w:rPr>
        <w:t> </w:t>
      </w:r>
      <w:r>
        <w:rPr/>
        <w:t>Claudia</w:t>
      </w:r>
      <w:r>
        <w:rPr>
          <w:spacing w:val="25"/>
        </w:rPr>
        <w:t> </w:t>
      </w:r>
      <w:r>
        <w:rPr/>
        <w:t>Miranda do Nascimento; d) Gestora Previdenciária, senhora Adriana Catarina da Costa; e)- Gestora Previdenciária, Sra. Carla Cristina Correia Maduro Vogas Tavares, secretária eleita deste Comitê. Presentes também, com direito a voz e sem direito a voto, os servidores: Sra. Michele Schifler Forster, Sra. Vanessa Maria Bull, Sr. Bruno Olivetti e Sr. Aluízio Manzini. Iniciou-se, com esta composição, a referida reunião para atendimento à pauta do dia, que teve a seguinte ordem: 1)- leitura da ata; 2)- análise do cenário macroeconômico, bem como as expectativas de mercado; 3)- avaliação dos investimentos que compõem o patrimônio dos diversos segmentos de aplicação; 4)- análise</w:t>
      </w:r>
      <w:r>
        <w:rPr>
          <w:spacing w:val="37"/>
        </w:rPr>
        <w:t> </w:t>
      </w:r>
      <w:r>
        <w:rPr/>
        <w:t>do</w:t>
      </w:r>
      <w:r>
        <w:rPr>
          <w:spacing w:val="40"/>
        </w:rPr>
        <w:t> </w:t>
      </w:r>
      <w:r>
        <w:rPr/>
        <w:t>fluxo</w:t>
      </w:r>
      <w:r>
        <w:rPr>
          <w:spacing w:val="36"/>
        </w:rPr>
        <w:t> </w:t>
      </w:r>
      <w:r>
        <w:rPr/>
        <w:t>de</w:t>
      </w:r>
      <w:r>
        <w:rPr>
          <w:spacing w:val="40"/>
        </w:rPr>
        <w:t> </w:t>
      </w:r>
      <w:r>
        <w:rPr/>
        <w:t>caixa,</w:t>
      </w:r>
      <w:r>
        <w:rPr>
          <w:spacing w:val="37"/>
        </w:rPr>
        <w:t> </w:t>
      </w:r>
      <w:r>
        <w:rPr/>
        <w:t>considerando</w:t>
      </w:r>
      <w:r>
        <w:rPr>
          <w:spacing w:val="38"/>
        </w:rPr>
        <w:t> </w:t>
      </w:r>
      <w:r>
        <w:rPr/>
        <w:t>as</w:t>
      </w:r>
      <w:r>
        <w:rPr>
          <w:spacing w:val="38"/>
        </w:rPr>
        <w:t> </w:t>
      </w:r>
      <w:r>
        <w:rPr/>
        <w:t>obrigações</w:t>
      </w:r>
      <w:r>
        <w:rPr>
          <w:spacing w:val="40"/>
        </w:rPr>
        <w:t> </w:t>
      </w:r>
      <w:r>
        <w:rPr/>
        <w:t>previdenciárias</w:t>
      </w:r>
      <w:r>
        <w:rPr>
          <w:spacing w:val="40"/>
        </w:rPr>
        <w:t> </w:t>
      </w:r>
      <w:r>
        <w:rPr/>
        <w:t>e</w:t>
      </w:r>
      <w:r>
        <w:rPr>
          <w:spacing w:val="40"/>
        </w:rPr>
        <w:t> </w:t>
      </w:r>
      <w:r>
        <w:rPr/>
        <w:t>administrativas</w:t>
      </w:r>
      <w:r>
        <w:rPr>
          <w:spacing w:val="40"/>
        </w:rPr>
        <w:t> </w:t>
      </w:r>
      <w:r>
        <w:rPr/>
        <w:t>para</w:t>
      </w:r>
      <w:r>
        <w:rPr>
          <w:spacing w:val="37"/>
        </w:rPr>
        <w:t> </w:t>
      </w:r>
      <w:r>
        <w:rPr/>
        <w:t>o mês em curso; 5)- proposições de investimentos/desinvestimentos; 6)- análise da norma para credenciamento</w:t>
      </w:r>
      <w:r>
        <w:rPr>
          <w:spacing w:val="17"/>
        </w:rPr>
        <w:t> </w:t>
      </w:r>
      <w:r>
        <w:rPr/>
        <w:t>de</w:t>
      </w:r>
      <w:r>
        <w:rPr>
          <w:spacing w:val="18"/>
        </w:rPr>
        <w:t> </w:t>
      </w:r>
      <w:r>
        <w:rPr/>
        <w:t>instituições</w:t>
      </w:r>
      <w:r>
        <w:rPr>
          <w:spacing w:val="19"/>
        </w:rPr>
        <w:t> </w:t>
      </w:r>
      <w:r>
        <w:rPr/>
        <w:t>financeiras;</w:t>
      </w:r>
      <w:r>
        <w:rPr>
          <w:spacing w:val="18"/>
        </w:rPr>
        <w:t> </w:t>
      </w:r>
      <w:r>
        <w:rPr/>
        <w:t>7)-</w:t>
      </w:r>
      <w:r>
        <w:rPr>
          <w:spacing w:val="20"/>
        </w:rPr>
        <w:t> </w:t>
      </w:r>
      <w:r>
        <w:rPr/>
        <w:t>assuntos</w:t>
      </w:r>
      <w:r>
        <w:rPr>
          <w:spacing w:val="21"/>
        </w:rPr>
        <w:t> </w:t>
      </w:r>
      <w:r>
        <w:rPr/>
        <w:t>gerais.</w:t>
      </w:r>
      <w:r>
        <w:rPr>
          <w:spacing w:val="20"/>
        </w:rPr>
        <w:t> </w:t>
      </w:r>
      <w:r>
        <w:rPr/>
        <w:t>O</w:t>
      </w:r>
      <w:r>
        <w:rPr>
          <w:spacing w:val="20"/>
        </w:rPr>
        <w:t> </w:t>
      </w:r>
      <w:r>
        <w:rPr/>
        <w:t>Presidente</w:t>
      </w:r>
      <w:r>
        <w:rPr>
          <w:spacing w:val="18"/>
        </w:rPr>
        <w:t> </w:t>
      </w:r>
      <w:r>
        <w:rPr/>
        <w:t>do</w:t>
      </w:r>
      <w:r>
        <w:rPr>
          <w:spacing w:val="17"/>
        </w:rPr>
        <w:t> </w:t>
      </w:r>
      <w:r>
        <w:rPr/>
        <w:t>Comitê</w:t>
      </w:r>
      <w:r>
        <w:rPr>
          <w:spacing w:val="20"/>
        </w:rPr>
        <w:t> </w:t>
      </w:r>
      <w:r>
        <w:rPr/>
        <w:t>solicitou à Secretária que fizesse a leitura da ata da vigésima quinta reunião ordinária e da nona reunião extraordinária, as quais foram aprovadas por todos, sem ressalvas. Passando ao segundo item da pauta, o Presidente do Conselho informou que distribuiu a todos os membros do Comitê o Panorama do mês de novembro de 2014, elaborado pela empresa de consultoria Crédito e</w:t>
      </w:r>
      <w:r>
        <w:rPr>
          <w:spacing w:val="40"/>
        </w:rPr>
        <w:t> </w:t>
      </w:r>
      <w:r>
        <w:rPr/>
        <w:t>Mercado. Em seguida, teceu considerações no sentido de que a indicação de Joaquim Levy para o Ministério da Fazenda foi muito bem recebida pelo mercado financeiro e que, provavelmente, haverá um aumento de juros para o ano de 2015, sendo que a inflação deverá voltar para o centro</w:t>
      </w:r>
    </w:p>
    <w:p>
      <w:pPr>
        <w:pStyle w:val="BodyText"/>
        <w:spacing w:after="0" w:line="364" w:lineRule="auto"/>
        <w:jc w:val="both"/>
        <w:sectPr>
          <w:type w:val="continuous"/>
          <w:pgSz w:w="11900" w:h="16840"/>
          <w:pgMar w:top="1380" w:bottom="280" w:left="1559" w:right="992"/>
        </w:sectPr>
      </w:pPr>
    </w:p>
    <w:p>
      <w:pPr>
        <w:pStyle w:val="BodyText"/>
        <w:spacing w:line="364" w:lineRule="auto" w:before="173"/>
        <w:ind w:left="96" w:right="94"/>
        <w:jc w:val="both"/>
      </w:pPr>
      <w:r>
        <w:rPr/>
        <w:t>da</w:t>
      </w:r>
      <w:r>
        <w:rPr>
          <w:spacing w:val="40"/>
        </w:rPr>
        <w:t> </w:t>
      </w:r>
      <w:r>
        <w:rPr/>
        <w:t>meta somente em</w:t>
      </w:r>
      <w:r>
        <w:rPr>
          <w:spacing w:val="40"/>
        </w:rPr>
        <w:t> </w:t>
      </w:r>
      <w:r>
        <w:rPr/>
        <w:t>2016,</w:t>
      </w:r>
      <w:r>
        <w:rPr>
          <w:spacing w:val="40"/>
        </w:rPr>
        <w:t> </w:t>
      </w:r>
      <w:r>
        <w:rPr/>
        <w:t>favorecendo,</w:t>
      </w:r>
      <w:r>
        <w:rPr>
          <w:spacing w:val="40"/>
        </w:rPr>
        <w:t> </w:t>
      </w:r>
      <w:r>
        <w:rPr/>
        <w:t>assim,</w:t>
      </w:r>
      <w:r>
        <w:rPr>
          <w:spacing w:val="40"/>
        </w:rPr>
        <w:t> </w:t>
      </w:r>
      <w:r>
        <w:rPr/>
        <w:t>os</w:t>
      </w:r>
      <w:r>
        <w:rPr>
          <w:spacing w:val="40"/>
        </w:rPr>
        <w:t> </w:t>
      </w:r>
      <w:r>
        <w:rPr/>
        <w:t>investimentos</w:t>
      </w:r>
      <w:r>
        <w:rPr>
          <w:spacing w:val="40"/>
        </w:rPr>
        <w:t> </w:t>
      </w:r>
      <w:r>
        <w:rPr/>
        <w:t>em</w:t>
      </w:r>
      <w:r>
        <w:rPr>
          <w:spacing w:val="40"/>
        </w:rPr>
        <w:t> </w:t>
      </w:r>
      <w:r>
        <w:rPr/>
        <w:t>DI.</w:t>
      </w:r>
      <w:r>
        <w:rPr>
          <w:spacing w:val="40"/>
        </w:rPr>
        <w:t> </w:t>
      </w:r>
      <w:r>
        <w:rPr/>
        <w:t>Informou</w:t>
      </w:r>
      <w:r>
        <w:rPr>
          <w:spacing w:val="40"/>
        </w:rPr>
        <w:t> </w:t>
      </w:r>
      <w:r>
        <w:rPr/>
        <w:t>ainda</w:t>
      </w:r>
      <w:r>
        <w:rPr>
          <w:spacing w:val="40"/>
        </w:rPr>
        <w:t> </w:t>
      </w:r>
      <w:r>
        <w:rPr/>
        <w:t>que, hoje, temos uma concentração</w:t>
      </w:r>
      <w:r>
        <w:rPr>
          <w:spacing w:val="22"/>
        </w:rPr>
        <w:t> </w:t>
      </w:r>
      <w:r>
        <w:rPr/>
        <w:t>dos investimentos</w:t>
      </w:r>
      <w:r>
        <w:rPr>
          <w:spacing w:val="21"/>
        </w:rPr>
        <w:t> </w:t>
      </w:r>
      <w:r>
        <w:rPr/>
        <w:t>em IRFM1 e</w:t>
      </w:r>
      <w:r>
        <w:rPr>
          <w:spacing w:val="21"/>
        </w:rPr>
        <w:t> </w:t>
      </w:r>
      <w:r>
        <w:rPr/>
        <w:t>em DI e que estamos aguardando</w:t>
      </w:r>
      <w:r>
        <w:rPr>
          <w:spacing w:val="40"/>
        </w:rPr>
        <w:t> </w:t>
      </w:r>
      <w:r>
        <w:rPr/>
        <w:t>os repasses do Poder Executivo para podermos efetuar o pagamento da folha de pagamento dos aposentados, bem como do décimo terceiro salário, sendo que o valor total gira em torna de dez milhões de reais. Em seguida, o Presidente do Comitê indagou se alguém gostaria de se</w:t>
      </w:r>
      <w:r>
        <w:rPr>
          <w:spacing w:val="80"/>
        </w:rPr>
        <w:t> </w:t>
      </w:r>
      <w:r>
        <w:rPr/>
        <w:t>manifestar, tendo a Sra. Michele proposto que não fosse mais feita a realização de lucros do IRFM1, pois, como hoje só temos investimentos em IRFM1 e DI, muitas vezes há o resgate da</w:t>
      </w:r>
      <w:r>
        <w:rPr>
          <w:spacing w:val="40"/>
        </w:rPr>
        <w:t> </w:t>
      </w:r>
      <w:r>
        <w:rPr/>
        <w:t>cota do IRFM1 e sua reaplicação no mesmo fundo. Explicou que esse procedimento era interessante quando tínhamos investimentos em fundos mais voláteis. Sra. Adriana propôs a continuação do resgate para a realização de lucros com a aplicação em um outro fundo, diferente</w:t>
      </w:r>
      <w:r>
        <w:rPr>
          <w:spacing w:val="40"/>
        </w:rPr>
        <w:t> </w:t>
      </w:r>
      <w:r>
        <w:rPr/>
        <w:t>do IRFM1, mas informou que, no momento, não pode propor o tipo de fundo em razão não ter vindo preparada para essa análise, pois não sabia que esse assunto seria tratado. Os demais membros do Comitê concordaram com a proposta feita pela Sra. Michele. Sr. Marcus Curvelo</w:t>
      </w:r>
      <w:r>
        <w:rPr>
          <w:spacing w:val="40"/>
        </w:rPr>
        <w:t> </w:t>
      </w:r>
      <w:r>
        <w:rPr/>
        <w:t>disse que, no momento, perdeu o sentido a separação desses rendimentos. Quanto à norma para credenciamento de instituições financeiras, a Dra. Néia se manifestou favoravelmente à minuta apresentada, porém, entendeu que deverá ser aberto um processo próprio, pois, aquele no qual a minuta foi anexada, trata especificamente do credenciamento do Banrisul. Tal proposta foi aceita por todos os membros do Comitê. Em assuntos gerais, o Presidente do Comitê comunicou que recebeu documentos do Fundo Infinity Lótus FI RF e que lhe foi solicitada um visita para</w:t>
      </w:r>
      <w:r>
        <w:rPr>
          <w:spacing w:val="80"/>
        </w:rPr>
        <w:t> </w:t>
      </w:r>
      <w:r>
        <w:rPr/>
        <w:t>melhores esclarecimentos sobre o referido fundo. Num primeiro momento, todos os membros do Comitê concordaram em receber o representante, com exceção do Sr. Marcus Curvelo que achou mais prudente que fosse feita uma análise do histórico do gestor antes da autorização de visita. Após essa manifestação, os membros do Comitê acompanharam essa sugestão, ou seja, antes de a visita ser marcada, o Presidente do Comitê irá apresentar um histórico do gestor desse fundo. Quanto ao pedido feito pelo Presidente do INPAS para esclarecimentos quanto ao investimento previsto</w:t>
      </w:r>
      <w:r>
        <w:rPr>
          <w:spacing w:val="40"/>
        </w:rPr>
        <w:t> </w:t>
      </w:r>
      <w:r>
        <w:rPr/>
        <w:t>no</w:t>
      </w:r>
      <w:r>
        <w:rPr>
          <w:spacing w:val="40"/>
        </w:rPr>
        <w:t> </w:t>
      </w:r>
      <w:r>
        <w:rPr/>
        <w:t>art.</w:t>
      </w:r>
      <w:r>
        <w:rPr>
          <w:spacing w:val="40"/>
        </w:rPr>
        <w:t> </w:t>
      </w:r>
      <w:r>
        <w:rPr/>
        <w:t>7º,</w:t>
      </w:r>
      <w:r>
        <w:rPr>
          <w:spacing w:val="40"/>
        </w:rPr>
        <w:t> </w:t>
      </w:r>
      <w:r>
        <w:rPr/>
        <w:t>III</w:t>
      </w:r>
      <w:r>
        <w:rPr>
          <w:spacing w:val="40"/>
        </w:rPr>
        <w:t> </w:t>
      </w:r>
      <w:r>
        <w:rPr/>
        <w:t>da</w:t>
      </w:r>
      <w:r>
        <w:rPr>
          <w:spacing w:val="40"/>
        </w:rPr>
        <w:t> </w:t>
      </w:r>
      <w:r>
        <w:rPr/>
        <w:t>Resolução</w:t>
      </w:r>
      <w:r>
        <w:rPr>
          <w:spacing w:val="40"/>
        </w:rPr>
        <w:t> </w:t>
      </w:r>
      <w:r>
        <w:rPr/>
        <w:t>nº</w:t>
      </w:r>
      <w:r>
        <w:rPr>
          <w:spacing w:val="40"/>
        </w:rPr>
        <w:t> </w:t>
      </w:r>
      <w:r>
        <w:rPr/>
        <w:t>3.922/10</w:t>
      </w:r>
      <w:r>
        <w:rPr>
          <w:spacing w:val="40"/>
        </w:rPr>
        <w:t> </w:t>
      </w:r>
      <w:r>
        <w:rPr/>
        <w:t>(Fundos</w:t>
      </w:r>
      <w:r>
        <w:rPr>
          <w:spacing w:val="40"/>
        </w:rPr>
        <w:t> </w:t>
      </w:r>
      <w:r>
        <w:rPr/>
        <w:t>Referenciados),</w:t>
      </w:r>
      <w:r>
        <w:rPr>
          <w:spacing w:val="40"/>
        </w:rPr>
        <w:t> </w:t>
      </w:r>
      <w:r>
        <w:rPr/>
        <w:t>a</w:t>
      </w:r>
      <w:r>
        <w:rPr>
          <w:spacing w:val="40"/>
        </w:rPr>
        <w:t> </w:t>
      </w:r>
      <w:r>
        <w:rPr/>
        <w:t>empresa</w:t>
      </w:r>
      <w:r>
        <w:rPr>
          <w:spacing w:val="40"/>
        </w:rPr>
        <w:t> </w:t>
      </w:r>
      <w:r>
        <w:rPr/>
        <w:t>de Consultoria Crédito e Mercado confirmou que há créditos privados na sua composição numa base de 49% de títulos privados e 51% de títulos públicos, o que vem ao encontro do entendimento firmado anteriormente pela Sra. Adriana. Por fim, o Sr. Marcus Curvelo informou que, para o próximo ano, será publicada a lei que consolida a legislação administrativa do INPAS e, por isso, solicita a Sra. Carla que providencie para 2015 uma proposta de inclusão, na composição do Comitê</w:t>
      </w:r>
      <w:r>
        <w:rPr>
          <w:spacing w:val="40"/>
        </w:rPr>
        <w:t> </w:t>
      </w:r>
      <w:r>
        <w:rPr/>
        <w:t>de</w:t>
      </w:r>
      <w:r>
        <w:rPr>
          <w:spacing w:val="40"/>
        </w:rPr>
        <w:t> </w:t>
      </w:r>
      <w:r>
        <w:rPr/>
        <w:t>Investimentos,</w:t>
      </w:r>
      <w:r>
        <w:rPr>
          <w:spacing w:val="40"/>
        </w:rPr>
        <w:t> </w:t>
      </w:r>
      <w:r>
        <w:rPr/>
        <w:t>do</w:t>
      </w:r>
      <w:r>
        <w:rPr>
          <w:spacing w:val="40"/>
        </w:rPr>
        <w:t> </w:t>
      </w:r>
      <w:r>
        <w:rPr/>
        <w:t>cargo</w:t>
      </w:r>
      <w:r>
        <w:rPr>
          <w:spacing w:val="40"/>
        </w:rPr>
        <w:t> </w:t>
      </w:r>
      <w:r>
        <w:rPr/>
        <w:t>de</w:t>
      </w:r>
      <w:r>
        <w:rPr>
          <w:spacing w:val="40"/>
        </w:rPr>
        <w:t> </w:t>
      </w:r>
      <w:r>
        <w:rPr/>
        <w:t>gestor</w:t>
      </w:r>
      <w:r>
        <w:rPr>
          <w:spacing w:val="40"/>
        </w:rPr>
        <w:t> </w:t>
      </w:r>
      <w:r>
        <w:rPr/>
        <w:t>de</w:t>
      </w:r>
      <w:r>
        <w:rPr>
          <w:spacing w:val="40"/>
        </w:rPr>
        <w:t> </w:t>
      </w:r>
      <w:r>
        <w:rPr/>
        <w:t>investimentos</w:t>
      </w:r>
      <w:r>
        <w:rPr>
          <w:spacing w:val="40"/>
        </w:rPr>
        <w:t> </w:t>
      </w:r>
      <w:r>
        <w:rPr/>
        <w:t>e</w:t>
      </w:r>
      <w:r>
        <w:rPr>
          <w:spacing w:val="38"/>
        </w:rPr>
        <w:t> </w:t>
      </w:r>
      <w:r>
        <w:rPr/>
        <w:t>de</w:t>
      </w:r>
      <w:r>
        <w:rPr>
          <w:spacing w:val="40"/>
        </w:rPr>
        <w:t> </w:t>
      </w:r>
      <w:r>
        <w:rPr/>
        <w:t>um</w:t>
      </w:r>
      <w:r>
        <w:rPr>
          <w:spacing w:val="39"/>
        </w:rPr>
        <w:t> </w:t>
      </w:r>
      <w:r>
        <w:rPr/>
        <w:t>membro</w:t>
      </w:r>
      <w:r>
        <w:rPr>
          <w:spacing w:val="40"/>
        </w:rPr>
        <w:t> </w:t>
      </w:r>
      <w:r>
        <w:rPr/>
        <w:t>do</w:t>
      </w:r>
      <w:r>
        <w:rPr>
          <w:spacing w:val="40"/>
        </w:rPr>
        <w:t> </w:t>
      </w:r>
      <w:r>
        <w:rPr/>
        <w:t>Conselho</w:t>
      </w:r>
    </w:p>
    <w:p>
      <w:pPr>
        <w:pStyle w:val="BodyText"/>
        <w:spacing w:after="0" w:line="364" w:lineRule="auto"/>
        <w:jc w:val="both"/>
        <w:sectPr>
          <w:pgSz w:w="11900" w:h="16840"/>
          <w:pgMar w:top="1940" w:bottom="280" w:left="1559" w:right="992"/>
        </w:sectPr>
      </w:pPr>
    </w:p>
    <w:p>
      <w:pPr>
        <w:pStyle w:val="BodyText"/>
        <w:spacing w:line="364" w:lineRule="auto" w:before="173"/>
        <w:ind w:left="96" w:right="96"/>
        <w:jc w:val="both"/>
      </w:pPr>
      <w:r>
        <w:rPr/>
        <w:t>Previdenciário, a ser eleito pelo próprio Conselho dentre as entidades representativas dos servidores. Nada mais havendo a tratar, o senhor Presidente deu por encerrada a presente reunião</w:t>
      </w:r>
      <w:r>
        <w:rPr>
          <w:spacing w:val="40"/>
        </w:rPr>
        <w:t> </w:t>
      </w:r>
      <w:r>
        <w:rPr/>
        <w:t>às onze horas e dez minutos, cuja Ata segue lavrada por mim, Carla Maduro Vogas Tavares, Secretária deste Comitê, que a submeterei à aprovação dos demais membros e devidamente colherei suas assinaturas.</w:t>
      </w:r>
    </w:p>
    <w:p>
      <w:pPr>
        <w:pStyle w:val="BodyText"/>
        <w:rPr>
          <w:sz w:val="20"/>
        </w:rPr>
      </w:pPr>
    </w:p>
    <w:p>
      <w:pPr>
        <w:pStyle w:val="BodyText"/>
        <w:rPr>
          <w:sz w:val="20"/>
        </w:rPr>
      </w:pPr>
    </w:p>
    <w:p>
      <w:pPr>
        <w:pStyle w:val="BodyText"/>
        <w:spacing w:before="26"/>
        <w:rPr>
          <w:sz w:val="20"/>
        </w:rPr>
      </w:pPr>
    </w:p>
    <w:p>
      <w:pPr>
        <w:pStyle w:val="BodyText"/>
        <w:spacing w:after="0"/>
        <w:rPr>
          <w:sz w:val="20"/>
        </w:rPr>
        <w:sectPr>
          <w:pgSz w:w="11900" w:h="16840"/>
          <w:pgMar w:top="1940" w:bottom="280" w:left="1559" w:right="992"/>
        </w:sectPr>
      </w:pPr>
    </w:p>
    <w:p>
      <w:pPr>
        <w:pStyle w:val="BodyText"/>
        <w:spacing w:line="364" w:lineRule="auto" w:before="94"/>
        <w:ind w:left="795" w:right="38"/>
        <w:jc w:val="center"/>
      </w:pPr>
      <w:r>
        <w:rPr/>
        <w:t>Daniel Luiz Simões Campos</w:t>
      </w:r>
      <w:r>
        <w:rPr>
          <w:spacing w:val="80"/>
        </w:rPr>
        <w:t> </w:t>
      </w:r>
      <w:r>
        <w:rPr/>
        <w:t>Diretor Administrativo e Financeiro Presidente do Comitê</w:t>
      </w:r>
    </w:p>
    <w:p>
      <w:pPr>
        <w:pStyle w:val="BodyText"/>
        <w:spacing w:line="364" w:lineRule="auto" w:before="94"/>
        <w:ind w:left="795" w:right="1620" w:firstLine="105"/>
      </w:pPr>
      <w:r>
        <w:rPr/>
        <w:br w:type="column"/>
      </w:r>
      <w:r>
        <w:rPr/>
        <w:t>Marcus Curvelo </w:t>
      </w:r>
      <w:r>
        <w:rPr>
          <w:spacing w:val="-2"/>
        </w:rPr>
        <w:t>Diretor-Presidente</w:t>
      </w:r>
    </w:p>
    <w:p>
      <w:pPr>
        <w:pStyle w:val="BodyText"/>
        <w:spacing w:after="0" w:line="364" w:lineRule="auto"/>
        <w:sectPr>
          <w:type w:val="continuous"/>
          <w:pgSz w:w="11900" w:h="16840"/>
          <w:pgMar w:top="1380" w:bottom="280" w:left="1559" w:right="992"/>
          <w:cols w:num="2" w:equalWidth="0">
            <w:col w:w="4202" w:space="1006"/>
            <w:col w:w="4141"/>
          </w:cols>
        </w:sectPr>
      </w:pPr>
    </w:p>
    <w:p>
      <w:pPr>
        <w:pStyle w:val="BodyText"/>
        <w:spacing w:before="83"/>
        <w:rPr>
          <w:sz w:val="20"/>
        </w:rPr>
      </w:pPr>
    </w:p>
    <w:p>
      <w:pPr>
        <w:pStyle w:val="BodyText"/>
        <w:spacing w:after="0"/>
        <w:rPr>
          <w:sz w:val="20"/>
        </w:rPr>
        <w:sectPr>
          <w:type w:val="continuous"/>
          <w:pgSz w:w="11900" w:h="16840"/>
          <w:pgMar w:top="1380" w:bottom="280" w:left="1559" w:right="992"/>
        </w:sectPr>
      </w:pPr>
    </w:p>
    <w:p>
      <w:pPr>
        <w:pStyle w:val="BodyText"/>
        <w:spacing w:line="364" w:lineRule="auto" w:before="94"/>
        <w:ind w:left="1412" w:right="38" w:hanging="171"/>
      </w:pPr>
      <w:r>
        <w:rPr/>
        <w:t>Adriana Catarina da Costa Gestora Previdenciária</w:t>
      </w:r>
    </w:p>
    <w:p>
      <w:pPr>
        <w:pStyle w:val="BodyText"/>
        <w:spacing w:line="364" w:lineRule="auto" w:before="94"/>
        <w:ind w:left="1392" w:right="964" w:hanging="152"/>
      </w:pPr>
      <w:r>
        <w:rPr/>
        <w:br w:type="column"/>
      </w:r>
      <w:r>
        <w:rPr/>
        <w:t>Claudia Miranda do Nascimento Chefe do Setor de Tesouraria</w:t>
      </w:r>
    </w:p>
    <w:p>
      <w:pPr>
        <w:pStyle w:val="BodyText"/>
        <w:spacing w:after="0" w:line="364" w:lineRule="auto"/>
        <w:sectPr>
          <w:type w:val="continuous"/>
          <w:pgSz w:w="11900" w:h="16840"/>
          <w:pgMar w:top="1380" w:bottom="280" w:left="1559" w:right="992"/>
          <w:cols w:num="2" w:equalWidth="0">
            <w:col w:w="3754" w:space="347"/>
            <w:col w:w="5248"/>
          </w:cols>
        </w:sectPr>
      </w:pPr>
    </w:p>
    <w:p>
      <w:pPr>
        <w:pStyle w:val="BodyText"/>
        <w:spacing w:before="79"/>
        <w:rPr>
          <w:sz w:val="20"/>
        </w:rPr>
      </w:pPr>
    </w:p>
    <w:p>
      <w:pPr>
        <w:pStyle w:val="BodyText"/>
        <w:spacing w:after="0"/>
        <w:rPr>
          <w:sz w:val="20"/>
        </w:rPr>
        <w:sectPr>
          <w:type w:val="continuous"/>
          <w:pgSz w:w="11900" w:h="16840"/>
          <w:pgMar w:top="1380" w:bottom="280" w:left="1559" w:right="992"/>
        </w:sectPr>
      </w:pPr>
    </w:p>
    <w:p>
      <w:pPr>
        <w:pStyle w:val="BodyText"/>
        <w:spacing w:line="364" w:lineRule="auto" w:before="94"/>
        <w:ind w:left="848" w:right="38" w:firstLine="165"/>
      </w:pPr>
      <w:r>
        <w:rPr/>
        <w:t>Carla Cristina. C. Maduro V. Tavares Gestora Previdenciária - Secretária</w:t>
      </w:r>
    </w:p>
    <w:p>
      <w:pPr>
        <w:pStyle w:val="BodyText"/>
        <w:spacing w:line="364" w:lineRule="auto" w:before="94"/>
        <w:ind w:left="1080" w:right="1413" w:hanging="233"/>
      </w:pPr>
      <w:r>
        <w:rPr/>
        <w:br w:type="column"/>
      </w:r>
      <w:r>
        <w:rPr/>
        <w:t>Michele</w:t>
      </w:r>
      <w:r>
        <w:rPr>
          <w:spacing w:val="-2"/>
        </w:rPr>
        <w:t> </w:t>
      </w:r>
      <w:r>
        <w:rPr/>
        <w:t>Schifler Forster servidora convidada</w:t>
      </w:r>
    </w:p>
    <w:p>
      <w:pPr>
        <w:pStyle w:val="BodyText"/>
        <w:spacing w:after="0" w:line="364" w:lineRule="auto"/>
        <w:sectPr>
          <w:type w:val="continuous"/>
          <w:pgSz w:w="11900" w:h="16840"/>
          <w:pgMar w:top="1380" w:bottom="280" w:left="1559" w:right="992"/>
          <w:cols w:num="2" w:equalWidth="0">
            <w:col w:w="4567" w:space="235"/>
            <w:col w:w="4547"/>
          </w:cols>
        </w:sectPr>
      </w:pPr>
    </w:p>
    <w:p>
      <w:pPr>
        <w:pStyle w:val="BodyText"/>
        <w:spacing w:before="139"/>
      </w:pPr>
    </w:p>
    <w:p>
      <w:pPr>
        <w:pStyle w:val="BodyText"/>
        <w:tabs>
          <w:tab w:pos="5782" w:val="left" w:leader="none"/>
          <w:tab w:pos="5928" w:val="left" w:leader="none"/>
        </w:tabs>
        <w:spacing w:line="367" w:lineRule="auto"/>
        <w:ind w:left="1474" w:right="1770" w:firstLine="235"/>
      </w:pPr>
      <w:r>
        <w:rPr/>
        <w:t>Bruno Olivetti</w:t>
        <w:tab/>
        <w:tab/>
        <w:t>Aluízio Manzini servidor convidado</w:t>
        <w:tab/>
        <w:t>servidor</w:t>
      </w:r>
      <w:r>
        <w:rPr>
          <w:spacing w:val="-13"/>
        </w:rPr>
        <w:t> </w:t>
      </w:r>
      <w:r>
        <w:rPr/>
        <w:t>convidado</w:t>
      </w:r>
    </w:p>
    <w:p>
      <w:pPr>
        <w:pStyle w:val="BodyText"/>
        <w:spacing w:before="138"/>
      </w:pPr>
    </w:p>
    <w:p>
      <w:pPr>
        <w:pStyle w:val="BodyText"/>
        <w:spacing w:line="364" w:lineRule="auto"/>
        <w:ind w:left="1474" w:right="5174"/>
      </w:pPr>
      <w:r>
        <w:rPr/>
        <w:t>Vanessa Maria Bull Servidora</w:t>
      </w:r>
      <w:r>
        <w:rPr>
          <w:spacing w:val="-7"/>
        </w:rPr>
        <w:t> </w:t>
      </w:r>
      <w:r>
        <w:rPr/>
        <w:t>convidada</w:t>
      </w:r>
    </w:p>
    <w:sectPr>
      <w:type w:val="continuous"/>
      <w:pgSz w:w="11900" w:h="16840"/>
      <w:pgMar w:top="1380" w:bottom="28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2025-05-19T16:00:54Z</dcterms:created>
  <dcterms:modified xsi:type="dcterms:W3CDTF">2025-05-19T16:00:54Z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3-Heights(TM) PDF Security Shell 4.8.25.2 (http://www.pdf-tools.com)</vt:lpwstr>
  </property>
</Properties>
</file>