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rPr>
          <w:sz w:val="20"/>
        </w:rPr>
      </w:pPr>
    </w:p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spacing w:line="364" w:lineRule="auto" w:before="1"/>
        <w:ind w:left="96" w:right="81"/>
        <w:jc w:val="both"/>
      </w:pPr>
      <w:r>
        <w:rPr/>
        <w:t>Ata da oitava reunião ordinária do Comitê de Investimentos do Instituto de Previdência e Assistência Social do Servidor Público do Município de Petrópolis – INPAS.</w:t>
      </w:r>
    </w:p>
    <w:p>
      <w:pPr>
        <w:pStyle w:val="BodyText"/>
        <w:spacing w:before="138"/>
      </w:pPr>
    </w:p>
    <w:p>
      <w:pPr>
        <w:pStyle w:val="BodyText"/>
        <w:spacing w:line="364" w:lineRule="auto"/>
        <w:ind w:left="96" w:right="78"/>
        <w:jc w:val="both"/>
      </w:pPr>
      <w:r>
        <w:rPr/>
        <w:t>Aos onze dias</w:t>
      </w:r>
      <w:r>
        <w:rPr>
          <w:spacing w:val="39"/>
        </w:rPr>
        <w:t> </w:t>
      </w:r>
      <w:r>
        <w:rPr/>
        <w:t>do</w:t>
      </w:r>
      <w:r>
        <w:rPr>
          <w:spacing w:val="40"/>
        </w:rPr>
        <w:t> </w:t>
      </w:r>
      <w:r>
        <w:rPr/>
        <w:t>mês de junho do ano de dois</w:t>
      </w:r>
      <w:r>
        <w:rPr>
          <w:spacing w:val="39"/>
        </w:rPr>
        <w:t> </w:t>
      </w:r>
      <w:r>
        <w:rPr/>
        <w:t>mil e treze, às quinze horas, na sala do Diretor Presidente do Instituto de Previdência e Assistência Social do Servidor Público do Município de Petrópolis – INPAS, sito à Rua Doutor Alencar Lima, número trinta e cinco, grupo 101 a 115, Centro, Petrópolis, RJ, reuniram-se cinco membros do Comitê de Investimentos que subscrevem o presente documento, sendo justificada a ausência da servidora Adriana Catarina da Costa que, nesta data, está participando de um curso no TCE/RJ. Participou ainda da reunião a senhora Vanessa Maria Bull, Chefe de Gabinete da Presidência. A reunião observou a seguinte ordem: 1- apresentação pelos Conselheiros Marcus Antonio Curvelo da Silva e Daniel Luiz Simões Campos dos temas apresentados no evento promovido pelo Banco do Brasil no dia anterior, dez de junho de dois mil e treze, no qual houve a apresentação sobre o cenário macroeconômico e outras soluções para os RPPS</w:t>
      </w:r>
      <w:r>
        <w:rPr>
          <w:spacing w:val="40"/>
        </w:rPr>
        <w:t> </w:t>
      </w:r>
      <w:r>
        <w:rPr/>
        <w:t>e alocações de recursos; 2- avaliação dos investimentos; 3- proposições de investimentos/desinvestimentos. Iniciada a reunião, a Presidente do Comitê informou previamente que, conforme todos têm tido a oportunidade de acompanhar pelo mapa diário por</w:t>
      </w:r>
      <w:r>
        <w:rPr>
          <w:spacing w:val="22"/>
        </w:rPr>
        <w:t> </w:t>
      </w:r>
      <w:r>
        <w:rPr/>
        <w:t>ela</w:t>
      </w:r>
      <w:r>
        <w:rPr>
          <w:spacing w:val="20"/>
        </w:rPr>
        <w:t> </w:t>
      </w:r>
      <w:r>
        <w:rPr/>
        <w:t>encaminhado,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mês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maio</w:t>
      </w:r>
      <w:r>
        <w:rPr>
          <w:spacing w:val="21"/>
        </w:rPr>
        <w:t> </w:t>
      </w:r>
      <w:r>
        <w:rPr/>
        <w:t>apresentou</w:t>
      </w:r>
      <w:r>
        <w:rPr>
          <w:spacing w:val="24"/>
        </w:rPr>
        <w:t> </w:t>
      </w:r>
      <w:r>
        <w:rPr/>
        <w:t>um</w:t>
      </w:r>
      <w:r>
        <w:rPr>
          <w:spacing w:val="19"/>
        </w:rPr>
        <w:t> </w:t>
      </w:r>
      <w:r>
        <w:rPr/>
        <w:t>cenário</w:t>
      </w:r>
      <w:r>
        <w:rPr>
          <w:spacing w:val="21"/>
        </w:rPr>
        <w:t> </w:t>
      </w:r>
      <w:r>
        <w:rPr/>
        <w:t>muito</w:t>
      </w:r>
      <w:r>
        <w:rPr>
          <w:spacing w:val="21"/>
        </w:rPr>
        <w:t> </w:t>
      </w:r>
      <w:r>
        <w:rPr/>
        <w:t>ruim</w:t>
      </w:r>
      <w:r>
        <w:rPr>
          <w:spacing w:val="19"/>
        </w:rPr>
        <w:t> </w:t>
      </w:r>
      <w:r>
        <w:rPr/>
        <w:t>e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início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mês de junho também não apresentou um resultado satisfatório. Antes de ser feita uma avaliação dos</w:t>
      </w:r>
      <w:r>
        <w:rPr>
          <w:spacing w:val="40"/>
        </w:rPr>
        <w:t> </w:t>
      </w:r>
      <w:r>
        <w:rPr/>
        <w:t>investimentos,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dada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palavra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membro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Diretor-Presidente</w:t>
      </w:r>
      <w:r>
        <w:rPr>
          <w:spacing w:val="40"/>
        </w:rPr>
        <w:t> </w:t>
      </w:r>
      <w:r>
        <w:rPr/>
        <w:t>do INPAS, Sr. Marcus Curvelo, que apresentou um breve relatório do evento promovido pelo Banco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Brasil, sendo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dentre</w:t>
      </w:r>
      <w:r>
        <w:rPr>
          <w:spacing w:val="17"/>
        </w:rPr>
        <w:t> </w:t>
      </w:r>
      <w:r>
        <w:rPr/>
        <w:t>os</w:t>
      </w:r>
      <w:r>
        <w:rPr>
          <w:spacing w:val="16"/>
        </w:rPr>
        <w:t> </w:t>
      </w:r>
      <w:r>
        <w:rPr/>
        <w:t>diversos</w:t>
      </w:r>
      <w:r>
        <w:rPr>
          <w:spacing w:val="18"/>
        </w:rPr>
        <w:t> </w:t>
      </w:r>
      <w:r>
        <w:rPr/>
        <w:t>assuntos</w:t>
      </w:r>
      <w:r>
        <w:rPr>
          <w:spacing w:val="18"/>
        </w:rPr>
        <w:t> </w:t>
      </w:r>
      <w:r>
        <w:rPr/>
        <w:t>por ele</w:t>
      </w:r>
      <w:r>
        <w:rPr>
          <w:spacing w:val="15"/>
        </w:rPr>
        <w:t> </w:t>
      </w:r>
      <w:r>
        <w:rPr/>
        <w:t>relatados</w:t>
      </w:r>
      <w:r>
        <w:rPr>
          <w:spacing w:val="18"/>
        </w:rPr>
        <w:t> </w:t>
      </w:r>
      <w:r>
        <w:rPr/>
        <w:t>foi</w:t>
      </w:r>
      <w:r>
        <w:rPr>
          <w:spacing w:val="15"/>
        </w:rPr>
        <w:t> </w:t>
      </w:r>
      <w:r>
        <w:rPr/>
        <w:t>dado</w:t>
      </w:r>
      <w:r>
        <w:rPr>
          <w:spacing w:val="16"/>
        </w:rPr>
        <w:t> </w:t>
      </w:r>
      <w:r>
        <w:rPr/>
        <w:t>destaque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155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line="364" w:lineRule="auto"/>
        <w:ind w:left="96" w:right="78"/>
        <w:jc w:val="both"/>
      </w:pPr>
      <w:r>
        <w:rPr/>
        <w:t>à necessidade de os gestores se aprofundarem nas atas emitidas pelo COPOM e à</w:t>
      </w:r>
      <w:r>
        <w:rPr>
          <w:spacing w:val="40"/>
        </w:rPr>
        <w:t> </w:t>
      </w:r>
      <w:r>
        <w:rPr/>
        <w:t>importância do treinamento e certificação dos gestores. A Presidente do Comitê agradeceu todos dados fornecidos pelos dois membros do Comitê que participaram do evento promovido pelo Banco do Brasil e passou a apresentar o relatório do Consultor, cuja cópia</w:t>
      </w:r>
      <w:r>
        <w:rPr>
          <w:spacing w:val="40"/>
        </w:rPr>
        <w:t> </w:t>
      </w:r>
      <w:r>
        <w:rPr/>
        <w:t>foi entregue a todos os membros. Nesse relatório consta que o mês de maio teve um rendimento</w:t>
      </w:r>
      <w:r>
        <w:rPr>
          <w:spacing w:val="40"/>
        </w:rPr>
        <w:t> </w:t>
      </w:r>
      <w:r>
        <w:rPr/>
        <w:t>negativo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R$12.290,15</w:t>
      </w:r>
      <w:r>
        <w:rPr>
          <w:spacing w:val="40"/>
        </w:rPr>
        <w:t> </w:t>
      </w:r>
      <w:r>
        <w:rPr/>
        <w:t>(doze</w:t>
      </w:r>
      <w:r>
        <w:rPr>
          <w:spacing w:val="40"/>
        </w:rPr>
        <w:t> </w:t>
      </w:r>
      <w:r>
        <w:rPr/>
        <w:t>mil,</w:t>
      </w:r>
      <w:r>
        <w:rPr>
          <w:spacing w:val="40"/>
        </w:rPr>
        <w:t> </w:t>
      </w:r>
      <w:r>
        <w:rPr/>
        <w:t>duzentos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noventa</w:t>
      </w:r>
      <w:r>
        <w:rPr>
          <w:spacing w:val="40"/>
        </w:rPr>
        <w:t> </w:t>
      </w:r>
      <w:r>
        <w:rPr/>
        <w:t>reais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quinze centavos) . Além disso, a Presidente também ressaltou que devemos analisar com cautela a situação do FASSE, cujo montante está todo aplicado no IMAB5+. A Sra. Carla Maduro sugeriu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retirada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apenas</w:t>
      </w:r>
      <w:r>
        <w:rPr>
          <w:spacing w:val="27"/>
        </w:rPr>
        <w:t> </w:t>
      </w:r>
      <w:r>
        <w:rPr/>
        <w:t>uma</w:t>
      </w:r>
      <w:r>
        <w:rPr>
          <w:spacing w:val="26"/>
        </w:rPr>
        <w:t> </w:t>
      </w:r>
      <w:r>
        <w:rPr/>
        <w:t>parte</w:t>
      </w:r>
      <w:r>
        <w:rPr>
          <w:spacing w:val="26"/>
        </w:rPr>
        <w:t> </w:t>
      </w:r>
      <w:r>
        <w:rPr/>
        <w:t>dos</w:t>
      </w:r>
      <w:r>
        <w:rPr>
          <w:spacing w:val="27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FASSE</w:t>
      </w:r>
      <w:r>
        <w:rPr>
          <w:spacing w:val="28"/>
        </w:rPr>
        <w:t> </w:t>
      </w:r>
      <w:r>
        <w:rPr/>
        <w:t>possui</w:t>
      </w:r>
      <w:r>
        <w:rPr>
          <w:spacing w:val="31"/>
        </w:rPr>
        <w:t> </w:t>
      </w:r>
      <w:r>
        <w:rPr/>
        <w:t>no</w:t>
      </w:r>
      <w:r>
        <w:rPr>
          <w:spacing w:val="29"/>
        </w:rPr>
        <w:t> </w:t>
      </w:r>
      <w:r>
        <w:rPr/>
        <w:t>IMAB5+.</w:t>
      </w:r>
      <w:r>
        <w:rPr>
          <w:spacing w:val="28"/>
        </w:rPr>
        <w:t> </w:t>
      </w:r>
      <w:r>
        <w:rPr/>
        <w:t>O Sr.</w:t>
      </w:r>
      <w:r>
        <w:rPr>
          <w:spacing w:val="25"/>
        </w:rPr>
        <w:t> </w:t>
      </w:r>
      <w:r>
        <w:rPr/>
        <w:t>Marcus</w:t>
      </w:r>
      <w:r>
        <w:rPr>
          <w:spacing w:val="27"/>
        </w:rPr>
        <w:t> </w:t>
      </w:r>
      <w:r>
        <w:rPr/>
        <w:t>Curvelo</w:t>
      </w:r>
      <w:r>
        <w:rPr>
          <w:spacing w:val="27"/>
        </w:rPr>
        <w:t> </w:t>
      </w:r>
      <w:r>
        <w:rPr/>
        <w:t>esclareceu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apesar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IRFM1</w:t>
      </w:r>
      <w:r>
        <w:rPr>
          <w:spacing w:val="27"/>
        </w:rPr>
        <w:t> </w:t>
      </w:r>
      <w:r>
        <w:rPr/>
        <w:t>ter</w:t>
      </w:r>
      <w:r>
        <w:rPr>
          <w:spacing w:val="25"/>
        </w:rPr>
        <w:t> </w:t>
      </w:r>
      <w:r>
        <w:rPr/>
        <w:t>apresentado</w:t>
      </w:r>
      <w:r>
        <w:rPr>
          <w:spacing w:val="25"/>
        </w:rPr>
        <w:t> </w:t>
      </w:r>
      <w:r>
        <w:rPr/>
        <w:t>uma</w:t>
      </w:r>
      <w:r>
        <w:rPr>
          <w:spacing w:val="26"/>
        </w:rPr>
        <w:t> </w:t>
      </w:r>
      <w:r>
        <w:rPr/>
        <w:t>alta,</w:t>
      </w:r>
      <w:r>
        <w:rPr>
          <w:spacing w:val="28"/>
        </w:rPr>
        <w:t> </w:t>
      </w:r>
      <w:r>
        <w:rPr/>
        <w:t>esta</w:t>
      </w:r>
      <w:r>
        <w:rPr>
          <w:spacing w:val="23"/>
        </w:rPr>
        <w:t> </w:t>
      </w:r>
      <w:r>
        <w:rPr/>
        <w:t>não foi suficiente para suprir a queda do IMA, razão pela qual ele sugeriu a retirada integral dos recursos do FASSE do IMAB5+ e aplicação imediata</w:t>
      </w:r>
      <w:r>
        <w:rPr>
          <w:spacing w:val="40"/>
        </w:rPr>
        <w:t> </w:t>
      </w:r>
      <w:r>
        <w:rPr/>
        <w:t>no CDI, o que foi aceito pelo Sr. Daniel</w:t>
      </w:r>
      <w:r>
        <w:rPr>
          <w:spacing w:val="24"/>
        </w:rPr>
        <w:t> </w:t>
      </w:r>
      <w:r>
        <w:rPr/>
        <w:t>Campos</w:t>
      </w:r>
      <w:r>
        <w:rPr>
          <w:spacing w:val="27"/>
        </w:rPr>
        <w:t> </w:t>
      </w:r>
      <w:r>
        <w:rPr/>
        <w:t>e</w:t>
      </w:r>
      <w:r>
        <w:rPr>
          <w:spacing w:val="21"/>
        </w:rPr>
        <w:t> </w:t>
      </w:r>
      <w:r>
        <w:rPr/>
        <w:t>pela</w:t>
      </w:r>
      <w:r>
        <w:rPr>
          <w:spacing w:val="23"/>
        </w:rPr>
        <w:t> </w:t>
      </w:r>
      <w:r>
        <w:rPr/>
        <w:t>Sra.</w:t>
      </w:r>
      <w:r>
        <w:rPr>
          <w:spacing w:val="25"/>
        </w:rPr>
        <w:t> </w:t>
      </w:r>
      <w:r>
        <w:rPr/>
        <w:t>Lucimar</w:t>
      </w:r>
      <w:r>
        <w:rPr>
          <w:spacing w:val="23"/>
        </w:rPr>
        <w:t> </w:t>
      </w:r>
      <w:r>
        <w:rPr/>
        <w:t>Gomes.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entanto,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Sra.</w:t>
      </w:r>
      <w:r>
        <w:rPr>
          <w:spacing w:val="25"/>
        </w:rPr>
        <w:t> </w:t>
      </w:r>
      <w:r>
        <w:rPr/>
        <w:t>Michele</w:t>
      </w:r>
      <w:r>
        <w:rPr>
          <w:spacing w:val="23"/>
        </w:rPr>
        <w:t> </w:t>
      </w:r>
      <w:r>
        <w:rPr/>
        <w:t>sugeriu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retirada de 50% do IMAB5+ e aplicação no CDI, tendo a Sra. Carla Maduro concordado com tal proposta. Sendo assim, por maioria, ficou decidido que no dia doze de junho de dois mil e treze deverá ser feito o resgate integral dos recursos que o FASSE possui no IMAB5+ e,</w:t>
      </w:r>
      <w:r>
        <w:rPr>
          <w:spacing w:val="80"/>
        </w:rPr>
        <w:t> </w:t>
      </w:r>
      <w:r>
        <w:rPr/>
        <w:t>logo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seguida,</w:t>
      </w:r>
      <w:r>
        <w:rPr>
          <w:spacing w:val="28"/>
        </w:rPr>
        <w:t> </w:t>
      </w:r>
      <w:r>
        <w:rPr/>
        <w:t>ser</w:t>
      </w:r>
      <w:r>
        <w:rPr>
          <w:spacing w:val="28"/>
        </w:rPr>
        <w:t> </w:t>
      </w:r>
      <w:r>
        <w:rPr/>
        <w:t>feita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aplicação</w:t>
      </w:r>
      <w:r>
        <w:rPr>
          <w:spacing w:val="27"/>
        </w:rPr>
        <w:t> </w:t>
      </w:r>
      <w:r>
        <w:rPr/>
        <w:t>no</w:t>
      </w:r>
      <w:r>
        <w:rPr>
          <w:spacing w:val="25"/>
        </w:rPr>
        <w:t> </w:t>
      </w:r>
      <w:r>
        <w:rPr/>
        <w:t>BB</w:t>
      </w:r>
      <w:r>
        <w:rPr>
          <w:spacing w:val="26"/>
        </w:rPr>
        <w:t> </w:t>
      </w:r>
      <w:r>
        <w:rPr/>
        <w:t>Previdenciário</w:t>
      </w:r>
      <w:r>
        <w:rPr>
          <w:spacing w:val="25"/>
        </w:rPr>
        <w:t> </w:t>
      </w:r>
      <w:r>
        <w:rPr/>
        <w:t>Renda</w:t>
      </w:r>
      <w:r>
        <w:rPr>
          <w:spacing w:val="28"/>
        </w:rPr>
        <w:t> </w:t>
      </w:r>
      <w:r>
        <w:rPr/>
        <w:t>Fixa</w:t>
      </w:r>
      <w:r>
        <w:rPr>
          <w:spacing w:val="26"/>
        </w:rPr>
        <w:t> </w:t>
      </w:r>
      <w:r>
        <w:rPr/>
        <w:t>Perfil</w:t>
      </w:r>
      <w:r>
        <w:rPr>
          <w:spacing w:val="29"/>
        </w:rPr>
        <w:t> </w:t>
      </w:r>
      <w:r>
        <w:rPr/>
        <w:t>FIC.</w:t>
      </w:r>
      <w:r>
        <w:rPr>
          <w:spacing w:val="30"/>
        </w:rPr>
        <w:t> </w:t>
      </w:r>
      <w:r>
        <w:rPr/>
        <w:t>Logo em seguida, o Sr. Marcus Curvelo se pronunciou no sentido de que o Comitê deverá se</w:t>
      </w:r>
      <w:r>
        <w:rPr>
          <w:spacing w:val="80"/>
        </w:rPr>
        <w:t> </w:t>
      </w:r>
      <w:r>
        <w:rPr/>
        <w:t>reunir dois dias antes de cada reunião mensal para que possamos fazer uma análise prévia</w:t>
      </w:r>
      <w:r>
        <w:rPr>
          <w:spacing w:val="40"/>
        </w:rPr>
        <w:t> </w:t>
      </w:r>
      <w:r>
        <w:rPr/>
        <w:t>das atas do COPOM e do cenário econômico como um todo, o que foi aceito por unanimidade. Informou a Sra. Michele que na conta 27090-3 do Banco do Brasil há R$ 187.297,38 (cento e oitenta e sete mil, duzentos e noventa e sete reais e trinta e oito</w:t>
      </w:r>
      <w:r>
        <w:rPr>
          <w:spacing w:val="40"/>
        </w:rPr>
        <w:t> </w:t>
      </w:r>
      <w:r>
        <w:rPr/>
        <w:t>centavos)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estão</w:t>
      </w:r>
      <w:r>
        <w:rPr>
          <w:spacing w:val="27"/>
        </w:rPr>
        <w:t> </w:t>
      </w:r>
      <w:r>
        <w:rPr/>
        <w:t>aplicados</w:t>
      </w:r>
      <w:r>
        <w:rPr>
          <w:spacing w:val="27"/>
        </w:rPr>
        <w:t> </w:t>
      </w:r>
      <w:r>
        <w:rPr/>
        <w:t>em</w:t>
      </w:r>
      <w:r>
        <w:rPr>
          <w:spacing w:val="27"/>
        </w:rPr>
        <w:t> </w:t>
      </w:r>
      <w:r>
        <w:rPr/>
        <w:t>IRFM</w:t>
      </w:r>
      <w:r>
        <w:rPr>
          <w:spacing w:val="23"/>
        </w:rPr>
        <w:t> </w:t>
      </w:r>
      <w:r>
        <w:rPr/>
        <w:t>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deverão</w:t>
      </w:r>
      <w:r>
        <w:rPr>
          <w:spacing w:val="28"/>
        </w:rPr>
        <w:t> </w:t>
      </w:r>
      <w:r>
        <w:rPr/>
        <w:t>ser</w:t>
      </w:r>
      <w:r>
        <w:rPr>
          <w:spacing w:val="25"/>
        </w:rPr>
        <w:t> </w:t>
      </w:r>
      <w:r>
        <w:rPr/>
        <w:t>objeto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análise</w:t>
      </w:r>
      <w:r>
        <w:rPr>
          <w:spacing w:val="26"/>
        </w:rPr>
        <w:t> </w:t>
      </w:r>
      <w:r>
        <w:rPr/>
        <w:t>pelo</w:t>
      </w:r>
      <w:r>
        <w:rPr>
          <w:spacing w:val="25"/>
        </w:rPr>
        <w:t> </w:t>
      </w:r>
      <w:r>
        <w:rPr/>
        <w:t>Comitê, eis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tal</w:t>
      </w:r>
      <w:r>
        <w:rPr>
          <w:spacing w:val="40"/>
        </w:rPr>
        <w:t> </w:t>
      </w:r>
      <w:r>
        <w:rPr/>
        <w:t>índice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vem</w:t>
      </w:r>
      <w:r>
        <w:rPr>
          <w:spacing w:val="40"/>
        </w:rPr>
        <w:t> </w:t>
      </w:r>
      <w:r>
        <w:rPr/>
        <w:t>apresentando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rendimento</w:t>
      </w:r>
      <w:r>
        <w:rPr>
          <w:spacing w:val="40"/>
        </w:rPr>
        <w:t> </w:t>
      </w:r>
      <w:r>
        <w:rPr/>
        <w:t>negativo.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Marcus Curvelo</w:t>
      </w:r>
      <w:r>
        <w:rPr>
          <w:spacing w:val="39"/>
        </w:rPr>
        <w:t> </w:t>
      </w:r>
      <w:r>
        <w:rPr/>
        <w:t>propôs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retirada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do</w:t>
      </w:r>
      <w:r>
        <w:rPr>
          <w:spacing w:val="39"/>
        </w:rPr>
        <w:t> </w:t>
      </w:r>
      <w:r>
        <w:rPr/>
        <w:t>citado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do</w:t>
      </w:r>
      <w:r>
        <w:rPr>
          <w:spacing w:val="39"/>
        </w:rPr>
        <w:t> </w:t>
      </w:r>
      <w:r>
        <w:rPr/>
        <w:t>IRFM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aplicação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CDI,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foi aceito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todos,</w:t>
      </w:r>
      <w:r>
        <w:rPr>
          <w:spacing w:val="40"/>
        </w:rPr>
        <w:t> </w:t>
      </w:r>
      <w:r>
        <w:rPr/>
        <w:t>tendo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vista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prudente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haja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diversificação</w:t>
      </w:r>
      <w:r>
        <w:rPr>
          <w:spacing w:val="40"/>
        </w:rPr>
        <w:t> </w:t>
      </w:r>
      <w:r>
        <w:rPr/>
        <w:t>dos investimentos. Quanto ao crédito do COMPREV-estoque, depositado em 07 de junho no valor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R$</w:t>
      </w:r>
      <w:r>
        <w:rPr>
          <w:spacing w:val="16"/>
        </w:rPr>
        <w:t> </w:t>
      </w:r>
      <w:r>
        <w:rPr/>
        <w:t>474.152,19</w:t>
      </w:r>
      <w:r>
        <w:rPr>
          <w:spacing w:val="18"/>
        </w:rPr>
        <w:t> </w:t>
      </w:r>
      <w:r>
        <w:rPr/>
        <w:t>(quatrocentos</w:t>
      </w:r>
      <w:r>
        <w:rPr>
          <w:spacing w:val="20"/>
        </w:rPr>
        <w:t> </w:t>
      </w:r>
      <w:r>
        <w:rPr/>
        <w:t>e</w:t>
      </w:r>
      <w:r>
        <w:rPr>
          <w:spacing w:val="14"/>
        </w:rPr>
        <w:t> </w:t>
      </w:r>
      <w:r>
        <w:rPr/>
        <w:t>setenta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quatro</w:t>
      </w:r>
      <w:r>
        <w:rPr>
          <w:spacing w:val="18"/>
        </w:rPr>
        <w:t> </w:t>
      </w:r>
      <w:r>
        <w:rPr/>
        <w:t>mil,</w:t>
      </w:r>
      <w:r>
        <w:rPr>
          <w:spacing w:val="17"/>
        </w:rPr>
        <w:t> </w:t>
      </w:r>
      <w:r>
        <w:rPr/>
        <w:t>cento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cinqüenta</w:t>
      </w:r>
      <w:r>
        <w:rPr>
          <w:spacing w:val="14"/>
        </w:rPr>
        <w:t> </w:t>
      </w:r>
      <w:r>
        <w:rPr/>
        <w:t>e</w:t>
      </w:r>
      <w:r>
        <w:rPr>
          <w:spacing w:val="17"/>
        </w:rPr>
        <w:t> </w:t>
      </w:r>
      <w:r>
        <w:rPr/>
        <w:t>dois</w:t>
      </w:r>
      <w:r>
        <w:rPr>
          <w:spacing w:val="16"/>
        </w:rPr>
        <w:t> </w:t>
      </w:r>
      <w:r>
        <w:rPr/>
        <w:t>reais e</w:t>
      </w:r>
      <w:r>
        <w:rPr>
          <w:spacing w:val="24"/>
        </w:rPr>
        <w:t> </w:t>
      </w:r>
      <w:r>
        <w:rPr/>
        <w:t>dezenove</w:t>
      </w:r>
      <w:r>
        <w:rPr>
          <w:spacing w:val="26"/>
        </w:rPr>
        <w:t> </w:t>
      </w:r>
      <w:r>
        <w:rPr/>
        <w:t>centavos),</w:t>
      </w:r>
      <w:r>
        <w:rPr>
          <w:spacing w:val="26"/>
        </w:rPr>
        <w:t> </w:t>
      </w:r>
      <w:r>
        <w:rPr/>
        <w:t>foi</w:t>
      </w:r>
      <w:r>
        <w:rPr>
          <w:spacing w:val="27"/>
        </w:rPr>
        <w:t> </w:t>
      </w:r>
      <w:r>
        <w:rPr/>
        <w:t>decidido,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unanimidade,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deverá</w:t>
      </w:r>
      <w:r>
        <w:rPr>
          <w:spacing w:val="24"/>
        </w:rPr>
        <w:t> </w:t>
      </w:r>
      <w:r>
        <w:rPr/>
        <w:t>ser</w:t>
      </w:r>
      <w:r>
        <w:rPr>
          <w:spacing w:val="23"/>
        </w:rPr>
        <w:t> </w:t>
      </w:r>
      <w:r>
        <w:rPr/>
        <w:t>aplicado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IRFM1,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155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line="364" w:lineRule="auto"/>
        <w:ind w:left="96" w:right="81"/>
        <w:jc w:val="both"/>
      </w:pPr>
      <w:r>
        <w:rPr/>
        <w:t>pois tal recurso poderá ter que ser utilizado para complementação de folha de pagamento. O Comitê também decidiu que os recursos a serem depositados pela Prefeitura Municipal de Petrópolis nos próximos dias, no valor aproximado de R$ 752.000,00 (setecentos e</w:t>
      </w:r>
      <w:r>
        <w:rPr>
          <w:spacing w:val="80"/>
        </w:rPr>
        <w:t> </w:t>
      </w:r>
      <w:r>
        <w:rPr/>
        <w:t>cinqüenta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reais)</w:t>
      </w:r>
      <w:r>
        <w:rPr>
          <w:spacing w:val="40"/>
        </w:rPr>
        <w:t> </w:t>
      </w:r>
      <w:r>
        <w:rPr/>
        <w:t>deverão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aplicados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IRFM1,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intuito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proteger</w:t>
      </w:r>
      <w:r>
        <w:rPr>
          <w:spacing w:val="40"/>
        </w:rPr>
        <w:t> </w:t>
      </w:r>
      <w:r>
        <w:rPr/>
        <w:t>a carteira contra</w:t>
      </w:r>
      <w:r>
        <w:rPr>
          <w:spacing w:val="15"/>
        </w:rPr>
        <w:t> </w:t>
      </w:r>
      <w:r>
        <w:rPr/>
        <w:t>a volatilidade intensa. Por fim, o</w:t>
      </w:r>
      <w:r>
        <w:rPr>
          <w:spacing w:val="15"/>
        </w:rPr>
        <w:t> </w:t>
      </w:r>
      <w:r>
        <w:rPr/>
        <w:t>Sr. Marcus</w:t>
      </w:r>
      <w:r>
        <w:rPr>
          <w:spacing w:val="16"/>
        </w:rPr>
        <w:t> </w:t>
      </w:r>
      <w:r>
        <w:rPr/>
        <w:t>Curvelo ressaltou que, segundo</w:t>
      </w:r>
      <w:r>
        <w:rPr>
          <w:spacing w:val="80"/>
        </w:rPr>
        <w:t> </w:t>
      </w:r>
      <w:r>
        <w:rPr/>
        <w:t>o Boletim FOCUS, há uma expectativa de queda do IPCA. Nada mais havendo a tratar, a senhora Presidente deu por encerrada a reunião às dezesseis horas e quinze minutos, cuja</w:t>
      </w:r>
      <w:r>
        <w:rPr>
          <w:spacing w:val="8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Maduro</w:t>
      </w:r>
      <w:r>
        <w:rPr>
          <w:spacing w:val="40"/>
        </w:rPr>
        <w:t> </w:t>
      </w:r>
      <w:r>
        <w:rPr/>
        <w:t>Vogas</w:t>
      </w:r>
      <w:r>
        <w:rPr>
          <w:spacing w:val="40"/>
        </w:rPr>
        <w:t> </w:t>
      </w:r>
      <w:r>
        <w:rPr/>
        <w:t>Tavares,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“ad</w:t>
      </w:r>
      <w:r>
        <w:rPr>
          <w:spacing w:val="40"/>
        </w:rPr>
        <w:t> </w:t>
      </w:r>
      <w:r>
        <w:rPr/>
        <w:t>hoc”</w:t>
      </w:r>
      <w:r>
        <w:rPr>
          <w:spacing w:val="40"/>
        </w:rPr>
        <w:t> </w:t>
      </w:r>
      <w:r>
        <w:rPr/>
        <w:t>deste Comitê, a qual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1051559</wp:posOffset>
                </wp:positionH>
                <wp:positionV relativeFrom="paragraph">
                  <wp:posOffset>219295</wp:posOffset>
                </wp:positionV>
                <wp:extent cx="25222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2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220" h="0">
                              <a:moveTo>
                                <a:pt x="0" y="0"/>
                              </a:moveTo>
                              <a:lnTo>
                                <a:pt x="2521658" y="0"/>
                              </a:lnTo>
                            </a:path>
                          </a:pathLst>
                        </a:custGeom>
                        <a:ln w="6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65pt;margin-top:17.267397pt;width:198.6pt;height:.1pt;mso-position-horizontal-relative:page;mso-position-vertical-relative:paragraph;z-index:-15728640;mso-wrap-distance-left:0;mso-wrap-distance-right:0" id="docshape1" coordorigin="1656,345" coordsize="3972,0" path="m1656,345l5627,345e" filled="false" stroked="true" strokeweight=".47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4241286</wp:posOffset>
                </wp:positionH>
                <wp:positionV relativeFrom="paragraph">
                  <wp:posOffset>219295</wp:posOffset>
                </wp:positionV>
                <wp:extent cx="22250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 h="0">
                              <a:moveTo>
                                <a:pt x="0" y="0"/>
                              </a:moveTo>
                              <a:lnTo>
                                <a:pt x="2224482" y="0"/>
                              </a:lnTo>
                            </a:path>
                          </a:pathLst>
                        </a:custGeom>
                        <a:ln w="6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959564pt;margin-top:17.267397pt;width:175.2pt;height:.1pt;mso-position-horizontal-relative:page;mso-position-vertical-relative:paragraph;z-index:-15728128;mso-wrap-distance-left:0;mso-wrap-distance-right:0" id="docshape2" coordorigin="6679,345" coordsize="3504,0" path="m6679,345l10182,345e" filled="false" stroked="true" strokeweight=".47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22" w:val="left" w:leader="none"/>
          <w:tab w:pos="5568" w:val="left" w:leader="none"/>
        </w:tabs>
        <w:spacing w:line="244" w:lineRule="auto" w:before="3"/>
        <w:ind w:left="447" w:right="679" w:firstLine="350"/>
      </w:pPr>
      <w:r>
        <w:rPr/>
        <w:t>Michele Schifller Forster</w:t>
        <w:tab/>
        <w:t>Daniel Luiz</w:t>
      </w:r>
      <w:r>
        <w:rPr>
          <w:spacing w:val="-2"/>
        </w:rPr>
        <w:t> </w:t>
      </w:r>
      <w:r>
        <w:rPr/>
        <w:t>Simões Campos Chefe da Divisão de Tesouraria</w:t>
        <w:tab/>
        <w:tab/>
        <w:t>Diretor Adm. e Financeiro</w:t>
      </w:r>
    </w:p>
    <w:p>
      <w:pPr>
        <w:pStyle w:val="BodyText"/>
        <w:spacing w:line="263" w:lineRule="exact"/>
        <w:ind w:left="1380"/>
      </w:pPr>
      <w:r>
        <w:rPr>
          <w:spacing w:val="-2"/>
        </w:rPr>
        <w:t>Presidente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1051559</wp:posOffset>
                </wp:positionH>
                <wp:positionV relativeFrom="paragraph">
                  <wp:posOffset>242438</wp:posOffset>
                </wp:positionV>
                <wp:extent cx="25222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2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220" h="0">
                              <a:moveTo>
                                <a:pt x="0" y="0"/>
                              </a:moveTo>
                              <a:lnTo>
                                <a:pt x="2521658" y="0"/>
                              </a:lnTo>
                            </a:path>
                          </a:pathLst>
                        </a:custGeom>
                        <a:ln w="6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65pt;margin-top:19.089613pt;width:198.6pt;height:.1pt;mso-position-horizontal-relative:page;mso-position-vertical-relative:paragraph;z-index:-15727616;mso-wrap-distance-left:0;mso-wrap-distance-right:0" id="docshape3" coordorigin="1656,382" coordsize="3972,0" path="m1656,382l5627,382e" filled="false" stroked="true" strokeweight=".47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4241286</wp:posOffset>
                </wp:positionH>
                <wp:positionV relativeFrom="paragraph">
                  <wp:posOffset>242438</wp:posOffset>
                </wp:positionV>
                <wp:extent cx="22250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 h="0">
                              <a:moveTo>
                                <a:pt x="0" y="0"/>
                              </a:moveTo>
                              <a:lnTo>
                                <a:pt x="2224483" y="0"/>
                              </a:lnTo>
                            </a:path>
                          </a:pathLst>
                        </a:custGeom>
                        <a:ln w="6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959564pt;margin-top:19.089613pt;width:175.2pt;height:.1pt;mso-position-horizontal-relative:page;mso-position-vertical-relative:paragraph;z-index:-15727104;mso-wrap-distance-left:0;mso-wrap-distance-right:0" id="docshape4" coordorigin="6679,382" coordsize="3504,0" path="m6679,382l10182,382e" filled="false" stroked="true" strokeweight=".47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508" w:val="left" w:leader="none"/>
          <w:tab w:pos="5794" w:val="left" w:leader="none"/>
        </w:tabs>
        <w:spacing w:line="244" w:lineRule="auto" w:before="3"/>
        <w:ind w:left="680" w:right="290" w:firstLine="105"/>
      </w:pPr>
      <w:r>
        <w:rPr/>
        <w:t>Marcus Curvelo</w:t>
        <w:tab/>
        <w:t>Carla</w:t>
      </w:r>
      <w:r>
        <w:rPr>
          <w:spacing w:val="-1"/>
        </w:rPr>
        <w:t> </w:t>
      </w:r>
      <w:r>
        <w:rPr/>
        <w:t>Cristina</w:t>
      </w:r>
      <w:r>
        <w:rPr>
          <w:spacing w:val="-1"/>
        </w:rPr>
        <w:t> </w:t>
      </w:r>
      <w:r>
        <w:rPr/>
        <w:t>C. M. V. Tavares </w:t>
      </w:r>
      <w:r>
        <w:rPr>
          <w:spacing w:val="-2"/>
        </w:rPr>
        <w:t>Diretor-Presidente</w:t>
      </w:r>
      <w:r>
        <w:rPr/>
        <w:tab/>
        <w:tab/>
        <w:t>Gestora Previdenciária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1051553</wp:posOffset>
                </wp:positionH>
                <wp:positionV relativeFrom="paragraph">
                  <wp:posOffset>212291</wp:posOffset>
                </wp:positionV>
                <wp:extent cx="25222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2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220" h="0">
                              <a:moveTo>
                                <a:pt x="0" y="0"/>
                              </a:moveTo>
                              <a:lnTo>
                                <a:pt x="2521658" y="0"/>
                              </a:lnTo>
                            </a:path>
                          </a:pathLst>
                        </a:custGeom>
                        <a:ln w="6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469pt;margin-top:16.715839pt;width:198.6pt;height:.1pt;mso-position-horizontal-relative:page;mso-position-vertical-relative:paragraph;z-index:-15726592;mso-wrap-distance-left:0;mso-wrap-distance-right:0" id="docshape5" coordorigin="1656,334" coordsize="3972,0" path="m1656,334l5627,334e" filled="false" stroked="true" strokeweight=".47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3"/>
        <w:ind w:left="154" w:right="5339" w:firstLine="352"/>
      </w:pPr>
      <w:r>
        <w:rPr/>
        <w:t>Lucimar da Gloria Gomes Chefe da Divisão de Contabilidade</w:t>
      </w:r>
    </w:p>
    <w:sectPr>
      <w:pgSz w:w="11900" w:h="1684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2025-05-19T16:25:00Z</dcterms:created>
  <dcterms:modified xsi:type="dcterms:W3CDTF">2025-05-19T16:25:00Z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