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35862" cy="12512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862" cy="12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360" w:lineRule="auto"/>
        <w:ind w:left="261" w:right="49"/>
        <w:jc w:val="both"/>
      </w:pPr>
      <w:r>
        <w:rPr/>
        <w:t>Ata da décima segunda reunião ordinária do Comitê de Investimentos do Instituto de Previdência e Assistência Social do Servidor Público do Município de Petrópolis – </w:t>
      </w:r>
      <w:r>
        <w:rPr>
          <w:spacing w:val="-2"/>
        </w:rPr>
        <w:t>INPAS.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261" w:right="47"/>
        <w:jc w:val="both"/>
      </w:pPr>
      <w:r>
        <w:rPr/>
        <w:t>Aos onze dias do mês de outubro do ano de dois mil e treze, na sala do Diretor- Presidente, reuniram-se os cinco membros do Comitê de Investimentos deste Regime Próprio de Previdência Social, conforme Decreto Municipal que criou o citado Comitê, número hum mil e dez, de trinta e hum de outubro de dois mil e doze, publicado no Diário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hum de</w:t>
      </w:r>
      <w:r>
        <w:rPr>
          <w:spacing w:val="-1"/>
        </w:rPr>
        <w:t> </w:t>
      </w:r>
      <w:r>
        <w:rPr/>
        <w:t>novembro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dois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doze,</w:t>
      </w:r>
      <w:r>
        <w:rPr>
          <w:spacing w:val="-1"/>
        </w:rPr>
        <w:t> </w:t>
      </w:r>
      <w:r>
        <w:rPr/>
        <w:t>com a seguinte composição: 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 senhora Adriana Catarina da Costa, Secretária eleita deste Comitê; d) Chefe da Divisão de Contabilidade, senhora Lucimar da Glória Gomes; e) Gestora Previdenciária do Regime Próprio de Previdência Social - RPPS, senhora Carla Cristina Correia Maduro Vogas Tavares, além da senhora Michele Schiffler</w:t>
      </w:r>
      <w:r>
        <w:rPr>
          <w:spacing w:val="-1"/>
        </w:rPr>
        <w:t> </w:t>
      </w:r>
      <w:r>
        <w:rPr/>
        <w:t>Forster, convidada a participar</w:t>
      </w:r>
      <w:r>
        <w:rPr>
          <w:spacing w:val="-1"/>
        </w:rPr>
        <w:t> </w:t>
      </w:r>
      <w:r>
        <w:rPr/>
        <w:t>das reuniões com direito à voz e sem direito a voto. Iniciou-se, com esta composição, a referida reunião para atendimento à pauta do dia, que teve a seguinte ordem: a) Análise do cenário macroeconômico de curto prazo, bem como as expectativas de mercado; b) Avaliação dos investimentos que compõem o patrimônio dos diversos segmentos de aplicação; c) Análise do fluxo de caixa, considerando as obrigações previdenciárias e administrativas para o mês em curso; d) Proposições de investimentos/ desinvestimentos, considerando avaliações técnicas com relação aos ativos objetos da proposta,</w:t>
      </w:r>
      <w:r>
        <w:rPr>
          <w:spacing w:val="36"/>
        </w:rPr>
        <w:t> </w:t>
      </w:r>
      <w:r>
        <w:rPr/>
        <w:t>que</w:t>
      </w:r>
      <w:r>
        <w:rPr>
          <w:spacing w:val="38"/>
        </w:rPr>
        <w:t> </w:t>
      </w:r>
      <w:r>
        <w:rPr/>
        <w:t>justifique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movimento</w:t>
      </w:r>
      <w:r>
        <w:rPr>
          <w:spacing w:val="38"/>
        </w:rPr>
        <w:t> </w:t>
      </w:r>
      <w:r>
        <w:rPr/>
        <w:t>proposto;</w:t>
      </w:r>
      <w:r>
        <w:rPr>
          <w:spacing w:val="36"/>
        </w:rPr>
        <w:t> </w:t>
      </w:r>
      <w:r>
        <w:rPr/>
        <w:t>e)</w:t>
      </w:r>
      <w:r>
        <w:rPr>
          <w:spacing w:val="36"/>
        </w:rPr>
        <w:t> </w:t>
      </w:r>
      <w:r>
        <w:rPr/>
        <w:t>Assuntos</w:t>
      </w:r>
      <w:r>
        <w:rPr>
          <w:spacing w:val="37"/>
        </w:rPr>
        <w:t> </w:t>
      </w:r>
      <w:r>
        <w:rPr/>
        <w:t>gerais.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senhor</w:t>
      </w:r>
      <w:r>
        <w:rPr>
          <w:spacing w:val="36"/>
        </w:rPr>
        <w:t> </w:t>
      </w:r>
      <w:r>
        <w:rPr>
          <w:spacing w:val="-2"/>
        </w:rPr>
        <w:t>Daniel</w:t>
      </w:r>
    </w:p>
    <w:p>
      <w:pPr>
        <w:pStyle w:val="BodyText"/>
        <w:spacing w:after="0" w:line="360" w:lineRule="auto"/>
        <w:jc w:val="both"/>
        <w:sectPr>
          <w:type w:val="continuous"/>
          <w:pgSz w:w="12240" w:h="15840"/>
          <w:pgMar w:top="1700" w:bottom="280" w:left="1440" w:right="1080"/>
        </w:sectPr>
      </w:pPr>
    </w:p>
    <w:p>
      <w:pPr>
        <w:pStyle w:val="BodyText"/>
        <w:tabs>
          <w:tab w:pos="703" w:val="left" w:leader="none"/>
          <w:tab w:pos="983" w:val="left" w:leader="none"/>
          <w:tab w:pos="1533" w:val="left" w:leader="none"/>
          <w:tab w:pos="3684" w:val="left" w:leader="none"/>
          <w:tab w:pos="3878" w:val="left" w:leader="none"/>
          <w:tab w:pos="4752" w:val="left" w:leader="none"/>
          <w:tab w:pos="5085" w:val="left" w:leader="none"/>
          <w:tab w:pos="6249" w:val="left" w:leader="none"/>
          <w:tab w:pos="6837" w:val="left" w:leader="none"/>
          <w:tab w:pos="7425" w:val="left" w:leader="none"/>
          <w:tab w:pos="7934" w:val="left" w:leader="none"/>
          <w:tab w:pos="9336" w:val="left" w:leader="none"/>
          <w:tab w:pos="9400" w:val="left" w:leader="none"/>
        </w:tabs>
        <w:spacing w:line="360" w:lineRule="auto" w:before="79"/>
        <w:ind w:left="261" w:right="46"/>
      </w:pPr>
      <w:r>
        <w:rPr/>
        <w:t>iniciou a reunião procedendo à leitura do</w:t>
      </w:r>
      <w:r>
        <w:rPr>
          <w:spacing w:val="-2"/>
        </w:rPr>
        <w:t> </w:t>
      </w:r>
      <w:r>
        <w:rPr/>
        <w:t>periódico editado pela</w:t>
      </w:r>
      <w:r>
        <w:rPr>
          <w:spacing w:val="-2"/>
        </w:rPr>
        <w:t> </w:t>
      </w:r>
      <w:r>
        <w:rPr/>
        <w:t>empresa de Consultoria Crédito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“Panorama”,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primeiro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pauta.</w:t>
      </w:r>
      <w:r>
        <w:rPr>
          <w:spacing w:val="40"/>
        </w:rPr>
        <w:t> </w:t>
      </w:r>
      <w:r>
        <w:rPr/>
        <w:t>Nele, registra-se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recuo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inflação</w:t>
      </w:r>
      <w:r>
        <w:rPr>
          <w:spacing w:val="40"/>
        </w:rPr>
        <w:t> </w:t>
      </w:r>
      <w:r>
        <w:rPr/>
        <w:t>pressionada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preço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alimentos,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a instabilidade do cenário econômico e a sinalização do COPOM de que tal recuo possa ser apenas momentâneo, que elevou a taxa básica da economia – SELIC para nove e </w:t>
      </w:r>
      <w:r>
        <w:rPr>
          <w:spacing w:val="-4"/>
        </w:rPr>
        <w:t>meio</w:t>
      </w:r>
      <w:r>
        <w:rPr/>
        <w:tab/>
      </w:r>
      <w:r>
        <w:rPr>
          <w:spacing w:val="-4"/>
        </w:rPr>
        <w:t>por</w:t>
      </w:r>
      <w:r>
        <w:rPr/>
        <w:tab/>
        <w:t>cento.</w:t>
      </w:r>
      <w:r>
        <w:rPr>
          <w:spacing w:val="80"/>
        </w:rPr>
        <w:t> </w:t>
      </w:r>
      <w:r>
        <w:rPr/>
        <w:t>Aponta-se</w:t>
        <w:tab/>
      </w:r>
      <w:r>
        <w:rPr>
          <w:spacing w:val="-2"/>
        </w:rPr>
        <w:t>também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elevação</w:t>
      </w:r>
      <w:r>
        <w:rPr/>
        <w:tab/>
      </w:r>
      <w:r>
        <w:rPr>
          <w:spacing w:val="-4"/>
        </w:rPr>
        <w:t>das</w:t>
      </w:r>
      <w:r>
        <w:rPr/>
        <w:tab/>
        <w:t>contratações</w:t>
      </w:r>
      <w:r>
        <w:rPr>
          <w:spacing w:val="80"/>
        </w:rPr>
        <w:t> </w:t>
      </w:r>
      <w:r>
        <w:rPr/>
        <w:t>formais</w:t>
        <w:tab/>
        <w:tab/>
      </w:r>
      <w:r>
        <w:rPr>
          <w:spacing w:val="-6"/>
        </w:rPr>
        <w:t>de </w:t>
      </w:r>
      <w:r>
        <w:rPr/>
        <w:t>trabalhadores,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subiu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cinquenta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oito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agosto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próximo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noventa</w:t>
      </w:r>
      <w:r>
        <w:rPr>
          <w:spacing w:val="33"/>
        </w:rPr>
        <w:t> </w:t>
      </w:r>
      <w:r>
        <w:rPr/>
        <w:t>e hum mil em setembro, sendo o melhor resultado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14 meses.</w:t>
      </w:r>
      <w:r>
        <w:rPr>
          <w:spacing w:val="40"/>
        </w:rPr>
        <w:t> </w:t>
      </w:r>
      <w:r>
        <w:rPr/>
        <w:t>Relata, ainda,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 ritmo</w:t>
      </w:r>
      <w:r>
        <w:rPr>
          <w:spacing w:val="77"/>
        </w:rPr>
        <w:t> </w:t>
      </w:r>
      <w:r>
        <w:rPr/>
        <w:t>de</w:t>
      </w:r>
      <w:r>
        <w:rPr>
          <w:spacing w:val="74"/>
        </w:rPr>
        <w:t> </w:t>
      </w:r>
      <w:r>
        <w:rPr/>
        <w:t>crescimento</w:t>
      </w:r>
      <w:r>
        <w:rPr>
          <w:spacing w:val="74"/>
        </w:rPr>
        <w:t> </w:t>
      </w:r>
      <w:r>
        <w:rPr/>
        <w:t>da</w:t>
      </w:r>
      <w:r>
        <w:rPr>
          <w:spacing w:val="77"/>
        </w:rPr>
        <w:t> </w:t>
      </w:r>
      <w:r>
        <w:rPr/>
        <w:t>economia</w:t>
      </w:r>
      <w:r>
        <w:rPr>
          <w:spacing w:val="77"/>
        </w:rPr>
        <w:t> </w:t>
      </w:r>
      <w:r>
        <w:rPr/>
        <w:t>brasileira</w:t>
      </w:r>
      <w:r>
        <w:rPr>
          <w:spacing w:val="77"/>
        </w:rPr>
        <w:t> </w:t>
      </w:r>
      <w:r>
        <w:rPr/>
        <w:t>deva</w:t>
      </w:r>
      <w:r>
        <w:rPr>
          <w:spacing w:val="77"/>
        </w:rPr>
        <w:t> </w:t>
      </w:r>
      <w:r>
        <w:rPr/>
        <w:t>ser</w:t>
      </w:r>
      <w:r>
        <w:rPr>
          <w:spacing w:val="75"/>
        </w:rPr>
        <w:t> </w:t>
      </w:r>
      <w:r>
        <w:rPr/>
        <w:t>somente</w:t>
      </w:r>
      <w:r>
        <w:rPr>
          <w:spacing w:val="74"/>
        </w:rPr>
        <w:t> </w:t>
      </w:r>
      <w:r>
        <w:rPr/>
        <w:t>moderado,</w:t>
      </w:r>
      <w:r>
        <w:rPr>
          <w:spacing w:val="11"/>
        </w:rPr>
        <w:t> </w:t>
      </w:r>
      <w:r>
        <w:rPr/>
        <w:t>devido </w:t>
      </w:r>
      <w:r>
        <w:rPr>
          <w:spacing w:val="-10"/>
        </w:rPr>
        <w:t>à</w:t>
      </w:r>
      <w:r>
        <w:rPr/>
        <w:tab/>
        <w:t>taxas de juro em elevação,</w:t>
        <w:tab/>
        <w:tab/>
        <w:t>os estoques altos na indústria,</w:t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confiança</w:t>
      </w:r>
      <w:r>
        <w:rPr/>
        <w:tab/>
      </w:r>
      <w:r>
        <w:rPr>
          <w:spacing w:val="-6"/>
        </w:rPr>
        <w:t>do</w:t>
      </w:r>
    </w:p>
    <w:p>
      <w:pPr>
        <w:pStyle w:val="BodyText"/>
        <w:spacing w:before="247"/>
      </w:pPr>
    </w:p>
    <w:p>
      <w:pPr>
        <w:pStyle w:val="BodyText"/>
        <w:ind w:left="261"/>
      </w:pPr>
      <w:r>
        <w:rPr/>
        <w:t>empresário</w:t>
      </w:r>
      <w:r>
        <w:rPr>
          <w:spacing w:val="53"/>
          <w:w w:val="150"/>
        </w:rPr>
        <w:t> </w:t>
      </w:r>
      <w:r>
        <w:rPr/>
        <w:t>em</w:t>
      </w:r>
      <w:r>
        <w:rPr>
          <w:spacing w:val="54"/>
          <w:w w:val="150"/>
        </w:rPr>
        <w:t> </w:t>
      </w:r>
      <w:r>
        <w:rPr/>
        <w:t>declínio,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diminuição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espaço</w:t>
      </w:r>
      <w:r>
        <w:rPr>
          <w:spacing w:val="53"/>
          <w:w w:val="150"/>
        </w:rPr>
        <w:t> </w:t>
      </w:r>
      <w:r>
        <w:rPr/>
        <w:t>para</w:t>
      </w:r>
      <w:r>
        <w:rPr>
          <w:spacing w:val="53"/>
          <w:w w:val="150"/>
        </w:rPr>
        <w:t> </w:t>
      </w:r>
      <w:r>
        <w:rPr/>
        <w:t>estímulo</w:t>
      </w:r>
      <w:r>
        <w:rPr>
          <w:spacing w:val="-7"/>
        </w:rPr>
        <w:t> </w:t>
      </w:r>
      <w:r>
        <w:rPr/>
        <w:t>fiscal</w:t>
      </w:r>
      <w:r>
        <w:rPr>
          <w:spacing w:val="51"/>
          <w:w w:val="150"/>
        </w:rPr>
        <w:t> </w:t>
      </w:r>
      <w:r>
        <w:rPr/>
        <w:t>e</w:t>
      </w:r>
      <w:r>
        <w:rPr>
          <w:spacing w:val="53"/>
          <w:w w:val="150"/>
        </w:rPr>
        <w:t> </w:t>
      </w:r>
      <w:r>
        <w:rPr>
          <w:spacing w:val="-2"/>
        </w:rPr>
        <w:t>para</w:t>
      </w:r>
      <w:r>
        <w:rPr>
          <w:rFonts w:ascii="Cambria Math" w:hAnsi="Cambria Math"/>
          <w:spacing w:val="-2"/>
        </w:rPr>
        <w:t>‐</w:t>
      </w:r>
      <w:r>
        <w:rPr>
          <w:spacing w:val="-2"/>
        </w:rPr>
        <w:t>fiscal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360" w:lineRule="auto"/>
        <w:ind w:left="261" w:right="46"/>
        <w:jc w:val="both"/>
      </w:pPr>
      <w:r>
        <w:rPr/>
        <w:t>e</w:t>
      </w:r>
      <w:r>
        <w:rPr>
          <w:spacing w:val="-1"/>
        </w:rPr>
        <w:t> </w:t>
      </w:r>
      <w:r>
        <w:rPr/>
        <w:t>os</w:t>
      </w:r>
      <w:r>
        <w:rPr>
          <w:spacing w:val="80"/>
        </w:rPr>
        <w:t> </w:t>
      </w:r>
      <w:r>
        <w:rPr/>
        <w:t>atrasos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infraestrutura.</w:t>
      </w:r>
      <w:r>
        <w:rPr>
          <w:spacing w:val="-1"/>
        </w:rPr>
        <w:t> </w:t>
      </w:r>
      <w:r>
        <w:rPr/>
        <w:t>O</w:t>
      </w:r>
      <w:r>
        <w:rPr>
          <w:spacing w:val="80"/>
        </w:rPr>
        <w:t> </w:t>
      </w:r>
      <w:r>
        <w:rPr/>
        <w:t>periódico</w:t>
      </w:r>
      <w:r>
        <w:rPr>
          <w:spacing w:val="80"/>
        </w:rPr>
        <w:t> </w:t>
      </w:r>
      <w:r>
        <w:rPr/>
        <w:t>encerra aventando a possibilidade do aumento da taxa SELIC para dez por cento até o final do ano de dois mil e treze. O senhor Marcus Curvelo disse sentir falta de explicações quanto ao default técnico americano, por se tratar de um assunto de extrema importância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mercado</w:t>
      </w:r>
      <w:r>
        <w:rPr>
          <w:spacing w:val="-4"/>
        </w:rPr>
        <w:t> </w:t>
      </w:r>
      <w:r>
        <w:rPr/>
        <w:t>financeiro.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Secretária</w:t>
      </w:r>
      <w:r>
        <w:rPr>
          <w:spacing w:val="-2"/>
        </w:rPr>
        <w:t> </w:t>
      </w:r>
      <w:r>
        <w:rPr/>
        <w:t>concorda,</w:t>
      </w:r>
      <w:r>
        <w:rPr>
          <w:spacing w:val="-2"/>
        </w:rPr>
        <w:t> </w:t>
      </w:r>
      <w:r>
        <w:rPr/>
        <w:t>dizendo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títulos públicos americanos são os classificadores da taxa livre de risco nos ativos financeiros. O senhor Marcus Curvelo solicita ao senhor Daniel que solicite junto à empresa de consultoria Crédito &amp; Mercado um estudo acerca do impacto do possível default técnico nos fundos de investimentos nos quais mantemos nossas aplicações, já que estes têm em sua composição papéis do Tesouro Nacional e o Brasil é um dos grandes financiadores da dívida pública americana, através do investimento em seus títulos. Superado este ponto de pauta, o senhor Marcus solicita que, conforme definido na reunião anterior, seja aberto um fundo de investimento referenciado DI na Caixa Econômica Federal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 o valor</w:t>
      </w:r>
      <w:r>
        <w:rPr>
          <w:spacing w:val="-1"/>
        </w:rPr>
        <w:t> </w:t>
      </w:r>
      <w:r>
        <w:rPr/>
        <w:t>de quatrocentos</w:t>
      </w:r>
      <w:r>
        <w:rPr>
          <w:spacing w:val="-2"/>
        </w:rPr>
        <w:t> </w:t>
      </w:r>
      <w:r>
        <w:rPr/>
        <w:t>e setenta e</w:t>
      </w:r>
      <w:r>
        <w:rPr>
          <w:spacing w:val="-1"/>
        </w:rPr>
        <w:t> </w:t>
      </w:r>
      <w:r>
        <w:rPr/>
        <w:t>seis</w:t>
      </w:r>
      <w:r>
        <w:rPr>
          <w:spacing w:val="-2"/>
        </w:rPr>
        <w:t> </w:t>
      </w:r>
      <w:r>
        <w:rPr/>
        <w:t>mil, cento e</w:t>
      </w:r>
      <w:r>
        <w:rPr>
          <w:spacing w:val="-1"/>
        </w:rPr>
        <w:t> </w:t>
      </w:r>
      <w:r>
        <w:rPr/>
        <w:t>quarenta e seis reais e cinquenta e hum centavos referente ao COMPREV – Estoque deste mês seja</w:t>
      </w:r>
      <w:r>
        <w:rPr>
          <w:spacing w:val="30"/>
        </w:rPr>
        <w:t> </w:t>
      </w:r>
      <w:r>
        <w:rPr/>
        <w:t>lá</w:t>
      </w:r>
      <w:r>
        <w:rPr>
          <w:spacing w:val="31"/>
        </w:rPr>
        <w:t> </w:t>
      </w:r>
      <w:r>
        <w:rPr/>
        <w:t>aplicado,</w:t>
      </w:r>
      <w:r>
        <w:rPr>
          <w:spacing w:val="30"/>
        </w:rPr>
        <w:t> </w:t>
      </w:r>
      <w:r>
        <w:rPr/>
        <w:t>na</w:t>
      </w:r>
      <w:r>
        <w:rPr>
          <w:spacing w:val="31"/>
        </w:rPr>
        <w:t> </w:t>
      </w:r>
      <w:r>
        <w:rPr/>
        <w:t>conta</w:t>
      </w:r>
      <w:r>
        <w:rPr>
          <w:spacing w:val="30"/>
        </w:rPr>
        <w:t> </w:t>
      </w:r>
      <w:r>
        <w:rPr/>
        <w:t>corrente</w:t>
      </w:r>
      <w:r>
        <w:rPr>
          <w:spacing w:val="31"/>
        </w:rPr>
        <w:t> </w:t>
      </w:r>
      <w:r>
        <w:rPr/>
        <w:t>onde</w:t>
      </w:r>
      <w:r>
        <w:rPr>
          <w:spacing w:val="31"/>
        </w:rPr>
        <w:t> </w:t>
      </w:r>
      <w:r>
        <w:rPr/>
        <w:t>já</w:t>
      </w:r>
      <w:r>
        <w:rPr>
          <w:spacing w:val="28"/>
        </w:rPr>
        <w:t> </w:t>
      </w:r>
      <w:r>
        <w:rPr/>
        <w:t>era</w:t>
      </w:r>
      <w:r>
        <w:rPr>
          <w:spacing w:val="31"/>
        </w:rPr>
        <w:t> </w:t>
      </w:r>
      <w:r>
        <w:rPr/>
        <w:t>aplicado</w:t>
      </w:r>
      <w:r>
        <w:rPr>
          <w:spacing w:val="28"/>
        </w:rPr>
        <w:t> </w:t>
      </w:r>
      <w:r>
        <w:rPr/>
        <w:t>em</w:t>
      </w:r>
      <w:r>
        <w:rPr>
          <w:spacing w:val="29"/>
        </w:rPr>
        <w:t> </w:t>
      </w:r>
      <w:r>
        <w:rPr/>
        <w:t>IRFM-1.</w:t>
      </w:r>
      <w:r>
        <w:rPr>
          <w:spacing w:val="29"/>
        </w:rPr>
        <w:t> </w:t>
      </w:r>
      <w:r>
        <w:rPr/>
        <w:t>Após,</w:t>
      </w:r>
      <w:r>
        <w:rPr>
          <w:spacing w:val="28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2"/>
        </w:rPr>
        <w:t>senhor</w:t>
      </w:r>
    </w:p>
    <w:p>
      <w:pPr>
        <w:pStyle w:val="BodyText"/>
        <w:spacing w:after="0" w:line="360" w:lineRule="auto"/>
        <w:jc w:val="both"/>
        <w:sectPr>
          <w:pgSz w:w="12240" w:h="15840"/>
          <w:pgMar w:top="1620" w:bottom="280" w:left="1440" w:right="1080"/>
        </w:sectPr>
      </w:pPr>
    </w:p>
    <w:p>
      <w:pPr>
        <w:pStyle w:val="BodyText"/>
        <w:spacing w:line="360" w:lineRule="auto" w:before="79"/>
        <w:ind w:left="261" w:right="46"/>
        <w:jc w:val="both"/>
      </w:pPr>
      <w:r>
        <w:rPr/>
        <w:t>Marcus informa que a folha de pagamentos dos ativos do INPAS e dos inativos e pensionistas será</w:t>
      </w:r>
      <w:r>
        <w:rPr>
          <w:spacing w:val="-1"/>
        </w:rPr>
        <w:t> </w:t>
      </w:r>
      <w:r>
        <w:rPr/>
        <w:t>processada neste</w:t>
      </w:r>
      <w:r>
        <w:rPr>
          <w:spacing w:val="-1"/>
        </w:rPr>
        <w:t> </w:t>
      </w:r>
      <w:r>
        <w:rPr/>
        <w:t>mês</w:t>
      </w:r>
      <w:r>
        <w:rPr>
          <w:spacing w:val="-2"/>
        </w:rPr>
        <w:t> </w:t>
      </w:r>
      <w:r>
        <w:rPr/>
        <w:t>ainda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Banco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Brasil S.A.,</w:t>
      </w:r>
      <w:r>
        <w:rPr>
          <w:spacing w:val="-1"/>
        </w:rPr>
        <w:t> </w:t>
      </w:r>
      <w:r>
        <w:rPr/>
        <w:t>mas 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 novembro já será processada pela Caixa Econômica Federal que foi a vencedora do processo licitatório promovido pela Prefeitura Municipal de Petrópolis. Após, informa</w:t>
      </w:r>
      <w:r>
        <w:rPr>
          <w:spacing w:val="40"/>
        </w:rPr>
        <w:t> </w:t>
      </w:r>
      <w:r>
        <w:rPr/>
        <w:t>que o curso para a Certificação Profissional ANBIMA série vinte – CPA-20 será realizado nos dias dezoito, dezenove, vinte e um e vinte e dois de novembro do ano corrente, com carga horária de trinta e duas horas, e ministrado pela área de Educação Executiva da empresa Crédito &amp; Mercado, vencedora da licitação promovida pelo INPAS para este fim. A senhora Carla fala sobre o credenciamento das instituições nas quais o INPAS se relaciona em seus investimentos, nos moldes da Portaria do Ministério da Previdência Social número quatrocentos e quarenta de dois mil e treze. O senhor Marcus solicita uma reunião extraordinária para debater esta Portaria e verificar o atendimento de todas as normas nela estabelecida. Fica estabelecido o dia trinta e hum de outubro, às onze horas, para tal. Nada mais havendo a tratar, o senhor Presidente deu por encerrada a presente reunião às onze horas e trinta e cinco</w:t>
      </w:r>
      <w:r>
        <w:rPr>
          <w:spacing w:val="40"/>
        </w:rPr>
        <w:t> </w:t>
      </w:r>
      <w:r>
        <w:rPr/>
        <w:t>minutos, cuja Ata segue lavrada por mim, 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line="28" w:lineRule="exact"/>
        <w:ind w:left="554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749550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749550" cy="18415"/>
                          <a:chExt cx="274955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49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18415">
                                <a:moveTo>
                                  <a:pt x="274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749295" y="18287"/>
                                </a:lnTo>
                                <a:lnTo>
                                  <a:pt x="274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5pt;height:1.45pt;mso-position-horizontal-relative:char;mso-position-vertical-relative:line" id="docshapegroup1" coordorigin="0,0" coordsize="4330,29">
                <v:rect style="position:absolute;left:0;top:0;width:4330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749550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749550" cy="18415"/>
                          <a:chExt cx="2749550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749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18415">
                                <a:moveTo>
                                  <a:pt x="274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749295" y="18287"/>
                                </a:lnTo>
                                <a:lnTo>
                                  <a:pt x="274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5pt;height:1.45pt;mso-position-horizontal-relative:char;mso-position-vertical-relative:line" id="docshapegroup3" coordorigin="0,0" coordsize="4330,29">
                <v:rect style="position:absolute;left:0;top:0;width:4330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2240" w:h="15840"/>
          <w:pgMar w:top="1620" w:bottom="280" w:left="1440" w:right="1080"/>
        </w:sectPr>
      </w:pPr>
    </w:p>
    <w:p>
      <w:pPr>
        <w:pStyle w:val="BodyText"/>
        <w:spacing w:line="360" w:lineRule="auto"/>
        <w:ind w:left="875" w:right="38" w:firstLine="3"/>
        <w:jc w:val="center"/>
      </w:pPr>
      <w:r>
        <w:rPr/>
        <w:t>Daniel Luiz Simões Campos Diretor</w:t>
      </w:r>
      <w:r>
        <w:rPr>
          <w:spacing w:val="-13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Financeiro </w:t>
      </w:r>
      <w:r>
        <w:rPr>
          <w:spacing w:val="-2"/>
        </w:rPr>
        <w:t>Presidente</w:t>
      </w:r>
    </w:p>
    <w:p>
      <w:pPr>
        <w:pStyle w:val="BodyText"/>
        <w:spacing w:line="360" w:lineRule="auto"/>
        <w:ind w:left="875" w:right="824" w:firstLine="2"/>
        <w:jc w:val="center"/>
      </w:pPr>
      <w:r>
        <w:rPr/>
        <w:br w:type="column"/>
      </w:r>
      <w:r>
        <w:rPr/>
        <w:t>Adriana Catarina da Costa Chefe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Divisão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Tesouraria </w:t>
      </w:r>
      <w:r>
        <w:rPr>
          <w:spacing w:val="-2"/>
        </w:rPr>
        <w:t>Secretária</w:t>
      </w:r>
    </w:p>
    <w:p>
      <w:pPr>
        <w:pStyle w:val="BodyText"/>
        <w:spacing w:after="0" w:line="360" w:lineRule="auto"/>
        <w:jc w:val="center"/>
        <w:sectPr>
          <w:type w:val="continuous"/>
          <w:pgSz w:w="12240" w:h="15840"/>
          <w:pgMar w:top="1700" w:bottom="280" w:left="1440" w:right="1080"/>
          <w:cols w:num="2" w:equalWidth="0">
            <w:col w:w="4600" w:space="42"/>
            <w:col w:w="50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</w:p>
    <w:p>
      <w:pPr>
        <w:spacing w:line="28" w:lineRule="exact"/>
        <w:ind w:left="554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749550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749550" cy="18415"/>
                          <a:chExt cx="2749550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49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18415">
                                <a:moveTo>
                                  <a:pt x="274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749295" y="18287"/>
                                </a:lnTo>
                                <a:lnTo>
                                  <a:pt x="274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5pt;height:1.45pt;mso-position-horizontal-relative:char;mso-position-vertical-relative:line" id="docshapegroup5" coordorigin="0,0" coordsize="4330,29">
                <v:rect style="position:absolute;left:0;top:0;width:4330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749550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749550" cy="18415"/>
                          <a:chExt cx="2749550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749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18415">
                                <a:moveTo>
                                  <a:pt x="274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749295" y="18287"/>
                                </a:lnTo>
                                <a:lnTo>
                                  <a:pt x="274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5pt;height:1.45pt;mso-position-horizontal-relative:char;mso-position-vertical-relative:line" id="docshapegroup7" coordorigin="0,0" coordsize="4330,29">
                <v:rect style="position:absolute;left:0;top:0;width:4330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2240" w:h="15840"/>
          <w:pgMar w:top="1700" w:bottom="280" w:left="1440" w:right="1080"/>
        </w:sectPr>
      </w:pPr>
    </w:p>
    <w:p>
      <w:pPr>
        <w:pStyle w:val="BodyText"/>
        <w:spacing w:line="360" w:lineRule="auto"/>
        <w:ind w:left="1744" w:firstLine="134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0" w:lineRule="auto"/>
        <w:ind w:left="1624" w:right="663" w:firstLine="482"/>
      </w:pPr>
      <w:r>
        <w:rPr/>
        <w:br w:type="column"/>
      </w:r>
      <w:r>
        <w:rPr/>
        <w:t>Lucimar da Glória Gomes Chefe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Divisão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spacing w:after="0" w:line="360" w:lineRule="auto"/>
        <w:sectPr>
          <w:type w:val="continuous"/>
          <w:pgSz w:w="12240" w:h="15840"/>
          <w:pgMar w:top="1700" w:bottom="280" w:left="1440" w:right="1080"/>
          <w:cols w:num="2" w:equalWidth="0">
            <w:col w:w="3693" w:space="40"/>
            <w:col w:w="59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pStyle w:val="BodyText"/>
        <w:spacing w:line="28" w:lineRule="exact"/>
        <w:ind w:left="554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749550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749550" cy="18415"/>
                          <a:chExt cx="2749550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749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18415">
                                <a:moveTo>
                                  <a:pt x="274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749295" y="18287"/>
                                </a:lnTo>
                                <a:lnTo>
                                  <a:pt x="274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5pt;height:1.45pt;mso-position-horizontal-relative:char;mso-position-vertical-relative:line" id="docshapegroup9" coordorigin="0,0" coordsize="4330,29">
                <v:rect style="position:absolute;left:0;top:0;width:4330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ind w:left="842"/>
      </w:pPr>
      <w:r>
        <w:rPr/>
        <w:t>Carla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C.</w:t>
      </w:r>
      <w:r>
        <w:rPr>
          <w:spacing w:val="-5"/>
        </w:rPr>
        <w:t> </w:t>
      </w:r>
      <w:r>
        <w:rPr/>
        <w:t>Maduro</w:t>
      </w:r>
      <w:r>
        <w:rPr>
          <w:spacing w:val="-6"/>
        </w:rPr>
        <w:t> </w:t>
      </w:r>
      <w:r>
        <w:rPr/>
        <w:t>Vogas</w:t>
      </w:r>
      <w:r>
        <w:rPr>
          <w:spacing w:val="-6"/>
        </w:rPr>
        <w:t> </w:t>
      </w:r>
      <w:r>
        <w:rPr>
          <w:spacing w:val="-2"/>
        </w:rPr>
        <w:t>Tavares</w:t>
      </w:r>
    </w:p>
    <w:p>
      <w:pPr>
        <w:pStyle w:val="BodyText"/>
        <w:spacing w:after="0"/>
        <w:sectPr>
          <w:type w:val="continuous"/>
          <w:pgSz w:w="12240" w:h="15840"/>
          <w:pgMar w:top="1700" w:bottom="280" w:left="1440" w:right="1080"/>
        </w:sectPr>
      </w:pPr>
    </w:p>
    <w:p>
      <w:pPr>
        <w:pStyle w:val="BodyText"/>
        <w:spacing w:before="79"/>
        <w:ind w:left="1497"/>
      </w:pPr>
      <w:r>
        <w:rPr/>
        <w:t>Gestora</w:t>
      </w:r>
      <w:r>
        <w:rPr>
          <w:spacing w:val="-9"/>
        </w:rPr>
        <w:t> </w:t>
      </w:r>
      <w:r>
        <w:rPr>
          <w:spacing w:val="-2"/>
        </w:rPr>
        <w:t>Previdenciária</w:t>
      </w:r>
    </w:p>
    <w:sectPr>
      <w:pgSz w:w="12240" w:h="15840"/>
      <w:pgMar w:top="16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2025-05-19T16:25:00Z</dcterms:created>
  <dcterms:modified xsi:type="dcterms:W3CDTF">2025-05-19T16:25:00Z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