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54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438891" cy="190595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8891" cy="1905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line="360" w:lineRule="auto" w:before="137"/>
        <w:ind w:left="88" w:right="107"/>
        <w:jc w:val="both"/>
      </w:pPr>
      <w:r>
        <w:rPr/>
        <w:t>Ata da vigésima sétima reunião ordinária do Comitê de Investimentos do Instituto de Previdência e Assistência Social do Servidor Público do Município de Petrópolis – INPAS.</w:t>
      </w:r>
    </w:p>
    <w:p>
      <w:pPr>
        <w:pStyle w:val="BodyText"/>
        <w:spacing w:before="132"/>
      </w:pPr>
    </w:p>
    <w:p>
      <w:pPr>
        <w:pStyle w:val="BodyText"/>
        <w:spacing w:line="360" w:lineRule="auto" w:before="1"/>
        <w:ind w:left="88" w:right="102"/>
        <w:jc w:val="both"/>
      </w:pPr>
      <w:r>
        <w:rPr/>
        <w:t>Aos doze dias do mês de janeiro do ano de dois mil e quinze, às dez horas e quarenta</w:t>
      </w:r>
      <w:r>
        <w:rPr>
          <w:spacing w:val="40"/>
        </w:rPr>
        <w:t> </w:t>
      </w:r>
      <w:r>
        <w:rPr/>
        <w:t>minutos, na sala de reuniões do INPAS, situada à Rua Doutor Alencar Lima, número 35, sala 311, reuniram-se três membros efetivos do Comitê de Investimentos deste Regime Próprio de Previdência Social e dois substitutos, conforme Decreto Municipal que criou o citado Comitê, número hum mil e dez, de trinta e hum de outubro de dois mil e doze, publicado no Diário Oficial do Município de Petrópolis de hum de novembro de dois mil e doze, com a seguinte composição: a) Diretor-Presidente do Regime Próprio de Previdência Social - RPPS, senhor Marcus Antonio Curvelo da Silva; b) Diretor Administrativo-Financeiro em exercício, senhor Bruno Olivete, substituindo o senhor Daniel Luiz</w:t>
      </w:r>
      <w:r>
        <w:rPr>
          <w:spacing w:val="-2"/>
        </w:rPr>
        <w:t> </w:t>
      </w:r>
      <w:r>
        <w:rPr/>
        <w:t>Simões Campos, em virtude de suas férias; c) Chefe da Divisão de Tesouraria em exercício, senhora Michele Schiffler Forster, substituindo a senhora Cláudia Miranda do Nascimento, em virtude de suas férias; Gestora Previdenciária do Regime Próprio de Previdência Social – RPPS, senhora Adriana Catarina da Costa, Secretária </w:t>
      </w:r>
      <w:r>
        <w:rPr>
          <w:i/>
        </w:rPr>
        <w:t>ad hoc </w:t>
      </w:r>
      <w:r>
        <w:rPr/>
        <w:t>deste Comitê, em substituição à Gestora Previdenciária senhora Carla Cristina Correia Maduro Vogas Tavares em virtude de suas férias; d) Chefe da Divisão de Contabilidade, senhora Lucimar da Glória Gomes, além das senhoras Vanessa Maria Bull e Elizabeth Jeunon Notini, convidadas a participar da reunião com direito à voz e sem direito a voto. Iniciou-se, com esta composição, a referida reunião para atendimento à pauta do dia que teve a seguinte ordem: 1)- Leitura da ata; 2)- Aprovação do calendário de reuniões para o ano de 2015; 3)- Análise do cenário macroeconômico, bem como as expectativas do mercado; 4)- Avaliação</w:t>
      </w:r>
      <w:r>
        <w:rPr>
          <w:spacing w:val="40"/>
        </w:rPr>
        <w:t> </w:t>
      </w:r>
      <w:r>
        <w:rPr/>
        <w:t>dos investimentos que compõem o patrimônio dos diversos segmentos de aplicação; 5)- Análise do fluxo de caixa, considerando as obrigações previdenciárias e administrativas para o mês em curso; 6)- Proposições de investimentos/desinvestimentos; 7)- Assuntos gerais. Esta Secretária </w:t>
      </w:r>
      <w:r>
        <w:rPr>
          <w:i/>
        </w:rPr>
        <w:t>ad hoc </w:t>
      </w:r>
      <w:r>
        <w:rPr/>
        <w:t>iniciou procedendo à leitura da citada pauta. Em seguida, realizou a leitura da</w:t>
      </w:r>
      <w:r>
        <w:rPr>
          <w:spacing w:val="-1"/>
        </w:rPr>
        <w:t> </w:t>
      </w:r>
      <w:r>
        <w:rPr/>
        <w:t>ata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última</w:t>
      </w:r>
      <w:r>
        <w:rPr>
          <w:spacing w:val="-1"/>
        </w:rPr>
        <w:t> </w:t>
      </w:r>
      <w:r>
        <w:rPr/>
        <w:t>reunião, conforme</w:t>
      </w:r>
      <w:r>
        <w:rPr>
          <w:spacing w:val="-1"/>
        </w:rPr>
        <w:t> </w:t>
      </w:r>
      <w:r>
        <w:rPr/>
        <w:t>item um da</w:t>
      </w:r>
      <w:r>
        <w:rPr>
          <w:spacing w:val="-2"/>
        </w:rPr>
        <w:t> </w:t>
      </w:r>
      <w:r>
        <w:rPr/>
        <w:t>pauta. Solicita</w:t>
      </w:r>
      <w:r>
        <w:rPr>
          <w:spacing w:val="-1"/>
        </w:rPr>
        <w:t> </w:t>
      </w:r>
      <w:r>
        <w:rPr/>
        <w:t>correção</w:t>
      </w:r>
      <w:r>
        <w:rPr>
          <w:spacing w:val="-1"/>
        </w:rPr>
        <w:t> </w:t>
      </w:r>
      <w:r>
        <w:rPr/>
        <w:t>onde</w:t>
      </w:r>
      <w:r>
        <w:rPr>
          <w:spacing w:val="-1"/>
        </w:rPr>
        <w:t> </w:t>
      </w:r>
      <w:r>
        <w:rPr/>
        <w:t>consta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resposta da</w:t>
      </w:r>
      <w:r>
        <w:rPr>
          <w:spacing w:val="52"/>
        </w:rPr>
        <w:t> </w:t>
      </w:r>
      <w:r>
        <w:rPr/>
        <w:t>empresa</w:t>
      </w:r>
      <w:r>
        <w:rPr>
          <w:spacing w:val="52"/>
        </w:rPr>
        <w:t> </w:t>
      </w:r>
      <w:r>
        <w:rPr/>
        <w:t>de</w:t>
      </w:r>
      <w:r>
        <w:rPr>
          <w:spacing w:val="53"/>
        </w:rPr>
        <w:t> </w:t>
      </w:r>
      <w:r>
        <w:rPr/>
        <w:t>Consultoria</w:t>
      </w:r>
      <w:r>
        <w:rPr>
          <w:spacing w:val="52"/>
        </w:rPr>
        <w:t> </w:t>
      </w:r>
      <w:r>
        <w:rPr/>
        <w:t>Crédito&amp;Mercado</w:t>
      </w:r>
      <w:r>
        <w:rPr>
          <w:spacing w:val="56"/>
        </w:rPr>
        <w:t> </w:t>
      </w:r>
      <w:r>
        <w:rPr/>
        <w:t>com</w:t>
      </w:r>
      <w:r>
        <w:rPr>
          <w:spacing w:val="58"/>
        </w:rPr>
        <w:t> </w:t>
      </w:r>
      <w:r>
        <w:rPr/>
        <w:t>relação</w:t>
      </w:r>
      <w:r>
        <w:rPr>
          <w:spacing w:val="52"/>
        </w:rPr>
        <w:t> </w:t>
      </w:r>
      <w:r>
        <w:rPr/>
        <w:t>aos</w:t>
      </w:r>
      <w:r>
        <w:rPr>
          <w:spacing w:val="54"/>
        </w:rPr>
        <w:t> </w:t>
      </w:r>
      <w:r>
        <w:rPr/>
        <w:t>investimentos</w:t>
      </w:r>
      <w:r>
        <w:rPr>
          <w:spacing w:val="53"/>
        </w:rPr>
        <w:t> </w:t>
      </w:r>
      <w:r>
        <w:rPr/>
        <w:t>previstos</w:t>
      </w:r>
      <w:r>
        <w:rPr>
          <w:spacing w:val="54"/>
        </w:rPr>
        <w:t> </w:t>
      </w:r>
      <w:r>
        <w:rPr>
          <w:spacing w:val="-5"/>
        </w:rPr>
        <w:t>no</w:t>
      </w:r>
    </w:p>
    <w:p>
      <w:pPr>
        <w:pStyle w:val="BodyText"/>
        <w:spacing w:after="0" w:line="360" w:lineRule="auto"/>
        <w:jc w:val="both"/>
        <w:sectPr>
          <w:type w:val="continuous"/>
          <w:pgSz w:w="11900" w:h="16840"/>
          <w:pgMar w:top="1260" w:bottom="280" w:left="992" w:right="992"/>
        </w:sectPr>
      </w:pPr>
    </w:p>
    <w:p>
      <w:pPr>
        <w:pStyle w:val="BodyText"/>
        <w:spacing w:line="360" w:lineRule="auto" w:before="75"/>
        <w:ind w:left="87" w:right="102"/>
        <w:jc w:val="both"/>
      </w:pPr>
      <w:r>
        <w:rPr/>
        <w:t>artigo sétimo, inciso três da Resolução CMN nº 3.922/2010 (Fundos Referenciados). Onde se lê: “numa base de 49% de títulos privados e 51% de títulos públicos”, leia-se: “numa base de até 49% de títulos privados e de no mínimo 51% de títulos públicos”, com a concordância de todos, sendo esta a única ressalva. A senhora Vanessa fez a leitura das datas das reuniões para o exercício em curso, que foram aprovadas por todos. O senhor Marcus Curvelo solicitou que a mesma fizesse a divulgação de tal calendário no sítio eletrônico desta Autarquia. Para atendimento do terceiro ponto de pauta, a senhora Adriana fez a leitura do relatório disponibilizado pela empresa de consultoria Crédito&amp;Mercado, onde se destaca a orientação de cautela nos investimentos e a manutenção da posição na renda fixa. O senhor Bruno diz que pesquisou e que a expectativa da taxa Selic até o final deste exercício é de chegar a 12,5%. Diz que a projeção dos economistas é de baixo crescimento da economia e inflação alta, havendo muita incerteza no cenário econômico, acreditando que no momento não é prudente fazer alocações em renda variável. A senhora Adriana diz que dentro do possível, a carteira de investimentos do Instituto está protegida, com oitenta e um por cento dos recursos alocados em IRFM1 e dezenove por cento em DI. O senhor Marcus concorda com ambas as colocações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diz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cenário</w:t>
      </w:r>
      <w:r>
        <w:rPr>
          <w:spacing w:val="-1"/>
        </w:rPr>
        <w:t> </w:t>
      </w:r>
      <w:r>
        <w:rPr/>
        <w:t>atual</w:t>
      </w:r>
      <w:r>
        <w:rPr>
          <w:spacing w:val="-1"/>
        </w:rPr>
        <w:t> </w:t>
      </w:r>
      <w:r>
        <w:rPr/>
        <w:t>é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crise</w:t>
      </w:r>
      <w:r>
        <w:rPr>
          <w:spacing w:val="-1"/>
        </w:rPr>
        <w:t> </w:t>
      </w:r>
      <w:r>
        <w:rPr/>
        <w:t>econômica,</w:t>
      </w:r>
      <w:r>
        <w:rPr>
          <w:spacing w:val="-2"/>
        </w:rPr>
        <w:t> </w:t>
      </w:r>
      <w:r>
        <w:rPr/>
        <w:t>com inflação</w:t>
      </w:r>
      <w:r>
        <w:rPr>
          <w:spacing w:val="-2"/>
        </w:rPr>
        <w:t> </w:t>
      </w:r>
      <w:r>
        <w:rPr/>
        <w:t>alta,</w:t>
      </w:r>
      <w:r>
        <w:rPr>
          <w:spacing w:val="-2"/>
        </w:rPr>
        <w:t> </w:t>
      </w:r>
      <w:r>
        <w:rPr/>
        <w:t>crise</w:t>
      </w:r>
      <w:r>
        <w:rPr>
          <w:spacing w:val="-2"/>
        </w:rPr>
        <w:t> </w:t>
      </w:r>
      <w:r>
        <w:rPr/>
        <w:t>fiscal,</w:t>
      </w:r>
      <w:r>
        <w:rPr>
          <w:spacing w:val="-2"/>
        </w:rPr>
        <w:t> </w:t>
      </w:r>
      <w:r>
        <w:rPr/>
        <w:t>como pode ser comprovado com a notícia amplamente veiculada do corte de sete bilhões de reais</w:t>
      </w:r>
      <w:r>
        <w:rPr>
          <w:spacing w:val="40"/>
        </w:rPr>
        <w:t> </w:t>
      </w:r>
      <w:r>
        <w:rPr/>
        <w:t>do orçamento da educação por parte do governo federal, e crise institucional, com a notícia veiculada pelo Jornal Valor Econômico, de sete de janeiro do corrente, onde se registra a possível ligação entre o esquema de corrupção investigada na Petrobrás pela Polícia Federal na operação Lava-Jato com Prefeitos de várias cidades brasileiras, para a captação de recursos de Regimes Próprios de Previdência Social. Com relação à crise econômica, o</w:t>
      </w:r>
      <w:r>
        <w:rPr>
          <w:spacing w:val="40"/>
        </w:rPr>
        <w:t> </w:t>
      </w:r>
      <w:r>
        <w:rPr/>
        <w:t>senhor Marcus diz que a Prefeitura de Petrópolis instituiu uma comissão para acompanhamento da execução orçamentária, promovendo ajustes para garantir que não faltem recursos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todas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áreas.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senhora</w:t>
      </w:r>
      <w:r>
        <w:rPr>
          <w:spacing w:val="-2"/>
        </w:rPr>
        <w:t> </w:t>
      </w:r>
      <w:r>
        <w:rPr/>
        <w:t>Lucimar</w:t>
      </w:r>
      <w:r>
        <w:rPr>
          <w:spacing w:val="-2"/>
        </w:rPr>
        <w:t> </w:t>
      </w:r>
      <w:r>
        <w:rPr/>
        <w:t>ressalta</w:t>
      </w:r>
      <w:r>
        <w:rPr>
          <w:spacing w:val="-2"/>
        </w:rPr>
        <w:t> </w:t>
      </w:r>
      <w:r>
        <w:rPr/>
        <w:t>que esta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uma</w:t>
      </w:r>
      <w:r>
        <w:rPr>
          <w:spacing w:val="-2"/>
        </w:rPr>
        <w:t> </w:t>
      </w:r>
      <w:r>
        <w:rPr/>
        <w:t>boa</w:t>
      </w:r>
      <w:r>
        <w:rPr>
          <w:spacing w:val="-2"/>
        </w:rPr>
        <w:t> </w:t>
      </w:r>
      <w:r>
        <w:rPr/>
        <w:t>iniciativa, para evitar que a crise impossibilite a execução de todas as ações planejadas para este exercício. No item quatro, todos concordaram que a atual posição de investimentos é a</w:t>
      </w:r>
      <w:r>
        <w:rPr>
          <w:spacing w:val="-1"/>
        </w:rPr>
        <w:t> </w:t>
      </w:r>
      <w:r>
        <w:rPr/>
        <w:t>melhor para o momento. No item cinco, a senhora Adriana solicitou à senhora Michele que falasse sobre o fluxo de caixa, informando inicialmente que os saldos que encerraram o último dia útil, nove de janeiro, são de: trezentos e sessenta e seis mil, cento e quarenta reais e cinquenta e três centavos de recursos administrativos, duzentos e cinquenta e nove mil, oitocentos e noventa e dois reais e onze centavos no FASSE e cinco milhões, duzentos mil, novecentos e sessenta e seis reais e onze centavos de recursos previdenciários. A senhora Michele informa que estes valores são suficientes para os repasses de consignação e pagamentos que serão efetuados hoje, que somam o montante de aproximadamente quinze mil reais dos recursos administrativos</w:t>
      </w:r>
      <w:r>
        <w:rPr>
          <w:spacing w:val="3"/>
        </w:rPr>
        <w:t> </w:t>
      </w:r>
      <w:r>
        <w:rPr/>
        <w:t>e</w:t>
      </w:r>
      <w:r>
        <w:rPr>
          <w:spacing w:val="2"/>
        </w:rPr>
        <w:t> </w:t>
      </w:r>
      <w:r>
        <w:rPr/>
        <w:t>cento</w:t>
      </w:r>
      <w:r>
        <w:rPr>
          <w:spacing w:val="6"/>
        </w:rPr>
        <w:t> </w:t>
      </w:r>
      <w:r>
        <w:rPr/>
        <w:t>e</w:t>
      </w:r>
      <w:r>
        <w:rPr>
          <w:spacing w:val="2"/>
        </w:rPr>
        <w:t> </w:t>
      </w:r>
      <w:r>
        <w:rPr/>
        <w:t>trinta</w:t>
      </w:r>
      <w:r>
        <w:rPr>
          <w:spacing w:val="2"/>
        </w:rPr>
        <w:t> </w:t>
      </w:r>
      <w:r>
        <w:rPr/>
        <w:t>mil</w:t>
      </w:r>
      <w:r>
        <w:rPr>
          <w:spacing w:val="1"/>
        </w:rPr>
        <w:t> </w:t>
      </w:r>
      <w:r>
        <w:rPr/>
        <w:t>dos</w:t>
      </w:r>
      <w:r>
        <w:rPr>
          <w:spacing w:val="3"/>
        </w:rPr>
        <w:t> </w:t>
      </w:r>
      <w:r>
        <w:rPr/>
        <w:t>recursos</w:t>
      </w:r>
      <w:r>
        <w:rPr>
          <w:spacing w:val="3"/>
        </w:rPr>
        <w:t> </w:t>
      </w:r>
      <w:r>
        <w:rPr/>
        <w:t>previdenciários.</w:t>
      </w:r>
      <w:r>
        <w:rPr>
          <w:spacing w:val="3"/>
        </w:rPr>
        <w:t> </w:t>
      </w:r>
      <w:r>
        <w:rPr/>
        <w:t>Em</w:t>
      </w:r>
      <w:r>
        <w:rPr>
          <w:spacing w:val="8"/>
        </w:rPr>
        <w:t> </w:t>
      </w:r>
      <w:r>
        <w:rPr/>
        <w:t>assuntos</w:t>
      </w:r>
      <w:r>
        <w:rPr>
          <w:spacing w:val="2"/>
        </w:rPr>
        <w:t> </w:t>
      </w:r>
      <w:r>
        <w:rPr/>
        <w:t>gerais,</w:t>
      </w:r>
      <w:r>
        <w:rPr>
          <w:spacing w:val="4"/>
        </w:rPr>
        <w:t> </w:t>
      </w:r>
      <w:r>
        <w:rPr/>
        <w:t>o</w:t>
      </w:r>
      <w:r>
        <w:rPr>
          <w:spacing w:val="2"/>
        </w:rPr>
        <w:t> </w:t>
      </w:r>
      <w:r>
        <w:rPr>
          <w:spacing w:val="-2"/>
        </w:rPr>
        <w:t>senhor</w:t>
      </w:r>
    </w:p>
    <w:p>
      <w:pPr>
        <w:pStyle w:val="BodyText"/>
        <w:spacing w:after="0" w:line="360" w:lineRule="auto"/>
        <w:jc w:val="both"/>
        <w:sectPr>
          <w:pgSz w:w="11900" w:h="16840"/>
          <w:pgMar w:top="1180" w:bottom="280" w:left="992" w:right="992"/>
        </w:sectPr>
      </w:pPr>
    </w:p>
    <w:p>
      <w:pPr>
        <w:pStyle w:val="BodyText"/>
        <w:spacing w:line="360" w:lineRule="auto" w:before="75"/>
        <w:ind w:left="87" w:right="102"/>
        <w:jc w:val="both"/>
      </w:pPr>
      <w:r>
        <w:rPr/>
        <w:t>Marcus fala que com a aprovação da Lei que consolida as leis administrativas do Instituto passará a fazer parte deste colegiado o servidor titular do cargo de Gestor de Investimentos e um membro do atual CONSAD, eleito por seus pares. Agradece à senhora Elizabeth Jeunon Notini que sempre comparece às reuniões, em virtude do convite que é sempre estendido a todos os Servidores. Esta agradece o convite e diz</w:t>
      </w:r>
      <w:r>
        <w:rPr>
          <w:spacing w:val="-1"/>
        </w:rPr>
        <w:t> </w:t>
      </w:r>
      <w:r>
        <w:rPr/>
        <w:t>que entende ser importante entender como funciona tal instância. O senhor Marcus fala, também, que acha saudável que as funções de Presidente e Secretário sejam ocupadas por outros membros do Comitê. Diz que na próxima reunião fará esta sugestão, com o retorno dos demais membros titulares. Nada mais havendo a tratar, o senhor Presidente deu por encerrada a presente reunião às onze horas e trinta minutos, cuja Ata segue lavrada por mim, Adriana Catarina da Costa, Secretária </w:t>
      </w:r>
      <w:r>
        <w:rPr>
          <w:i/>
        </w:rPr>
        <w:t>ad hoc </w:t>
      </w:r>
      <w:r>
        <w:rPr/>
        <w:t>deste Comitê, que a submeterei à aprovação dos demais membros e devidamente colherei suas </w:t>
      </w:r>
      <w:r>
        <w:rPr>
          <w:spacing w:val="-2"/>
        </w:rPr>
        <w:t>assinaturas.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7"/>
        <w:rPr>
          <w:sz w:val="20"/>
        </w:rPr>
      </w:pPr>
    </w:p>
    <w:p>
      <w:pPr>
        <w:spacing w:line="28" w:lineRule="exact"/>
        <w:ind w:left="59" w:right="0" w:firstLine="0"/>
        <w:jc w:val="left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2672080" cy="18415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672080" cy="18415"/>
                          <a:chExt cx="2672080" cy="184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67208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2080" h="18415">
                                <a:moveTo>
                                  <a:pt x="26715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1571" y="18287"/>
                                </a:lnTo>
                                <a:lnTo>
                                  <a:pt x="2671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4pt;height:1.45pt;mso-position-horizontal-relative:char;mso-position-vertical-relative:line" id="docshapegroup1" coordorigin="0,0" coordsize="4208,29">
                <v:rect style="position:absolute;left:0;top:0;width:4208;height:29" id="docshape2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  <w:r>
        <w:rPr>
          <w:rFonts w:ascii="Times New Roman"/>
          <w:spacing w:val="135"/>
          <w:position w:val="0"/>
          <w:sz w:val="2"/>
        </w:rPr>
        <w:t> </w:t>
      </w:r>
      <w:r>
        <w:rPr>
          <w:spacing w:val="135"/>
          <w:position w:val="0"/>
          <w:sz w:val="2"/>
        </w:rPr>
        <mc:AlternateContent>
          <mc:Choice Requires="wps">
            <w:drawing>
              <wp:inline distT="0" distB="0" distL="0" distR="0">
                <wp:extent cx="2670175" cy="18415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670175" cy="18415"/>
                          <a:chExt cx="2670175" cy="184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67017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175" h="18415">
                                <a:moveTo>
                                  <a:pt x="2670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0047" y="18287"/>
                                </a:lnTo>
                                <a:lnTo>
                                  <a:pt x="2670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25pt;height:1.45pt;mso-position-horizontal-relative:char;mso-position-vertical-relative:line" id="docshapegroup3" coordorigin="0,0" coordsize="4205,29">
                <v:rect style="position:absolute;left:0;top:0;width:4205;height:29" id="docshape4" filled="true" fillcolor="#000000" stroked="false">
                  <v:fill type="solid"/>
                </v:rect>
              </v:group>
            </w:pict>
          </mc:Fallback>
        </mc:AlternateContent>
      </w:r>
      <w:r>
        <w:rPr>
          <w:spacing w:val="135"/>
          <w:position w:val="0"/>
          <w:sz w:val="2"/>
        </w:rPr>
      </w:r>
    </w:p>
    <w:p>
      <w:pPr>
        <w:spacing w:after="0" w:line="28" w:lineRule="exact"/>
        <w:jc w:val="left"/>
        <w:rPr>
          <w:position w:val="0"/>
          <w:sz w:val="2"/>
        </w:rPr>
        <w:sectPr>
          <w:pgSz w:w="11900" w:h="16840"/>
          <w:pgMar w:top="1180" w:bottom="280" w:left="992" w:right="992"/>
        </w:sectPr>
      </w:pPr>
    </w:p>
    <w:p>
      <w:pPr>
        <w:pStyle w:val="BodyText"/>
        <w:spacing w:line="360" w:lineRule="auto"/>
        <w:ind w:left="1230" w:right="38" w:firstLine="127"/>
      </w:pPr>
      <w:r>
        <w:rPr/>
        <w:t>Marcus Curvelo </w:t>
      </w:r>
      <w:r>
        <w:rPr>
          <w:spacing w:val="-2"/>
        </w:rPr>
        <w:t>Diretor-</w:t>
      </w:r>
      <w:r>
        <w:rPr>
          <w:spacing w:val="-2"/>
        </w:rPr>
        <w:t>Presidente</w:t>
      </w:r>
    </w:p>
    <w:p>
      <w:pPr>
        <w:pStyle w:val="BodyText"/>
        <w:spacing w:line="360" w:lineRule="auto"/>
        <w:ind w:left="1230" w:right="2029"/>
        <w:jc w:val="center"/>
        <w:rPr>
          <w:i/>
        </w:rPr>
      </w:pPr>
      <w:r>
        <w:rPr/>
        <w:br w:type="column"/>
      </w:r>
      <w:r>
        <w:rPr/>
        <w:t>Adriana</w:t>
      </w:r>
      <w:r>
        <w:rPr>
          <w:spacing w:val="-12"/>
        </w:rPr>
        <w:t> </w:t>
      </w:r>
      <w:r>
        <w:rPr/>
        <w:t>Catarina</w:t>
      </w:r>
      <w:r>
        <w:rPr>
          <w:spacing w:val="-12"/>
        </w:rPr>
        <w:t> </w:t>
      </w:r>
      <w:r>
        <w:rPr/>
        <w:t>da</w:t>
      </w:r>
      <w:r>
        <w:rPr>
          <w:spacing w:val="-12"/>
        </w:rPr>
        <w:t> </w:t>
      </w:r>
      <w:r>
        <w:rPr/>
        <w:t>Costa Gestora Previdenciária Secretária </w:t>
      </w:r>
      <w:r>
        <w:rPr>
          <w:i/>
        </w:rPr>
        <w:t>Ad Hoc</w:t>
      </w:r>
    </w:p>
    <w:p>
      <w:pPr>
        <w:pStyle w:val="BodyText"/>
        <w:spacing w:after="0" w:line="360" w:lineRule="auto"/>
        <w:jc w:val="center"/>
        <w:rPr>
          <w:i/>
        </w:rPr>
        <w:sectPr>
          <w:type w:val="continuous"/>
          <w:pgSz w:w="11900" w:h="16840"/>
          <w:pgMar w:top="1260" w:bottom="280" w:left="992" w:right="992"/>
          <w:cols w:num="2" w:equalWidth="0">
            <w:col w:w="3137" w:space="804"/>
            <w:col w:w="5975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3"/>
        <w:rPr>
          <w:i/>
          <w:sz w:val="20"/>
        </w:rPr>
      </w:pPr>
    </w:p>
    <w:p>
      <w:pPr>
        <w:spacing w:line="28" w:lineRule="exact"/>
        <w:ind w:left="59" w:right="0" w:firstLine="0"/>
        <w:jc w:val="left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2672080" cy="18415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2672080" cy="18415"/>
                          <a:chExt cx="2672080" cy="184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67208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2080" h="18415">
                                <a:moveTo>
                                  <a:pt x="26715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1571" y="18287"/>
                                </a:lnTo>
                                <a:lnTo>
                                  <a:pt x="2671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4pt;height:1.45pt;mso-position-horizontal-relative:char;mso-position-vertical-relative:line" id="docshapegroup5" coordorigin="0,0" coordsize="4208,29">
                <v:rect style="position:absolute;left:0;top:0;width:4208;height:29" id="docshape6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  <w:r>
        <w:rPr>
          <w:rFonts w:ascii="Times New Roman"/>
          <w:spacing w:val="135"/>
          <w:position w:val="0"/>
          <w:sz w:val="2"/>
        </w:rPr>
        <w:t> </w:t>
      </w:r>
      <w:r>
        <w:rPr>
          <w:spacing w:val="135"/>
          <w:position w:val="0"/>
          <w:sz w:val="2"/>
        </w:rPr>
        <mc:AlternateContent>
          <mc:Choice Requires="wps">
            <w:drawing>
              <wp:inline distT="0" distB="0" distL="0" distR="0">
                <wp:extent cx="2670175" cy="1841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2670175" cy="18415"/>
                          <a:chExt cx="2670175" cy="184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67017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175" h="18415">
                                <a:moveTo>
                                  <a:pt x="2670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0047" y="18287"/>
                                </a:lnTo>
                                <a:lnTo>
                                  <a:pt x="2670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25pt;height:1.45pt;mso-position-horizontal-relative:char;mso-position-vertical-relative:line" id="docshapegroup7" coordorigin="0,0" coordsize="4205,29">
                <v:rect style="position:absolute;left:0;top:0;width:4205;height:29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spacing w:val="135"/>
          <w:position w:val="0"/>
          <w:sz w:val="2"/>
        </w:rPr>
      </w:r>
    </w:p>
    <w:p>
      <w:pPr>
        <w:spacing w:after="0" w:line="28" w:lineRule="exact"/>
        <w:jc w:val="left"/>
        <w:rPr>
          <w:position w:val="0"/>
          <w:sz w:val="2"/>
        </w:rPr>
        <w:sectPr>
          <w:type w:val="continuous"/>
          <w:pgSz w:w="11900" w:h="16840"/>
          <w:pgMar w:top="1260" w:bottom="280" w:left="992" w:right="992"/>
        </w:sectPr>
      </w:pPr>
    </w:p>
    <w:p>
      <w:pPr>
        <w:pStyle w:val="BodyText"/>
        <w:spacing w:line="263" w:lineRule="exact"/>
        <w:ind w:left="168"/>
        <w:jc w:val="center"/>
      </w:pPr>
      <w:r>
        <w:rPr/>
        <w:t>Bruno</w:t>
      </w:r>
      <w:r>
        <w:rPr>
          <w:spacing w:val="-2"/>
        </w:rPr>
        <w:t> Olivete</w:t>
      </w:r>
    </w:p>
    <w:p>
      <w:pPr>
        <w:pStyle w:val="BodyText"/>
        <w:spacing w:line="360" w:lineRule="auto" w:before="131"/>
        <w:ind w:left="168" w:right="2"/>
        <w:jc w:val="center"/>
      </w:pPr>
      <w:r>
        <w:rPr/>
        <w:t>Diretor</w:t>
      </w:r>
      <w:r>
        <w:rPr>
          <w:spacing w:val="-11"/>
        </w:rPr>
        <w:t> </w:t>
      </w:r>
      <w:r>
        <w:rPr/>
        <w:t>Administrativo</w:t>
      </w:r>
      <w:r>
        <w:rPr>
          <w:spacing w:val="-11"/>
        </w:rPr>
        <w:t> </w:t>
      </w:r>
      <w:r>
        <w:rPr/>
        <w:t>e</w:t>
      </w:r>
      <w:r>
        <w:rPr>
          <w:spacing w:val="-9"/>
        </w:rPr>
        <w:t> </w:t>
      </w:r>
      <w:r>
        <w:rPr/>
        <w:t>Financeiro</w:t>
      </w:r>
      <w:r>
        <w:rPr>
          <w:spacing w:val="-11"/>
        </w:rPr>
        <w:t> </w:t>
      </w:r>
      <w:r>
        <w:rPr/>
        <w:t>em </w:t>
      </w:r>
      <w:r>
        <w:rPr>
          <w:spacing w:val="-2"/>
        </w:rPr>
        <w:t>exercício</w:t>
      </w:r>
    </w:p>
    <w:p>
      <w:pPr>
        <w:pStyle w:val="BodyText"/>
        <w:spacing w:line="360" w:lineRule="auto"/>
        <w:ind w:left="205" w:right="1616" w:firstLine="460"/>
      </w:pPr>
      <w:r>
        <w:rPr/>
        <w:br w:type="column"/>
      </w:r>
      <w:r>
        <w:rPr/>
        <w:t>Lucimar da Glória Gomes Chefe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Divisão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Contabilidade</w:t>
      </w:r>
    </w:p>
    <w:p>
      <w:pPr>
        <w:pStyle w:val="BodyText"/>
        <w:spacing w:after="0" w:line="360" w:lineRule="auto"/>
        <w:sectPr>
          <w:type w:val="continuous"/>
          <w:pgSz w:w="11900" w:h="16840"/>
          <w:pgMar w:top="1260" w:bottom="280" w:left="992" w:right="992"/>
          <w:cols w:num="2" w:equalWidth="0">
            <w:col w:w="4156" w:space="394"/>
            <w:col w:w="536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7"/>
        <w:rPr>
          <w:sz w:val="20"/>
        </w:rPr>
      </w:pPr>
    </w:p>
    <w:p>
      <w:pPr>
        <w:spacing w:line="28" w:lineRule="exact"/>
        <w:ind w:left="59" w:right="0" w:firstLine="0"/>
        <w:jc w:val="left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2672080" cy="1841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2672080" cy="18415"/>
                          <a:chExt cx="2672080" cy="1841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267208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2080" h="18415">
                                <a:moveTo>
                                  <a:pt x="26715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1571" y="18287"/>
                                </a:lnTo>
                                <a:lnTo>
                                  <a:pt x="2671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4pt;height:1.45pt;mso-position-horizontal-relative:char;mso-position-vertical-relative:line" id="docshapegroup9" coordorigin="0,0" coordsize="4208,29">
                <v:rect style="position:absolute;left:0;top:0;width:4208;height:29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  <w:r>
        <w:rPr>
          <w:rFonts w:ascii="Times New Roman"/>
          <w:spacing w:val="135"/>
          <w:position w:val="0"/>
          <w:sz w:val="2"/>
        </w:rPr>
        <w:t> </w:t>
      </w:r>
      <w:r>
        <w:rPr>
          <w:spacing w:val="135"/>
          <w:position w:val="0"/>
          <w:sz w:val="2"/>
        </w:rPr>
        <mc:AlternateContent>
          <mc:Choice Requires="wps">
            <w:drawing>
              <wp:inline distT="0" distB="0" distL="0" distR="0">
                <wp:extent cx="2670175" cy="1841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2670175" cy="18415"/>
                          <a:chExt cx="2670175" cy="1841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267017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175" h="18415">
                                <a:moveTo>
                                  <a:pt x="2670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0047" y="18287"/>
                                </a:lnTo>
                                <a:lnTo>
                                  <a:pt x="2670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25pt;height:1.45pt;mso-position-horizontal-relative:char;mso-position-vertical-relative:line" id="docshapegroup11" coordorigin="0,0" coordsize="4205,29">
                <v:rect style="position:absolute;left:0;top:0;width:4205;height:29" id="docshape12" filled="true" fillcolor="#000000" stroked="false">
                  <v:fill type="solid"/>
                </v:rect>
              </v:group>
            </w:pict>
          </mc:Fallback>
        </mc:AlternateContent>
      </w:r>
      <w:r>
        <w:rPr>
          <w:spacing w:val="135"/>
          <w:position w:val="0"/>
          <w:sz w:val="2"/>
        </w:rPr>
      </w:r>
    </w:p>
    <w:p>
      <w:pPr>
        <w:spacing w:after="0" w:line="28" w:lineRule="exact"/>
        <w:jc w:val="left"/>
        <w:rPr>
          <w:position w:val="0"/>
          <w:sz w:val="2"/>
        </w:rPr>
        <w:sectPr>
          <w:type w:val="continuous"/>
          <w:pgSz w:w="11900" w:h="16840"/>
          <w:pgMar w:top="1260" w:bottom="280" w:left="992" w:right="992"/>
        </w:sectPr>
      </w:pPr>
    </w:p>
    <w:p>
      <w:pPr>
        <w:pStyle w:val="BodyText"/>
        <w:spacing w:line="360" w:lineRule="auto"/>
        <w:ind w:left="351" w:right="14" w:firstLine="571"/>
      </w:pPr>
      <w:r>
        <w:rPr/>
        <w:t>Michele Schiffler Forster Chefe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Divisão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Tesouraria</w:t>
      </w:r>
      <w:r>
        <w:rPr>
          <w:spacing w:val="-8"/>
        </w:rPr>
        <w:t> </w:t>
      </w:r>
      <w:r>
        <w:rPr/>
        <w:t>em</w:t>
      </w:r>
    </w:p>
    <w:p>
      <w:pPr>
        <w:pStyle w:val="BodyText"/>
        <w:ind w:left="1703"/>
      </w:pPr>
      <w:r>
        <w:rPr>
          <w:spacing w:val="-2"/>
        </w:rPr>
        <w:t>exercício</w:t>
      </w:r>
    </w:p>
    <w:p>
      <w:pPr>
        <w:pStyle w:val="BodyText"/>
        <w:spacing w:line="360" w:lineRule="auto"/>
        <w:ind w:left="351" w:right="2339" w:firstLine="57"/>
        <w:jc w:val="both"/>
      </w:pPr>
      <w:r>
        <w:rPr/>
        <w:br w:type="column"/>
      </w:r>
      <w:r>
        <w:rPr/>
        <w:t>Vanessa Maria Bull Chefe de Gabinete Servidora</w:t>
      </w:r>
      <w:r>
        <w:rPr>
          <w:spacing w:val="-5"/>
        </w:rPr>
        <w:t> </w:t>
      </w:r>
      <w:r>
        <w:rPr>
          <w:spacing w:val="-2"/>
        </w:rPr>
        <w:t>convidada</w:t>
      </w:r>
    </w:p>
    <w:p>
      <w:pPr>
        <w:pStyle w:val="BodyText"/>
        <w:spacing w:after="0" w:line="360" w:lineRule="auto"/>
        <w:jc w:val="both"/>
        <w:sectPr>
          <w:type w:val="continuous"/>
          <w:pgSz w:w="11900" w:h="16840"/>
          <w:pgMar w:top="1260" w:bottom="280" w:left="992" w:right="992"/>
          <w:cols w:num="2" w:equalWidth="0">
            <w:col w:w="4010" w:space="1117"/>
            <w:col w:w="478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83"/>
        <w:rPr>
          <w:sz w:val="20"/>
        </w:rPr>
      </w:pPr>
    </w:p>
    <w:p>
      <w:pPr>
        <w:pStyle w:val="BodyText"/>
        <w:spacing w:line="20" w:lineRule="exact"/>
        <w:ind w:left="11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599690" cy="13335"/>
                <wp:effectExtent l="9525" t="0" r="635" b="5714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2599690" cy="13335"/>
                          <a:chExt cx="2599690" cy="1333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6496"/>
                            <a:ext cx="2599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9690" h="0">
                                <a:moveTo>
                                  <a:pt x="0" y="0"/>
                                </a:moveTo>
                                <a:lnTo>
                                  <a:pt x="2599657" y="0"/>
                                </a:lnTo>
                              </a:path>
                            </a:pathLst>
                          </a:custGeom>
                          <a:ln w="129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04.7pt;height:1.05pt;mso-position-horizontal-relative:char;mso-position-vertical-relative:line" id="docshapegroup13" coordorigin="0,0" coordsize="4094,21">
                <v:line style="position:absolute" from="0,10" to="4094,10" stroked="true" strokeweight="1.02307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360" w:lineRule="auto" w:before="129"/>
        <w:ind w:left="581" w:right="6171"/>
        <w:jc w:val="center"/>
      </w:pPr>
      <w:r>
        <w:rPr/>
        <w:t>Elizabeth</w:t>
      </w:r>
      <w:r>
        <w:rPr>
          <w:spacing w:val="-16"/>
        </w:rPr>
        <w:t> </w:t>
      </w:r>
      <w:r>
        <w:rPr/>
        <w:t>Jeunon</w:t>
      </w:r>
      <w:r>
        <w:rPr>
          <w:spacing w:val="-16"/>
        </w:rPr>
        <w:t> </w:t>
      </w:r>
      <w:r>
        <w:rPr/>
        <w:t>Notini Diretora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Previdência Servidora convidada</w:t>
      </w:r>
    </w:p>
    <w:sectPr>
      <w:type w:val="continuous"/>
      <w:pgSz w:w="11900" w:h="16840"/>
      <w:pgMar w:top="126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2025-05-19T15:45:32Z</dcterms:created>
  <dcterms:modified xsi:type="dcterms:W3CDTF">2025-05-19T15:45:32Z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