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7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1"/>
        <w:rPr>
          <w:rFonts w:ascii="Times New Roman"/>
        </w:rPr>
      </w:pPr>
    </w:p>
    <w:p>
      <w:pPr>
        <w:pStyle w:val="BodyText"/>
        <w:spacing w:line="364" w:lineRule="auto"/>
        <w:ind w:left="97" w:right="95"/>
        <w:jc w:val="both"/>
      </w:pPr>
      <w:r>
        <w:rPr/>
        <w:t>Ata da sexta reunião ordinária do Comitê de Investimentos do Instituto de Previdência e Assistência Social do Servidor Público do Município de Petrópolis – INPAS.</w:t>
      </w:r>
    </w:p>
    <w:p>
      <w:pPr>
        <w:pStyle w:val="BodyText"/>
        <w:spacing w:before="141"/>
      </w:pPr>
    </w:p>
    <w:p>
      <w:pPr>
        <w:pStyle w:val="BodyText"/>
        <w:spacing w:line="364" w:lineRule="auto" w:before="1"/>
        <w:ind w:left="97" w:right="93"/>
        <w:jc w:val="both"/>
      </w:pPr>
      <w:r>
        <w:rPr/>
        <w:t>Aos</w:t>
      </w:r>
      <w:r>
        <w:rPr>
          <w:spacing w:val="40"/>
        </w:rPr>
        <w:t> </w:t>
      </w:r>
      <w:r>
        <w:rPr/>
        <w:t>doze</w:t>
      </w:r>
      <w:r>
        <w:rPr>
          <w:spacing w:val="40"/>
        </w:rPr>
        <w:t> </w:t>
      </w:r>
      <w:r>
        <w:rPr/>
        <w:t>dias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abril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treze,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nove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trinta minutos, na sala do Diretor-Presidente</w:t>
      </w:r>
      <w:r>
        <w:rPr>
          <w:spacing w:val="32"/>
        </w:rPr>
        <w:t> </w:t>
      </w:r>
      <w:r>
        <w:rPr/>
        <w:t>do Instituto de Previdência e Assistência Social</w:t>
      </w:r>
      <w:r>
        <w:rPr>
          <w:spacing w:val="40"/>
        </w:rPr>
        <w:t> </w:t>
      </w:r>
      <w:r>
        <w:rPr/>
        <w:t>do Servidor</w:t>
      </w:r>
      <w:r>
        <w:rPr>
          <w:spacing w:val="40"/>
        </w:rPr>
        <w:t> </w:t>
      </w:r>
      <w:r>
        <w:rPr/>
        <w:t>Público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Município de Petrópolis</w:t>
      </w:r>
      <w:r>
        <w:rPr>
          <w:spacing w:val="40"/>
        </w:rPr>
        <w:t> </w:t>
      </w:r>
      <w:r>
        <w:rPr/>
        <w:t>– INPAS, sito</w:t>
      </w:r>
      <w:r>
        <w:rPr>
          <w:spacing w:val="40"/>
        </w:rPr>
        <w:t> </w:t>
      </w:r>
      <w:r>
        <w:rPr/>
        <w:t>à Rua Doutor</w:t>
      </w:r>
      <w:r>
        <w:rPr>
          <w:spacing w:val="40"/>
        </w:rPr>
        <w:t> </w:t>
      </w:r>
      <w:r>
        <w:rPr/>
        <w:t>Alencar Lima, número trinta e cinco, grupo 101 a 115, Centro, Petrópolis/RJ, reuniram-se os</w:t>
      </w:r>
      <w:r>
        <w:rPr>
          <w:spacing w:val="80"/>
        </w:rPr>
        <w:t> </w:t>
      </w:r>
      <w:r>
        <w:rPr/>
        <w:t>cinco membros do Comitê de Investimentos deste Regime Próprio de Previdência, conforme Decreto</w:t>
      </w:r>
      <w:r>
        <w:rPr>
          <w:spacing w:val="16"/>
        </w:rPr>
        <w:t> </w:t>
      </w:r>
      <w:r>
        <w:rPr/>
        <w:t>Municipal</w:t>
      </w:r>
      <w:r>
        <w:rPr>
          <w:spacing w:val="17"/>
        </w:rPr>
        <w:t> </w:t>
      </w:r>
      <w:r>
        <w:rPr/>
        <w:t>que criou</w:t>
      </w:r>
      <w:r>
        <w:rPr>
          <w:spacing w:val="16"/>
        </w:rPr>
        <w:t> </w:t>
      </w:r>
      <w:r>
        <w:rPr/>
        <w:t>o citado</w:t>
      </w:r>
      <w:r>
        <w:rPr>
          <w:spacing w:val="16"/>
        </w:rPr>
        <w:t> </w:t>
      </w:r>
      <w:r>
        <w:rPr/>
        <w:t>Comitê,</w:t>
      </w:r>
      <w:r>
        <w:rPr>
          <w:spacing w:val="16"/>
        </w:rPr>
        <w:t> </w:t>
      </w:r>
      <w:r>
        <w:rPr/>
        <w:t>número</w:t>
      </w:r>
      <w:r>
        <w:rPr>
          <w:spacing w:val="16"/>
        </w:rPr>
        <w:t> </w:t>
      </w:r>
      <w:r>
        <w:rPr/>
        <w:t>hum</w:t>
      </w:r>
      <w:r>
        <w:rPr>
          <w:spacing w:val="16"/>
        </w:rPr>
        <w:t> </w:t>
      </w:r>
      <w:r>
        <w:rPr/>
        <w:t>mil</w:t>
      </w:r>
      <w:r>
        <w:rPr>
          <w:spacing w:val="17"/>
        </w:rPr>
        <w:t> </w:t>
      </w:r>
      <w:r>
        <w:rPr/>
        <w:t>e dez,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trinta e hum de outubro de dois mil e doze, publicado no Diário Oficial do Município de Petrópolis de hum de novembro de dois mil e doze, além da senhora Vanessa Maria</w:t>
      </w:r>
      <w:r>
        <w:rPr>
          <w:spacing w:val="80"/>
        </w:rPr>
        <w:t> </w:t>
      </w:r>
      <w:r>
        <w:rPr/>
        <w:t>Bull, Chefe de Gabinete da Presidência, convidada para inteirar-se dos assuntos a</w:t>
      </w:r>
      <w:r>
        <w:rPr>
          <w:spacing w:val="80"/>
        </w:rPr>
        <w:t> </w:t>
      </w:r>
      <w:r>
        <w:rPr/>
        <w:t>serem tratados. Iniciou-se, com esta composição, a referida reunião para atendimento à pauta do dia,</w:t>
      </w:r>
      <w:r>
        <w:rPr>
          <w:spacing w:val="40"/>
        </w:rPr>
        <w:t> </w:t>
      </w:r>
      <w:r>
        <w:rPr/>
        <w:t>que teve a seguinte ordem:</w:t>
      </w:r>
      <w:r>
        <w:rPr>
          <w:spacing w:val="40"/>
        </w:rPr>
        <w:t> </w:t>
      </w:r>
      <w:r>
        <w:rPr/>
        <w:t>a) Análise do cenário</w:t>
      </w:r>
      <w:r>
        <w:rPr>
          <w:spacing w:val="40"/>
        </w:rPr>
        <w:t> </w:t>
      </w:r>
      <w:r>
        <w:rPr/>
        <w:t>macroeconômico</w:t>
      </w:r>
      <w:r>
        <w:rPr>
          <w:spacing w:val="40"/>
        </w:rPr>
        <w:t> </w:t>
      </w:r>
      <w:r>
        <w:rPr/>
        <w:t>de curto</w:t>
      </w:r>
      <w:r>
        <w:rPr>
          <w:spacing w:val="40"/>
        </w:rPr>
        <w:t> </w:t>
      </w:r>
      <w:r>
        <w:rPr/>
        <w:t>prazo,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40"/>
        </w:rPr>
        <w:t> </w:t>
      </w:r>
      <w:r>
        <w:rPr/>
        <w:t>b)</w:t>
      </w:r>
      <w:r>
        <w:rPr>
          <w:spacing w:val="40"/>
        </w:rPr>
        <w:t> </w:t>
      </w:r>
      <w:r>
        <w:rPr/>
        <w:t>Avaliação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investimentos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que</w:t>
      </w:r>
      <w:r>
        <w:rPr>
          <w:spacing w:val="35"/>
        </w:rPr>
        <w:t> </w:t>
      </w:r>
      <w:r>
        <w:rPr/>
        <w:t>compõem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patrimônio</w:t>
      </w:r>
      <w:r>
        <w:rPr>
          <w:spacing w:val="35"/>
        </w:rPr>
        <w:t> </w:t>
      </w:r>
      <w:r>
        <w:rPr/>
        <w:t>dos</w:t>
      </w:r>
      <w:r>
        <w:rPr>
          <w:spacing w:val="36"/>
        </w:rPr>
        <w:t> </w:t>
      </w:r>
      <w:r>
        <w:rPr/>
        <w:t>diversos</w:t>
      </w:r>
      <w:r>
        <w:rPr>
          <w:spacing w:val="36"/>
        </w:rPr>
        <w:t> </w:t>
      </w:r>
      <w:r>
        <w:rPr/>
        <w:t>segmentos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aplicação;</w:t>
      </w:r>
      <w:r>
        <w:rPr>
          <w:spacing w:val="35"/>
        </w:rPr>
        <w:t> </w:t>
      </w:r>
      <w:r>
        <w:rPr/>
        <w:t>c)</w:t>
      </w:r>
      <w:r>
        <w:rPr>
          <w:spacing w:val="34"/>
        </w:rPr>
        <w:t> </w:t>
      </w:r>
      <w:r>
        <w:rPr/>
        <w:t>Análise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fluxo de caixa, considerando as obrigações previdenciárias e administrativas para o mês em curso; d) Proposições de investimentos/ desinvestimentos, considerando avaliações técnicas com relação aos ativos objetos da proposta, que justifique o movimento proposto; e) Assuntos gerais. A senhora Presidente, Michele Forster apresentou a variação do mês de março do IRF-M e IMA segundo informações disponibilizadas pela ANBIMA, nos quais este Instituto faz suas</w:t>
      </w:r>
      <w:r>
        <w:rPr>
          <w:spacing w:val="40"/>
        </w:rPr>
        <w:t> </w:t>
      </w:r>
      <w:r>
        <w:rPr/>
        <w:t>aplicações. Ficou definido que os recursos</w:t>
      </w:r>
      <w:r>
        <w:rPr>
          <w:spacing w:val="40"/>
        </w:rPr>
        <w:t> </w:t>
      </w:r>
      <w:r>
        <w:rPr/>
        <w:t>que serão utilizados para fluxo de caixa continuarão a ser aplicados em IRF-M 1, devido</w:t>
      </w:r>
      <w:r>
        <w:rPr>
          <w:spacing w:val="40"/>
        </w:rPr>
        <w:t> </w:t>
      </w:r>
      <w:r>
        <w:rPr/>
        <w:t>à baixa volatilidade e o rendimento positivo. Logo a seguir, apresentou o Mapa de Disponibilidade Bancária, com os</w:t>
      </w:r>
      <w:r>
        <w:rPr>
          <w:spacing w:val="40"/>
        </w:rPr>
        <w:t> </w:t>
      </w:r>
      <w:r>
        <w:rPr/>
        <w:t>aportes</w:t>
      </w:r>
      <w:r>
        <w:rPr>
          <w:spacing w:val="40"/>
        </w:rPr>
        <w:t> </w:t>
      </w:r>
      <w:r>
        <w:rPr/>
        <w:t>de capital realizados,</w:t>
      </w:r>
      <w:r>
        <w:rPr>
          <w:spacing w:val="40"/>
        </w:rPr>
        <w:t> </w:t>
      </w:r>
      <w:r>
        <w:rPr/>
        <w:t>no total de cinco milhões,</w:t>
      </w:r>
      <w:r>
        <w:rPr>
          <w:spacing w:val="40"/>
        </w:rPr>
        <w:t> </w:t>
      </w:r>
      <w:r>
        <w:rPr/>
        <w:t>seiscentos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sessenta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sete</w:t>
      </w:r>
      <w:r>
        <w:rPr>
          <w:spacing w:val="40"/>
        </w:rPr>
        <w:t> </w:t>
      </w:r>
      <w:r>
        <w:rPr/>
        <w:t>mil,</w:t>
      </w:r>
      <w:r>
        <w:rPr>
          <w:spacing w:val="40"/>
        </w:rPr>
        <w:t> </w:t>
      </w:r>
      <w:r>
        <w:rPr/>
        <w:t>trinta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reais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sessenta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 centavos no mês de março, e de dois milhões, quatrocentos e oitenta e cinco mil, duzentos e vinte e nove reais e dezoito centavos até esta data do mês de abril. Na oportunidade, a senhora Presidente solicitou aos membros deste colegiado que buscassem informações sobre outras opções de investimentos e as trouxessem para estas</w:t>
      </w:r>
      <w:r>
        <w:rPr>
          <w:spacing w:val="40"/>
        </w:rPr>
        <w:t> </w:t>
      </w:r>
      <w:r>
        <w:rPr/>
        <w:t>reuniões,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fim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pudéssemos</w:t>
      </w:r>
      <w:r>
        <w:rPr>
          <w:spacing w:val="40"/>
        </w:rPr>
        <w:t> </w:t>
      </w:r>
      <w:r>
        <w:rPr/>
        <w:t>deliberar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tais</w:t>
      </w:r>
      <w:r>
        <w:rPr>
          <w:spacing w:val="40"/>
        </w:rPr>
        <w:t> </w:t>
      </w:r>
      <w:r>
        <w:rPr/>
        <w:t>questões.</w:t>
      </w:r>
      <w:r>
        <w:rPr>
          <w:spacing w:val="40"/>
        </w:rPr>
        <w:t> </w:t>
      </w:r>
      <w:r>
        <w:rPr/>
        <w:t>Ficara decidido, então, que serão efetuados estudos acerca dos Fundos de Investimentos em CDI e FIDIC. O senhor Diretor-Presidente, Marcus Curvelo, sugeriu que do valor</w:t>
      </w:r>
      <w:r>
        <w:rPr>
          <w:spacing w:val="40"/>
        </w:rPr>
        <w:t> </w:t>
      </w:r>
      <w:r>
        <w:rPr/>
        <w:t>existente nas contas bancárias administrativas, quinhentos mil reais fossem transferidos para a conta bancária previdenciária, tendo como foco a busca constante da diminuição do déficit atuarial. Desta forma, a senhora Presidente sugeriu que fossem retirados o valor de trezentos e noventa e seis mil, oitocentos e setenta e três reais e sessenta e</w:t>
      </w:r>
      <w:r>
        <w:rPr>
          <w:spacing w:val="80"/>
        </w:rPr>
        <w:t> </w:t>
      </w:r>
      <w:r>
        <w:rPr/>
        <w:t>seis centavos, existente na conta bancária administrativa aplicado em IMA-B, e que o valor de cento e três mil, cento e vinte e seis reais e trinta e quatro centavos fosse retirado também da conta administrativa das aplicações IRF-M ou IRF-M 1, de acordo com o cenário do dia na próxima semana, desde que tais índices não apresentassem queda, para evitar a realização de um prejuízo e que o montante fosse aplicado, na sua totalidade, em IRF-M 1 na conta previdenciária. Após questionamento, todos os</w:t>
      </w:r>
      <w:r>
        <w:rPr>
          <w:spacing w:val="80"/>
        </w:rPr>
        <w:t> </w:t>
      </w:r>
      <w:r>
        <w:rPr/>
        <w:t>membros concordaram e assim ficou decidido. Nada mais havendo a tratar, a senhora Presidente</w:t>
      </w:r>
      <w:r>
        <w:rPr>
          <w:spacing w:val="17"/>
        </w:rPr>
        <w:t> </w:t>
      </w:r>
      <w:r>
        <w:rPr/>
        <w:t>deu por</w:t>
      </w:r>
      <w:r>
        <w:rPr>
          <w:spacing w:val="18"/>
        </w:rPr>
        <w:t> </w:t>
      </w:r>
      <w:r>
        <w:rPr/>
        <w:t>encerrada</w:t>
      </w:r>
      <w:r>
        <w:rPr>
          <w:spacing w:val="17"/>
        </w:rPr>
        <w:t> </w:t>
      </w:r>
      <w:r>
        <w:rPr/>
        <w:t>a presente reunião às</w:t>
      </w:r>
      <w:r>
        <w:rPr>
          <w:spacing w:val="17"/>
        </w:rPr>
        <w:t> </w:t>
      </w:r>
      <w:r>
        <w:rPr/>
        <w:t>dez</w:t>
      </w:r>
      <w:r>
        <w:rPr>
          <w:spacing w:val="15"/>
        </w:rPr>
        <w:t> </w:t>
      </w:r>
      <w:r>
        <w:rPr/>
        <w:t>horas</w:t>
      </w:r>
      <w:r>
        <w:rPr>
          <w:spacing w:val="18"/>
        </w:rPr>
        <w:t> </w:t>
      </w:r>
      <w:r>
        <w:rPr/>
        <w:t>e trinta</w:t>
      </w:r>
      <w:r>
        <w:rPr>
          <w:spacing w:val="17"/>
        </w:rPr>
        <w:t> </w:t>
      </w:r>
      <w:r>
        <w:rPr/>
        <w:t>e cinco minutos,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/>
      </w:pPr>
      <w:r>
        <w:rPr/>
        <w:t>cuja</w:t>
      </w:r>
      <w:r>
        <w:rPr>
          <w:spacing w:val="80"/>
        </w:rPr>
        <w:t> </w:t>
      </w:r>
      <w:r>
        <w:rPr/>
        <w:t>Ata</w:t>
      </w:r>
      <w:r>
        <w:rPr>
          <w:spacing w:val="80"/>
        </w:rPr>
        <w:t> </w:t>
      </w:r>
      <w:r>
        <w:rPr/>
        <w:t>segue</w:t>
      </w:r>
      <w:r>
        <w:rPr>
          <w:spacing w:val="80"/>
        </w:rPr>
        <w:t> </w:t>
      </w:r>
      <w:r>
        <w:rPr/>
        <w:t>lavrada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mim,</w:t>
      </w:r>
      <w:r>
        <w:rPr>
          <w:spacing w:val="80"/>
        </w:rPr>
        <w:t> </w:t>
      </w:r>
      <w:r>
        <w:rPr/>
        <w:t>Secretária</w:t>
      </w:r>
      <w:r>
        <w:rPr>
          <w:spacing w:val="80"/>
        </w:rPr>
        <w:t> </w:t>
      </w:r>
      <w:r>
        <w:rPr/>
        <w:t>deste</w:t>
      </w:r>
      <w:r>
        <w:rPr>
          <w:spacing w:val="80"/>
        </w:rPr>
        <w:t> </w:t>
      </w:r>
      <w:r>
        <w:rPr/>
        <w:t>Comitê,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submeterei</w:t>
      </w:r>
      <w:r>
        <w:rPr>
          <w:spacing w:val="8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"/>
        <w:ind w:left="848" w:firstLine="381"/>
      </w:pPr>
      <w:r>
        <w:rPr/>
        <w:t>Michele Schiffler Forster Chefe da Divisão de Tesouraria</w:t>
      </w:r>
    </w:p>
    <w:p>
      <w:pPr>
        <w:pStyle w:val="BodyText"/>
        <w:spacing w:before="2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1"/>
        <w:ind w:left="848" w:right="1111"/>
        <w:jc w:val="center"/>
      </w:pPr>
      <w:r>
        <w:rPr/>
        <w:br w:type="column"/>
      </w:r>
      <w:r>
        <w:rPr/>
        <w:t>Adriana Catarina da Costa Gestora Previdenciária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21" w:right="633" w:firstLine="33"/>
      </w:pPr>
      <w:r>
        <w:rPr/>
        <w:br w:type="column"/>
      </w:r>
      <w:r>
        <w:rPr/>
        <w:t>Carla C. C. Maduro Vogas Tavares Diretora</w:t>
      </w:r>
      <w:r>
        <w:rPr>
          <w:spacing w:val="7"/>
        </w:rPr>
        <w:t> </w:t>
      </w:r>
      <w:r>
        <w:rPr/>
        <w:t>Administrativa</w:t>
      </w:r>
      <w:r>
        <w:rPr>
          <w:spacing w:val="4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2"/>
        </w:rPr>
        <w:t>Financeira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39" w:space="40"/>
            <w:col w:w="58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 w:after="1"/>
        <w:rPr>
          <w:sz w:val="20"/>
        </w:rPr>
      </w:pPr>
    </w:p>
    <w:p>
      <w:pPr>
        <w:pStyle w:val="BodyText"/>
        <w:spacing w:line="28" w:lineRule="exact"/>
        <w:ind w:left="3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line="364" w:lineRule="auto" w:before="3"/>
        <w:ind w:left="689" w:right="4977" w:firstLine="468"/>
      </w:pPr>
      <w:r>
        <w:rPr/>
        <w:t>Lucimar da Glória Gomes Chefe da Divisão de Contabilidade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2025-05-19T16:25:01Z</dcterms:created>
  <dcterms:modified xsi:type="dcterms:W3CDTF">2025-05-19T16:25:01Z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