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258"/>
        <w:rPr>
          <w:rFonts w:ascii="Times New Roman"/>
        </w:rPr>
      </w:pPr>
      <w:r>
        <w:rPr>
          <w:rFonts w:ascii="Times New Roman"/>
        </w:rPr>
        <w:drawing>
          <wp:inline distT="0" distB="0" distL="0" distR="0">
            <wp:extent cx="3144833" cy="1342453"/>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144833" cy="1342453"/>
                    </a:xfrm>
                    <a:prstGeom prst="rect">
                      <a:avLst/>
                    </a:prstGeom>
                  </pic:spPr>
                </pic:pic>
              </a:graphicData>
            </a:graphic>
          </wp:inline>
        </w:drawing>
      </w:r>
      <w:r>
        <w:rPr>
          <w:rFonts w:ascii="Times New Roman"/>
        </w:rPr>
      </w:r>
    </w:p>
    <w:p>
      <w:pPr>
        <w:pStyle w:val="BodyText"/>
        <w:spacing w:line="360" w:lineRule="auto" w:before="219"/>
        <w:ind w:left="624" w:right="255"/>
        <w:jc w:val="both"/>
      </w:pPr>
      <w:r>
        <w:rPr/>
        <w:t>Ata da quadragésima terceira reunião ordinária do Comitê de Investimentos do Instituto de Previdência e Assistência Social do Servidor Público do Município de Petrópolis – INPAS. Aos doze dias do mês de maio do ano de dois mil e dezesseis, às dez horas e trinta minutos, no Auditório do Instituto de Previdência e Assistência Social do Servidor Público do Município de Petrópolis, reuniram-se os seguintes membros do Comitê de</w:t>
      </w:r>
      <w:r>
        <w:rPr>
          <w:spacing w:val="40"/>
        </w:rPr>
        <w:t> </w:t>
      </w:r>
      <w:r>
        <w:rPr/>
        <w:t>Investimentos deste Regime Próprio de Previdência Social: a)- Diretor-Presidente do INPAS, senhor Paulo Marcos dos Reis b)-Diretor Financeiro do INPAS, senhor Daniel Luiz Simões</w:t>
      </w:r>
      <w:r>
        <w:rPr>
          <w:spacing w:val="-3"/>
        </w:rPr>
        <w:t> </w:t>
      </w:r>
      <w:r>
        <w:rPr/>
        <w:t>Campos,</w:t>
      </w:r>
      <w:r>
        <w:rPr>
          <w:spacing w:val="-3"/>
        </w:rPr>
        <w:t> </w:t>
      </w:r>
      <w:r>
        <w:rPr/>
        <w:t>c)-</w:t>
      </w:r>
      <w:r>
        <w:rPr>
          <w:spacing w:val="-4"/>
        </w:rPr>
        <w:t> </w:t>
      </w:r>
      <w:r>
        <w:rPr/>
        <w:t>Chefe</w:t>
      </w:r>
      <w:r>
        <w:rPr>
          <w:spacing w:val="-4"/>
        </w:rPr>
        <w:t> </w:t>
      </w:r>
      <w:r>
        <w:rPr/>
        <w:t>da</w:t>
      </w:r>
      <w:r>
        <w:rPr>
          <w:spacing w:val="-3"/>
        </w:rPr>
        <w:t> </w:t>
      </w:r>
      <w:r>
        <w:rPr/>
        <w:t>Divisão</w:t>
      </w:r>
      <w:r>
        <w:rPr>
          <w:spacing w:val="-2"/>
        </w:rPr>
        <w:t> </w:t>
      </w:r>
      <w:r>
        <w:rPr/>
        <w:t>de</w:t>
      </w:r>
      <w:r>
        <w:rPr>
          <w:spacing w:val="-4"/>
        </w:rPr>
        <w:t> </w:t>
      </w:r>
      <w:r>
        <w:rPr/>
        <w:t>Contabilidade,</w:t>
      </w:r>
      <w:r>
        <w:rPr>
          <w:spacing w:val="-3"/>
        </w:rPr>
        <w:t> </w:t>
      </w:r>
      <w:r>
        <w:rPr/>
        <w:t>senhora</w:t>
      </w:r>
      <w:r>
        <w:rPr>
          <w:spacing w:val="-3"/>
        </w:rPr>
        <w:t> </w:t>
      </w:r>
      <w:r>
        <w:rPr/>
        <w:t>Lucimar</w:t>
      </w:r>
      <w:r>
        <w:rPr>
          <w:spacing w:val="-2"/>
        </w:rPr>
        <w:t> </w:t>
      </w:r>
      <w:r>
        <w:rPr/>
        <w:t>da</w:t>
      </w:r>
      <w:r>
        <w:rPr>
          <w:spacing w:val="-4"/>
        </w:rPr>
        <w:t> </w:t>
      </w:r>
      <w:r>
        <w:rPr/>
        <w:t>Glória</w:t>
      </w:r>
      <w:r>
        <w:rPr>
          <w:spacing w:val="-3"/>
        </w:rPr>
        <w:t> </w:t>
      </w:r>
      <w:r>
        <w:rPr/>
        <w:t>Gomes Presidente eleita deste Comitê, d)- Chefe da Divisão de Tesouraria, Senhora Cláudia Miranda do Nascimento Secretária eleita deste Comitê, e) Gestora Previdenciária, senhora Carla Cristina</w:t>
      </w:r>
      <w:r>
        <w:rPr>
          <w:spacing w:val="-1"/>
        </w:rPr>
        <w:t> </w:t>
      </w:r>
      <w:r>
        <w:rPr/>
        <w:t>Correia Maduro Vogas</w:t>
      </w:r>
      <w:r>
        <w:rPr>
          <w:spacing w:val="-1"/>
        </w:rPr>
        <w:t> </w:t>
      </w:r>
      <w:r>
        <w:rPr/>
        <w:t>Tavares; Presentes também, com direito</w:t>
      </w:r>
      <w:r>
        <w:rPr>
          <w:spacing w:val="-1"/>
        </w:rPr>
        <w:t> </w:t>
      </w:r>
      <w:r>
        <w:rPr/>
        <w:t>a voz e</w:t>
      </w:r>
      <w:r>
        <w:rPr>
          <w:spacing w:val="-1"/>
        </w:rPr>
        <w:t> </w:t>
      </w:r>
      <w:r>
        <w:rPr/>
        <w:t>sem direito a voto, a Diretora de Previdência, a senhora Elizabeth Nottini, o servidor Aluísio Manzini, a servidora Vanessa Bull, a senhora Mônica Vieira de Moura Passos, a servidora Isabel Cristina Caldeira Gerônimo e a servidora Michele Schiffler Forster., Com esta composição iniciou-se a referida reunião para atendimento à pauta do dia, que teve a seguinte ordem: 1 - Aprovação da Ata da reunião anterior; 2 - Análise do cenário macroeconômico,</w:t>
      </w:r>
      <w:r>
        <w:rPr>
          <w:spacing w:val="-1"/>
        </w:rPr>
        <w:t> </w:t>
      </w:r>
      <w:r>
        <w:rPr/>
        <w:t>bem</w:t>
      </w:r>
      <w:r>
        <w:rPr>
          <w:spacing w:val="-2"/>
        </w:rPr>
        <w:t> </w:t>
      </w:r>
      <w:r>
        <w:rPr/>
        <w:t>como</w:t>
      </w:r>
      <w:r>
        <w:rPr>
          <w:spacing w:val="-1"/>
        </w:rPr>
        <w:t> </w:t>
      </w:r>
      <w:r>
        <w:rPr/>
        <w:t>as</w:t>
      </w:r>
      <w:r>
        <w:rPr>
          <w:spacing w:val="-3"/>
        </w:rPr>
        <w:t> </w:t>
      </w:r>
      <w:r>
        <w:rPr/>
        <w:t>expectativas de</w:t>
      </w:r>
      <w:r>
        <w:rPr>
          <w:spacing w:val="-1"/>
        </w:rPr>
        <w:t> </w:t>
      </w:r>
      <w:r>
        <w:rPr/>
        <w:t>mercado;</w:t>
      </w:r>
      <w:r>
        <w:rPr>
          <w:spacing w:val="-3"/>
        </w:rPr>
        <w:t> </w:t>
      </w:r>
      <w:r>
        <w:rPr/>
        <w:t>3-</w:t>
      </w:r>
      <w:r>
        <w:rPr>
          <w:spacing w:val="-2"/>
        </w:rPr>
        <w:t> </w:t>
      </w:r>
      <w:r>
        <w:rPr/>
        <w:t>-</w:t>
      </w:r>
      <w:r>
        <w:rPr>
          <w:spacing w:val="-12"/>
        </w:rPr>
        <w:t> </w:t>
      </w:r>
      <w:r>
        <w:rPr/>
        <w:t>Avaliação</w:t>
      </w:r>
      <w:r>
        <w:rPr>
          <w:spacing w:val="-1"/>
        </w:rPr>
        <w:t> </w:t>
      </w:r>
      <w:r>
        <w:rPr/>
        <w:t>dos</w:t>
      </w:r>
      <w:r>
        <w:rPr>
          <w:spacing w:val="-1"/>
        </w:rPr>
        <w:t> </w:t>
      </w:r>
      <w:r>
        <w:rPr/>
        <w:t>investimentos que compõem o patrimônio dos diversos segmentos de aplicação; 4 - Análise do fluxo de caixa, considerando as obrigações previdenciárias e administrativas para o mês em curso; 5 - Proposições de investimentos/desinvestimentos; 6-</w:t>
      </w:r>
      <w:r>
        <w:rPr>
          <w:spacing w:val="-6"/>
        </w:rPr>
        <w:t> </w:t>
      </w:r>
      <w:r>
        <w:rPr/>
        <w:t>Análise dos Fundos para o FASSE; 7- Processo de Credenciamento das Instituições Financeiras 8- Assuntos Gerais. A Presidente do Comitê iniciou a reunião justificando que a ausência da Gestora Previdenciária, senhora Adriana Catarina da Costa se deu em virtude de demanda de trabalho na Secretaria de Saúde. Após, procedeu a aprovação da ata da reunião anterior, sem ressalvas. Passando para o segundo item da pauta, a Gestora de Investimentos Sra Michele Schiffler Forster procedeu à leitura do “Panorama Econômico”. Ressaltou que no Panorama de fechamento do mês de abril pouco mudou em relação ao Panorama do mês de março, devido à instabilidade na política. Dentre os pontos mais relevantes, informou que,</w:t>
      </w:r>
      <w:r>
        <w:rPr>
          <w:spacing w:val="-1"/>
        </w:rPr>
        <w:t> </w:t>
      </w:r>
      <w:r>
        <w:rPr/>
        <w:t>confirmando</w:t>
      </w:r>
      <w:r>
        <w:rPr>
          <w:spacing w:val="-3"/>
        </w:rPr>
        <w:t> </w:t>
      </w:r>
      <w:r>
        <w:rPr/>
        <w:t>a</w:t>
      </w:r>
      <w:r>
        <w:rPr>
          <w:spacing w:val="-3"/>
        </w:rPr>
        <w:t> </w:t>
      </w:r>
      <w:r>
        <w:rPr/>
        <w:t>expectativa,</w:t>
      </w:r>
      <w:r>
        <w:rPr>
          <w:spacing w:val="-3"/>
        </w:rPr>
        <w:t> </w:t>
      </w:r>
      <w:r>
        <w:rPr/>
        <w:t>dia</w:t>
      </w:r>
      <w:r>
        <w:rPr>
          <w:spacing w:val="-3"/>
        </w:rPr>
        <w:t> </w:t>
      </w:r>
      <w:r>
        <w:rPr/>
        <w:t>26/04</w:t>
      </w:r>
      <w:r>
        <w:rPr>
          <w:spacing w:val="-3"/>
        </w:rPr>
        <w:t> </w:t>
      </w:r>
      <w:r>
        <w:rPr/>
        <w:t>o</w:t>
      </w:r>
      <w:r>
        <w:rPr>
          <w:spacing w:val="-3"/>
        </w:rPr>
        <w:t> </w:t>
      </w:r>
      <w:r>
        <w:rPr/>
        <w:t>Copom</w:t>
      </w:r>
      <w:r>
        <w:rPr>
          <w:spacing w:val="-2"/>
        </w:rPr>
        <w:t> </w:t>
      </w:r>
      <w:r>
        <w:rPr/>
        <w:t>por</w:t>
      </w:r>
      <w:r>
        <w:rPr>
          <w:spacing w:val="-2"/>
        </w:rPr>
        <w:t> </w:t>
      </w:r>
      <w:r>
        <w:rPr/>
        <w:t>unanimidade</w:t>
      </w:r>
      <w:r>
        <w:rPr>
          <w:spacing w:val="-3"/>
        </w:rPr>
        <w:t> </w:t>
      </w:r>
      <w:r>
        <w:rPr/>
        <w:t>manteve</w:t>
      </w:r>
      <w:r>
        <w:rPr>
          <w:spacing w:val="-1"/>
        </w:rPr>
        <w:t> </w:t>
      </w:r>
      <w:r>
        <w:rPr/>
        <w:t>a</w:t>
      </w:r>
      <w:r>
        <w:rPr>
          <w:spacing w:val="-5"/>
        </w:rPr>
        <w:t> </w:t>
      </w:r>
      <w:r>
        <w:rPr/>
        <w:t>Taxa</w:t>
      </w:r>
      <w:r>
        <w:rPr>
          <w:spacing w:val="-3"/>
        </w:rPr>
        <w:t> </w:t>
      </w:r>
      <w:r>
        <w:rPr/>
        <w:t>Selic em 14,25% sem viés. E que a agência de rating Fich cortou a nota do Brasil de BB+ para BB, grau especulativo por causa da credibilidade do governo. No segmento de renda fixa,</w:t>
      </w:r>
      <w:r>
        <w:rPr>
          <w:spacing w:val="40"/>
        </w:rPr>
        <w:t> </w:t>
      </w:r>
      <w:r>
        <w:rPr/>
        <w:t>o destaque no mês de abril foi novamente para o IMA-B5+ com valorização de 5,36%</w:t>
      </w:r>
      <w:r>
        <w:rPr>
          <w:spacing w:val="40"/>
        </w:rPr>
        <w:t> </w:t>
      </w:r>
      <w:r>
        <w:rPr/>
        <w:t>frente ao CDI com 1,1,6%. Entre os papéis pré – fixados, o IRMF-1 valorizou 1,06% enquanto o</w:t>
      </w:r>
      <w:r>
        <w:rPr>
          <w:spacing w:val="18"/>
        </w:rPr>
        <w:t> </w:t>
      </w:r>
      <w:r>
        <w:rPr/>
        <w:t>IRFM-1+</w:t>
      </w:r>
      <w:r>
        <w:rPr>
          <w:spacing w:val="17"/>
        </w:rPr>
        <w:t> </w:t>
      </w:r>
      <w:r>
        <w:rPr/>
        <w:t>apresentou</w:t>
      </w:r>
      <w:r>
        <w:rPr>
          <w:spacing w:val="18"/>
        </w:rPr>
        <w:t> </w:t>
      </w:r>
      <w:r>
        <w:rPr/>
        <w:t>alta</w:t>
      </w:r>
      <w:r>
        <w:rPr>
          <w:spacing w:val="18"/>
        </w:rPr>
        <w:t> </w:t>
      </w:r>
      <w:r>
        <w:rPr/>
        <w:t>de 4,79%</w:t>
      </w:r>
      <w:r>
        <w:rPr>
          <w:spacing w:val="18"/>
        </w:rPr>
        <w:t> </w:t>
      </w:r>
      <w:r>
        <w:rPr/>
        <w:t>(fonte: Anbima).</w:t>
      </w:r>
      <w:r>
        <w:rPr>
          <w:spacing w:val="18"/>
        </w:rPr>
        <w:t> </w:t>
      </w:r>
      <w:r>
        <w:rPr/>
        <w:t>O Câmbio fechou o</w:t>
      </w:r>
      <w:r>
        <w:rPr>
          <w:spacing w:val="18"/>
        </w:rPr>
        <w:t> </w:t>
      </w:r>
      <w:r>
        <w:rPr/>
        <w:t>mês</w:t>
      </w:r>
    </w:p>
    <w:p>
      <w:pPr>
        <w:pStyle w:val="BodyText"/>
        <w:spacing w:after="0" w:line="360" w:lineRule="auto"/>
        <w:jc w:val="both"/>
        <w:sectPr>
          <w:type w:val="continuous"/>
          <w:pgSz w:w="12240" w:h="15840"/>
          <w:pgMar w:top="180" w:bottom="280" w:left="1800" w:right="1440"/>
        </w:sectPr>
      </w:pPr>
    </w:p>
    <w:p>
      <w:pPr>
        <w:pStyle w:val="BodyText"/>
        <w:spacing w:line="360" w:lineRule="auto" w:before="74"/>
        <w:ind w:left="624" w:right="257"/>
        <w:jc w:val="both"/>
      </w:pPr>
      <w:r>
        <w:rPr/>
        <w:t>de abril a R$ 3,44 devido à desvalorização do Dólar Comercial Mercado de 4,342%. O índice IBOVESPA fechou o mês de abril em 53.910 pontos com uma valorização mensal</w:t>
      </w:r>
      <w:r>
        <w:rPr>
          <w:spacing w:val="40"/>
        </w:rPr>
        <w:t> </w:t>
      </w:r>
      <w:r>
        <w:rPr/>
        <w:t>de 7,70%% (fonte: Valor Econômico). A</w:t>
      </w:r>
      <w:r>
        <w:rPr>
          <w:spacing w:val="-1"/>
        </w:rPr>
        <w:t> </w:t>
      </w:r>
      <w:r>
        <w:rPr/>
        <w:t>perspectiva do cenário econômico para o mês de “maio”,</w:t>
      </w:r>
      <w:r>
        <w:rPr>
          <w:spacing w:val="-3"/>
        </w:rPr>
        <w:t> </w:t>
      </w:r>
      <w:r>
        <w:rPr/>
        <w:t>segundo</w:t>
      </w:r>
      <w:r>
        <w:rPr>
          <w:spacing w:val="-3"/>
        </w:rPr>
        <w:t> </w:t>
      </w:r>
      <w:r>
        <w:rPr/>
        <w:t>a</w:t>
      </w:r>
      <w:r>
        <w:rPr>
          <w:spacing w:val="-3"/>
        </w:rPr>
        <w:t> </w:t>
      </w:r>
      <w:r>
        <w:rPr/>
        <w:t>Empresa</w:t>
      </w:r>
      <w:r>
        <w:rPr>
          <w:spacing w:val="-3"/>
        </w:rPr>
        <w:t> </w:t>
      </w:r>
      <w:r>
        <w:rPr/>
        <w:t>da</w:t>
      </w:r>
      <w:r>
        <w:rPr>
          <w:spacing w:val="-2"/>
        </w:rPr>
        <w:t> </w:t>
      </w:r>
      <w:r>
        <w:rPr/>
        <w:t>Consultoria</w:t>
      </w:r>
      <w:r>
        <w:rPr>
          <w:spacing w:val="-1"/>
        </w:rPr>
        <w:t> </w:t>
      </w:r>
      <w:r>
        <w:rPr/>
        <w:t>Di</w:t>
      </w:r>
      <w:r>
        <w:rPr>
          <w:spacing w:val="-4"/>
        </w:rPr>
        <w:t> </w:t>
      </w:r>
      <w:r>
        <w:rPr/>
        <w:t>Blasi,</w:t>
      </w:r>
      <w:r>
        <w:rPr>
          <w:spacing w:val="-3"/>
        </w:rPr>
        <w:t> </w:t>
      </w:r>
      <w:r>
        <w:rPr/>
        <w:t>continuará</w:t>
      </w:r>
      <w:r>
        <w:rPr>
          <w:spacing w:val="-3"/>
        </w:rPr>
        <w:t> </w:t>
      </w:r>
      <w:r>
        <w:rPr/>
        <w:t>ruim,</w:t>
      </w:r>
      <w:r>
        <w:rPr>
          <w:spacing w:val="-1"/>
        </w:rPr>
        <w:t> </w:t>
      </w:r>
      <w:r>
        <w:rPr/>
        <w:t>em</w:t>
      </w:r>
      <w:r>
        <w:rPr>
          <w:spacing w:val="-2"/>
        </w:rPr>
        <w:t> </w:t>
      </w:r>
      <w:r>
        <w:rPr/>
        <w:t>virtude</w:t>
      </w:r>
      <w:r>
        <w:rPr>
          <w:spacing w:val="-3"/>
        </w:rPr>
        <w:t> </w:t>
      </w:r>
      <w:r>
        <w:rPr/>
        <w:t>da</w:t>
      </w:r>
      <w:r>
        <w:rPr>
          <w:spacing w:val="-2"/>
        </w:rPr>
        <w:t> </w:t>
      </w:r>
      <w:r>
        <w:rPr/>
        <w:t>inflação ainda elevada, PIB negativo e Taxa de Juros estável. Diante exposto, a recomendação da Consultoria para o mês de maio é posicionar a carteira em Títulos Públicos Federais em três indexadores: IMA-B-/IDKA/IRFM (IRMF1) e a dosagem do nível de risco deve ocorrer com a parcela que será alocada nos Fundos da família IMA-B. Prosseguindo, apresentou um relatório elaborado pela Consultoria DI Blasi, com resumo com as movimentações dos investimentos, o qual apontou um retorno acumulado até o mês de abril de R$ 127.089,74, com atingimento da Meta</w:t>
      </w:r>
      <w:r>
        <w:rPr>
          <w:spacing w:val="-2"/>
        </w:rPr>
        <w:t> </w:t>
      </w:r>
      <w:r>
        <w:rPr/>
        <w:t>Atuarial de 94,79%. Finalizando, apresentou um quadro que</w:t>
      </w:r>
      <w:r>
        <w:rPr>
          <w:spacing w:val="40"/>
        </w:rPr>
        <w:t> </w:t>
      </w:r>
      <w:r>
        <w:rPr/>
        <w:t>foi utilizado na áudio conferência realizada com o Banco do Brasil dia 21/04/2016 sobre o Cenário Econômico e Alocação para o RPPS, o qual aponta que dentre os Fundos de Renda Fixa, com</w:t>
      </w:r>
      <w:r>
        <w:rPr>
          <w:spacing w:val="-1"/>
        </w:rPr>
        <w:t> </w:t>
      </w:r>
      <w:r>
        <w:rPr/>
        <w:t>base na</w:t>
      </w:r>
      <w:r>
        <w:rPr>
          <w:spacing w:val="-2"/>
        </w:rPr>
        <w:t> </w:t>
      </w:r>
      <w:r>
        <w:rPr/>
        <w:t>rentabilidade</w:t>
      </w:r>
      <w:r>
        <w:rPr>
          <w:spacing w:val="-2"/>
        </w:rPr>
        <w:t> </w:t>
      </w:r>
      <w:r>
        <w:rPr/>
        <w:t>janeiro</w:t>
      </w:r>
      <w:r>
        <w:rPr>
          <w:spacing w:val="-2"/>
        </w:rPr>
        <w:t> </w:t>
      </w:r>
      <w:r>
        <w:rPr/>
        <w:t>a</w:t>
      </w:r>
      <w:r>
        <w:rPr>
          <w:spacing w:val="-2"/>
        </w:rPr>
        <w:t> </w:t>
      </w:r>
      <w:r>
        <w:rPr/>
        <w:t>abril/16,</w:t>
      </w:r>
      <w:r>
        <w:rPr>
          <w:spacing w:val="-2"/>
        </w:rPr>
        <w:t> </w:t>
      </w:r>
      <w:r>
        <w:rPr/>
        <w:t>os</w:t>
      </w:r>
      <w:r>
        <w:rPr>
          <w:spacing w:val="-2"/>
        </w:rPr>
        <w:t> </w:t>
      </w:r>
      <w:r>
        <w:rPr/>
        <w:t>Fundos da</w:t>
      </w:r>
      <w:r>
        <w:rPr>
          <w:spacing w:val="-2"/>
        </w:rPr>
        <w:t> </w:t>
      </w:r>
      <w:r>
        <w:rPr/>
        <w:t>família IMA</w:t>
      </w:r>
      <w:r>
        <w:rPr>
          <w:spacing w:val="-14"/>
        </w:rPr>
        <w:t> </w:t>
      </w:r>
      <w:r>
        <w:rPr/>
        <w:t>e</w:t>
      </w:r>
      <w:r>
        <w:rPr>
          <w:spacing w:val="-2"/>
        </w:rPr>
        <w:t> </w:t>
      </w:r>
      <w:r>
        <w:rPr/>
        <w:t>IRFM tiveram maior retorno tendo como base uma meta atuarial (IPC+6%) de 5,18%, o que corrobora com a recomendação da Consultoria de trabalhar com IRFM, concluindo que se o</w:t>
      </w:r>
      <w:r>
        <w:rPr>
          <w:spacing w:val="-3"/>
        </w:rPr>
        <w:t> </w:t>
      </w:r>
      <w:r>
        <w:rPr/>
        <w:t>Instituto</w:t>
      </w:r>
      <w:r>
        <w:rPr>
          <w:spacing w:val="-1"/>
        </w:rPr>
        <w:t> </w:t>
      </w:r>
      <w:r>
        <w:rPr/>
        <w:t>continuar</w:t>
      </w:r>
      <w:r>
        <w:rPr>
          <w:spacing w:val="-2"/>
        </w:rPr>
        <w:t> </w:t>
      </w:r>
      <w:r>
        <w:rPr/>
        <w:t>com as</w:t>
      </w:r>
      <w:r>
        <w:rPr>
          <w:spacing w:val="-1"/>
        </w:rPr>
        <w:t> </w:t>
      </w:r>
      <w:r>
        <w:rPr/>
        <w:t>aplicações</w:t>
      </w:r>
      <w:r>
        <w:rPr>
          <w:spacing w:val="-1"/>
        </w:rPr>
        <w:t> </w:t>
      </w:r>
      <w:r>
        <w:rPr/>
        <w:t>somente</w:t>
      </w:r>
      <w:r>
        <w:rPr>
          <w:spacing w:val="-1"/>
        </w:rPr>
        <w:t> </w:t>
      </w:r>
      <w:r>
        <w:rPr/>
        <w:t>em</w:t>
      </w:r>
      <w:r>
        <w:rPr>
          <w:spacing w:val="-2"/>
        </w:rPr>
        <w:t> </w:t>
      </w:r>
      <w:r>
        <w:rPr/>
        <w:t>IRFM-1</w:t>
      </w:r>
      <w:r>
        <w:rPr>
          <w:spacing w:val="-3"/>
        </w:rPr>
        <w:t> </w:t>
      </w:r>
      <w:r>
        <w:rPr/>
        <w:t>e</w:t>
      </w:r>
      <w:r>
        <w:rPr>
          <w:spacing w:val="-3"/>
        </w:rPr>
        <w:t> </w:t>
      </w:r>
      <w:r>
        <w:rPr/>
        <w:t>CDI,</w:t>
      </w:r>
      <w:r>
        <w:rPr>
          <w:spacing w:val="-1"/>
        </w:rPr>
        <w:t> </w:t>
      </w:r>
      <w:r>
        <w:rPr/>
        <w:t>não</w:t>
      </w:r>
      <w:r>
        <w:rPr>
          <w:spacing w:val="-1"/>
        </w:rPr>
        <w:t> </w:t>
      </w:r>
      <w:r>
        <w:rPr/>
        <w:t>atingiremos</w:t>
      </w:r>
      <w:r>
        <w:rPr>
          <w:spacing w:val="-1"/>
        </w:rPr>
        <w:t> </w:t>
      </w:r>
      <w:r>
        <w:rPr/>
        <w:t>a</w:t>
      </w:r>
      <w:r>
        <w:rPr>
          <w:spacing w:val="-3"/>
        </w:rPr>
        <w:t> </w:t>
      </w:r>
      <w:r>
        <w:rPr/>
        <w:t>meta atuarial. Dando prosseguimento, Diretor Financeiro do INPAS, senhor Daniel Luiz Simões Campos o Diretor Administrativo, apresentou análise do fluxo de caixa, bem como dos investimentos que compõem o patrimônio dos segmentos de aplicação.</w:t>
      </w:r>
      <w:r>
        <w:rPr>
          <w:spacing w:val="40"/>
        </w:rPr>
        <w:t> </w:t>
      </w:r>
      <w:r>
        <w:rPr/>
        <w:t>Passando para o quinto item de pauta, com base na apresentação do Banco do Brasil, bem como na recomendação da Consultoria, o senhor Daniel Luiz Simões Campos, em acordo com a senhora Michele Schiffler Forster propuseram a alocação de parte dos recursos do INPAS em IRFM. Abrindo os debates, ficou definido num primeiro momento separar o raciocínio quanto aos investimentos do “Recurso Administrativo” do “Recurso Previdenciário”. Tal separação se deve ao fato do curto período em que os recursos previdenciários ficam aplicados por conta do pagamento da folha dos inativos e a atual realidade do Instituto, comprometendo a aplicação da parcela de risco. Após definição, foram feitas duas propostas quanto ao limite de aplicação para ambos os recursos: a primeira sugestão foi</w:t>
      </w:r>
      <w:r>
        <w:rPr>
          <w:spacing w:val="40"/>
        </w:rPr>
        <w:t> </w:t>
      </w:r>
      <w:r>
        <w:rPr/>
        <w:t>do Diretor Financeiro de alocação de 10% em IMA-B; 15% em IRFM e 75% em IRFM-1 para os recursos administrativo, e 15% em IRFM e 85% em IRFM-1, para os recursos previdenciários,</w:t>
      </w:r>
      <w:r>
        <w:rPr>
          <w:spacing w:val="-6"/>
        </w:rPr>
        <w:t> </w:t>
      </w:r>
      <w:r>
        <w:rPr/>
        <w:t>acabando</w:t>
      </w:r>
      <w:r>
        <w:rPr>
          <w:spacing w:val="-5"/>
        </w:rPr>
        <w:t> </w:t>
      </w:r>
      <w:r>
        <w:rPr/>
        <w:t>com</w:t>
      </w:r>
      <w:r>
        <w:rPr>
          <w:spacing w:val="-6"/>
        </w:rPr>
        <w:t> </w:t>
      </w:r>
      <w:r>
        <w:rPr/>
        <w:t>as</w:t>
      </w:r>
      <w:r>
        <w:rPr>
          <w:spacing w:val="-5"/>
        </w:rPr>
        <w:t> </w:t>
      </w:r>
      <w:r>
        <w:rPr/>
        <w:t>aplicações</w:t>
      </w:r>
      <w:r>
        <w:rPr>
          <w:spacing w:val="-5"/>
        </w:rPr>
        <w:t> </w:t>
      </w:r>
      <w:r>
        <w:rPr/>
        <w:t>em</w:t>
      </w:r>
      <w:r>
        <w:rPr>
          <w:spacing w:val="-6"/>
        </w:rPr>
        <w:t> </w:t>
      </w:r>
      <w:r>
        <w:rPr/>
        <w:t>CDI.</w:t>
      </w:r>
      <w:r>
        <w:rPr>
          <w:spacing w:val="-14"/>
        </w:rPr>
        <w:t> </w:t>
      </w:r>
      <w:r>
        <w:rPr/>
        <w:t>A</w:t>
      </w:r>
      <w:r>
        <w:rPr>
          <w:spacing w:val="-14"/>
        </w:rPr>
        <w:t> </w:t>
      </w:r>
      <w:r>
        <w:rPr/>
        <w:t>segunda</w:t>
      </w:r>
      <w:r>
        <w:rPr>
          <w:spacing w:val="-5"/>
        </w:rPr>
        <w:t> </w:t>
      </w:r>
      <w:r>
        <w:rPr/>
        <w:t>proposta</w:t>
      </w:r>
      <w:r>
        <w:rPr>
          <w:spacing w:val="-5"/>
        </w:rPr>
        <w:t> </w:t>
      </w:r>
      <w:r>
        <w:rPr/>
        <w:t>veio</w:t>
      </w:r>
      <w:r>
        <w:rPr>
          <w:spacing w:val="-5"/>
        </w:rPr>
        <w:t> </w:t>
      </w:r>
      <w:r>
        <w:rPr/>
        <w:t>da Gestora Previdenciária, a senhora Carla Cristina Correa M.V. Tavares que sugeriu no primeiro momento</w:t>
      </w:r>
      <w:r>
        <w:rPr>
          <w:spacing w:val="-2"/>
        </w:rPr>
        <w:t> </w:t>
      </w:r>
      <w:r>
        <w:rPr/>
        <w:t>manter</w:t>
      </w:r>
      <w:r>
        <w:rPr>
          <w:spacing w:val="-1"/>
        </w:rPr>
        <w:t> </w:t>
      </w:r>
      <w:r>
        <w:rPr/>
        <w:t>as aplicações hoje</w:t>
      </w:r>
      <w:r>
        <w:rPr>
          <w:spacing w:val="-2"/>
        </w:rPr>
        <w:t> </w:t>
      </w:r>
      <w:r>
        <w:rPr/>
        <w:t>existentes</w:t>
      </w:r>
      <w:r>
        <w:rPr>
          <w:spacing w:val="-2"/>
        </w:rPr>
        <w:t> </w:t>
      </w:r>
      <w:r>
        <w:rPr/>
        <w:t>na</w:t>
      </w:r>
      <w:r>
        <w:rPr>
          <w:spacing w:val="-2"/>
        </w:rPr>
        <w:t> </w:t>
      </w:r>
      <w:r>
        <w:rPr/>
        <w:t>conta</w:t>
      </w:r>
      <w:r>
        <w:rPr>
          <w:spacing w:val="-2"/>
        </w:rPr>
        <w:t> </w:t>
      </w:r>
      <w:r>
        <w:rPr/>
        <w:t>previdenciária,</w:t>
      </w:r>
      <w:r>
        <w:rPr>
          <w:spacing w:val="-2"/>
        </w:rPr>
        <w:t> </w:t>
      </w:r>
      <w:r>
        <w:rPr/>
        <w:t>tendo</w:t>
      </w:r>
      <w:r>
        <w:rPr>
          <w:spacing w:val="-2"/>
        </w:rPr>
        <w:t> </w:t>
      </w:r>
      <w:r>
        <w:rPr/>
        <w:t>em</w:t>
      </w:r>
      <w:r>
        <w:rPr>
          <w:spacing w:val="-1"/>
        </w:rPr>
        <w:t> </w:t>
      </w:r>
      <w:r>
        <w:rPr/>
        <w:t>vista que tais recursos são resgatados mensalmente. Sugeriu que a proposta do Diretor Financeiro seja acatada somente em relação aos recursos administrativos, pois a parcela de risco aplicada não será utilizada em curto prazo. Colocado em votação, o Comitê aprovou a primeira proposta apresentada pelo Diretor Financeiro por 03 votos a 02. Ficando definido</w:t>
      </w:r>
    </w:p>
    <w:p>
      <w:pPr>
        <w:pStyle w:val="BodyText"/>
        <w:spacing w:after="0" w:line="360" w:lineRule="auto"/>
        <w:jc w:val="both"/>
        <w:sectPr>
          <w:pgSz w:w="12240" w:h="15840"/>
          <w:pgMar w:top="1060" w:bottom="280" w:left="1800" w:right="1440"/>
        </w:sectPr>
      </w:pPr>
    </w:p>
    <w:p>
      <w:pPr>
        <w:pStyle w:val="BodyText"/>
        <w:spacing w:line="360" w:lineRule="auto" w:before="74"/>
        <w:ind w:left="624" w:right="260"/>
        <w:jc w:val="both"/>
      </w:pPr>
      <w:r>
        <w:rPr/>
        <w:t>que as aplicações serão realizadas a partir do resgate para pagamento da folha dos inativos do mês de maio/16, com os repasses das primeiras receitas do mês de junho/16 até a próxima reunião do Comitê. Passando para o sexto item, a senhora Michele S. Forster apresentou uma planilha de Fundos para alocação do saldo remanescente do FASSE. Esclareceu que a pesquisa foi realizada com base nos Fundos IRFM; IDKA2 e IMA-B5, indicados pelo Consultor Di Blasi e com base nas instituições bancárias que o Instituto atualmente trabalha, Banco do Brasil e Caixa Econômica Federal, visto que com outras instituições bancárias seria necessário o credenciamento destas. Após a apresentação a senhora Michele S. Forster ressaltou que todas as Instituições Bancárias estão bem equilibradas e que nenhuma se destacou mais que a outra. Passando para o sétimo item de pauta ficou decido que a Gestora Previdenciária, senhora Carla Cristina Correia M. V. Tavares, fará as instruções necessárias no processo de credenciamento no que</w:t>
      </w:r>
      <w:r>
        <w:rPr>
          <w:spacing w:val="-5"/>
        </w:rPr>
        <w:t> </w:t>
      </w:r>
      <w:r>
        <w:rPr/>
        <w:t>diz</w:t>
      </w:r>
      <w:r>
        <w:rPr>
          <w:spacing w:val="-4"/>
        </w:rPr>
        <w:t> </w:t>
      </w:r>
      <w:r>
        <w:rPr/>
        <w:t>respeito</w:t>
      </w:r>
      <w:r>
        <w:rPr>
          <w:spacing w:val="-5"/>
        </w:rPr>
        <w:t> </w:t>
      </w:r>
      <w:r>
        <w:rPr/>
        <w:t>aos</w:t>
      </w:r>
      <w:r>
        <w:rPr>
          <w:spacing w:val="-4"/>
        </w:rPr>
        <w:t> </w:t>
      </w:r>
      <w:r>
        <w:rPr/>
        <w:t>requisitos</w:t>
      </w:r>
      <w:r>
        <w:rPr>
          <w:spacing w:val="-4"/>
        </w:rPr>
        <w:t> </w:t>
      </w:r>
      <w:r>
        <w:rPr/>
        <w:t>mínimos</w:t>
      </w:r>
      <w:r>
        <w:rPr>
          <w:spacing w:val="-6"/>
        </w:rPr>
        <w:t> </w:t>
      </w:r>
      <w:r>
        <w:rPr/>
        <w:t>para</w:t>
      </w:r>
      <w:r>
        <w:rPr>
          <w:spacing w:val="-5"/>
        </w:rPr>
        <w:t> </w:t>
      </w:r>
      <w:r>
        <w:rPr/>
        <w:t>o</w:t>
      </w:r>
      <w:r>
        <w:rPr>
          <w:spacing w:val="-4"/>
        </w:rPr>
        <w:t> </w:t>
      </w:r>
      <w:r>
        <w:rPr/>
        <w:t>credenciamento</w:t>
      </w:r>
      <w:r>
        <w:rPr>
          <w:spacing w:val="-4"/>
        </w:rPr>
        <w:t> </w:t>
      </w:r>
      <w:r>
        <w:rPr/>
        <w:t>das</w:t>
      </w:r>
      <w:r>
        <w:rPr>
          <w:spacing w:val="-4"/>
        </w:rPr>
        <w:t> </w:t>
      </w:r>
      <w:r>
        <w:rPr/>
        <w:t>instituições</w:t>
      </w:r>
      <w:r>
        <w:rPr>
          <w:spacing w:val="-4"/>
        </w:rPr>
        <w:t> </w:t>
      </w:r>
      <w:r>
        <w:rPr/>
        <w:t>financeiras, em conformidade com a Portaria n.º 300/15 do Ministério de Previdência, para posterior encaminhamento do processo à Procuradoria para análise e parecer. No oitavo e último item de pauta, assuntos gerais não houve sugestões. Nada mais havendo a tratar, a senhora Presidente deu por encerrada a presente reunião às 11:56h, cuja Ata segue lavrada por mim, Cláudia Miranda do Nascimento Secretária deste Comitê, que a submeterei à aprovação dos demais membros e devidamente colherei suas assinaturas.</w:t>
      </w:r>
    </w:p>
    <w:p>
      <w:pPr>
        <w:pStyle w:val="BodyText"/>
        <w:spacing w:before="115"/>
      </w:pPr>
    </w:p>
    <w:p>
      <w:pPr>
        <w:pStyle w:val="BodyText"/>
        <w:tabs>
          <w:tab w:pos="5500" w:val="left" w:leader="none"/>
          <w:tab w:pos="5830" w:val="left" w:leader="none"/>
        </w:tabs>
        <w:spacing w:before="1"/>
        <w:ind w:left="1176" w:right="987" w:hanging="222"/>
      </w:pPr>
      <w:r>
        <w:rPr/>
        <w:t>Paulo Marcos dos Reis</w:t>
        <w:tab/>
        <w:t>Daniel</w:t>
      </w:r>
      <w:r>
        <w:rPr>
          <w:spacing w:val="-14"/>
        </w:rPr>
        <w:t> </w:t>
      </w:r>
      <w:r>
        <w:rPr/>
        <w:t>Luiz</w:t>
      </w:r>
      <w:r>
        <w:rPr>
          <w:spacing w:val="-13"/>
        </w:rPr>
        <w:t> </w:t>
      </w:r>
      <w:r>
        <w:rPr/>
        <w:t>Simões</w:t>
      </w:r>
      <w:r>
        <w:rPr>
          <w:spacing w:val="-14"/>
        </w:rPr>
        <w:t> </w:t>
      </w:r>
      <w:r>
        <w:rPr/>
        <w:t>Campos Diretor Presidente</w:t>
        <w:tab/>
        <w:tab/>
        <w:t>Diretor Financeiro</w:t>
      </w:r>
    </w:p>
    <w:p>
      <w:pPr>
        <w:pStyle w:val="BodyText"/>
      </w:pPr>
    </w:p>
    <w:p>
      <w:pPr>
        <w:pStyle w:val="BodyText"/>
      </w:pPr>
    </w:p>
    <w:p>
      <w:pPr>
        <w:pStyle w:val="BodyText"/>
        <w:tabs>
          <w:tab w:pos="5317" w:val="left" w:leader="none"/>
        </w:tabs>
        <w:ind w:left="733"/>
        <w:jc w:val="both"/>
      </w:pPr>
      <w:r>
        <w:rPr/>
        <w:t>Michele</w:t>
      </w:r>
      <w:r>
        <w:rPr>
          <w:spacing w:val="-5"/>
        </w:rPr>
        <w:t> </w:t>
      </w:r>
      <w:r>
        <w:rPr/>
        <w:t>Schifller</w:t>
      </w:r>
      <w:r>
        <w:rPr>
          <w:spacing w:val="-5"/>
        </w:rPr>
        <w:t> </w:t>
      </w:r>
      <w:r>
        <w:rPr>
          <w:spacing w:val="-2"/>
        </w:rPr>
        <w:t>Forster</w:t>
      </w:r>
      <w:r>
        <w:rPr/>
        <w:tab/>
        <w:t>Cláudia</w:t>
      </w:r>
      <w:r>
        <w:rPr>
          <w:spacing w:val="-6"/>
        </w:rPr>
        <w:t> </w:t>
      </w:r>
      <w:r>
        <w:rPr/>
        <w:t>Miranda</w:t>
      </w:r>
      <w:r>
        <w:rPr>
          <w:spacing w:val="-4"/>
        </w:rPr>
        <w:t> </w:t>
      </w:r>
      <w:r>
        <w:rPr/>
        <w:t>do</w:t>
      </w:r>
      <w:r>
        <w:rPr>
          <w:spacing w:val="-3"/>
        </w:rPr>
        <w:t> </w:t>
      </w:r>
      <w:r>
        <w:rPr>
          <w:spacing w:val="-2"/>
        </w:rPr>
        <w:t>Nascimento</w:t>
      </w:r>
    </w:p>
    <w:p>
      <w:pPr>
        <w:pStyle w:val="BodyText"/>
        <w:tabs>
          <w:tab w:pos="5339" w:val="left" w:leader="none"/>
        </w:tabs>
        <w:ind w:left="625"/>
        <w:jc w:val="both"/>
      </w:pPr>
      <w:r>
        <w:rPr/>
        <w:t>Gestora</w:t>
      </w:r>
      <w:r>
        <w:rPr>
          <w:spacing w:val="-3"/>
        </w:rPr>
        <w:t> </w:t>
      </w:r>
      <w:r>
        <w:rPr/>
        <w:t>de</w:t>
      </w:r>
      <w:r>
        <w:rPr>
          <w:spacing w:val="-3"/>
        </w:rPr>
        <w:t> </w:t>
      </w:r>
      <w:r>
        <w:rPr>
          <w:spacing w:val="-2"/>
        </w:rPr>
        <w:t>Investimentos</w:t>
      </w:r>
      <w:r>
        <w:rPr/>
        <w:tab/>
        <w:t>Chefe</w:t>
      </w:r>
      <w:r>
        <w:rPr>
          <w:spacing w:val="-6"/>
        </w:rPr>
        <w:t> </w:t>
      </w:r>
      <w:r>
        <w:rPr/>
        <w:t>da</w:t>
      </w:r>
      <w:r>
        <w:rPr>
          <w:spacing w:val="-4"/>
        </w:rPr>
        <w:t> </w:t>
      </w:r>
      <w:r>
        <w:rPr/>
        <w:t>Divisão</w:t>
      </w:r>
      <w:r>
        <w:rPr>
          <w:spacing w:val="-1"/>
        </w:rPr>
        <w:t> </w:t>
      </w:r>
      <w:r>
        <w:rPr/>
        <w:t>de</w:t>
      </w:r>
      <w:r>
        <w:rPr>
          <w:spacing w:val="-5"/>
        </w:rPr>
        <w:t> </w:t>
      </w:r>
      <w:r>
        <w:rPr>
          <w:spacing w:val="-2"/>
        </w:rPr>
        <w:t>Tesouraria</w:t>
      </w:r>
    </w:p>
    <w:p>
      <w:pPr>
        <w:pStyle w:val="BodyText"/>
      </w:pPr>
    </w:p>
    <w:p>
      <w:pPr>
        <w:pStyle w:val="BodyText"/>
      </w:pPr>
    </w:p>
    <w:p>
      <w:pPr>
        <w:pStyle w:val="BodyText"/>
      </w:pPr>
    </w:p>
    <w:p>
      <w:pPr>
        <w:pStyle w:val="BodyText"/>
        <w:tabs>
          <w:tab w:pos="6005" w:val="left" w:leader="none"/>
        </w:tabs>
        <w:ind w:left="791"/>
      </w:pPr>
      <w:r>
        <w:rPr/>
        <w:t>Lucimar</w:t>
      </w:r>
      <w:r>
        <w:rPr>
          <w:spacing w:val="-5"/>
        </w:rPr>
        <w:t> </w:t>
      </w:r>
      <w:r>
        <w:rPr/>
        <w:t>Glória</w:t>
      </w:r>
      <w:r>
        <w:rPr>
          <w:spacing w:val="-4"/>
        </w:rPr>
        <w:t> Gomes</w:t>
      </w:r>
      <w:r>
        <w:rPr/>
        <w:tab/>
      </w:r>
      <w:r>
        <w:rPr>
          <w:spacing w:val="-2"/>
        </w:rPr>
        <w:t>Vanessa</w:t>
      </w:r>
      <w:r>
        <w:rPr>
          <w:spacing w:val="-8"/>
        </w:rPr>
        <w:t> </w:t>
      </w:r>
      <w:r>
        <w:rPr>
          <w:spacing w:val="-4"/>
        </w:rPr>
        <w:t>Bull</w:t>
      </w:r>
    </w:p>
    <w:p>
      <w:pPr>
        <w:pStyle w:val="BodyText"/>
        <w:tabs>
          <w:tab w:pos="5697" w:val="left" w:leader="none"/>
        </w:tabs>
        <w:ind w:left="955" w:right="1624" w:hanging="552"/>
      </w:pPr>
      <w:r>
        <w:rPr/>
        <w:t>Chefe da Divisão de Contabilidade</w:t>
        <w:tab/>
        <w:t>Chefe</w:t>
      </w:r>
      <w:r>
        <w:rPr>
          <w:spacing w:val="-14"/>
        </w:rPr>
        <w:t> </w:t>
      </w:r>
      <w:r>
        <w:rPr/>
        <w:t>de</w:t>
      </w:r>
      <w:r>
        <w:rPr>
          <w:spacing w:val="-14"/>
        </w:rPr>
        <w:t> </w:t>
      </w:r>
      <w:r>
        <w:rPr/>
        <w:t>Gabinete Presidente do Comitê</w:t>
      </w:r>
    </w:p>
    <w:p>
      <w:pPr>
        <w:pStyle w:val="BodyText"/>
      </w:pPr>
    </w:p>
    <w:p>
      <w:pPr>
        <w:pStyle w:val="BodyText"/>
        <w:spacing w:before="2"/>
      </w:pPr>
    </w:p>
    <w:p>
      <w:pPr>
        <w:pStyle w:val="BodyText"/>
        <w:tabs>
          <w:tab w:pos="5596" w:val="left" w:leader="none"/>
          <w:tab w:pos="6086" w:val="left" w:leader="none"/>
        </w:tabs>
        <w:ind w:left="789" w:right="1348"/>
      </w:pPr>
      <w:r>
        <w:rPr/>
        <w:t>Elizabeth Nottini</w:t>
        <w:tab/>
        <w:t>Aluísio</w:t>
      </w:r>
      <w:r>
        <w:rPr>
          <w:spacing w:val="-14"/>
        </w:rPr>
        <w:t> </w:t>
      </w:r>
      <w:r>
        <w:rPr/>
        <w:t>Martins</w:t>
      </w:r>
      <w:r>
        <w:rPr>
          <w:spacing w:val="-14"/>
        </w:rPr>
        <w:t> </w:t>
      </w:r>
      <w:r>
        <w:rPr/>
        <w:t>Manzini Diretora de Previdência</w:t>
        <w:tab/>
        <w:tab/>
      </w:r>
      <w:r>
        <w:rPr>
          <w:spacing w:val="-2"/>
        </w:rPr>
        <w:t>Controlador</w:t>
      </w:r>
    </w:p>
    <w:p>
      <w:pPr>
        <w:pStyle w:val="BodyText"/>
      </w:pPr>
    </w:p>
    <w:p>
      <w:pPr>
        <w:pStyle w:val="BodyText"/>
        <w:spacing w:before="2"/>
      </w:pPr>
    </w:p>
    <w:p>
      <w:pPr>
        <w:pStyle w:val="BodyText"/>
        <w:tabs>
          <w:tab w:pos="5292" w:val="left" w:leader="none"/>
          <w:tab w:pos="6142" w:val="left" w:leader="none"/>
        </w:tabs>
        <w:ind w:left="955" w:right="888" w:hanging="553"/>
      </w:pPr>
      <w:r>
        <w:rPr/>
        <w:t>Carla Cristina Correia M. V. Tavares</w:t>
        <w:tab/>
        <w:t>Mônica</w:t>
      </w:r>
      <w:r>
        <w:rPr>
          <w:spacing w:val="-11"/>
        </w:rPr>
        <w:t> </w:t>
      </w:r>
      <w:r>
        <w:rPr/>
        <w:t>Vieira</w:t>
      </w:r>
      <w:r>
        <w:rPr>
          <w:spacing w:val="-11"/>
        </w:rPr>
        <w:t> </w:t>
      </w:r>
      <w:r>
        <w:rPr/>
        <w:t>de</w:t>
      </w:r>
      <w:r>
        <w:rPr>
          <w:spacing w:val="-11"/>
        </w:rPr>
        <w:t> </w:t>
      </w:r>
      <w:r>
        <w:rPr/>
        <w:t>Moura</w:t>
      </w:r>
      <w:r>
        <w:rPr>
          <w:spacing w:val="-11"/>
        </w:rPr>
        <w:t> </w:t>
      </w:r>
      <w:r>
        <w:rPr/>
        <w:t>Possas Gestora Previdenciária</w:t>
        <w:tab/>
        <w:tab/>
      </w:r>
      <w:r>
        <w:rPr>
          <w:spacing w:val="-2"/>
        </w:rPr>
        <w:t>Convidada</w:t>
      </w:r>
    </w:p>
    <w:p>
      <w:pPr>
        <w:pStyle w:val="BodyText"/>
      </w:pPr>
    </w:p>
    <w:p>
      <w:pPr>
        <w:pStyle w:val="BodyText"/>
      </w:pPr>
    </w:p>
    <w:p>
      <w:pPr>
        <w:pStyle w:val="BodyText"/>
        <w:ind w:left="1232" w:right="5043" w:hanging="609"/>
      </w:pPr>
      <w:r>
        <w:rPr/>
        <w:t>Isabel</w:t>
      </w:r>
      <w:r>
        <w:rPr>
          <w:spacing w:val="-14"/>
        </w:rPr>
        <w:t> </w:t>
      </w:r>
      <w:r>
        <w:rPr/>
        <w:t>Cristina</w:t>
      </w:r>
      <w:r>
        <w:rPr>
          <w:spacing w:val="-14"/>
        </w:rPr>
        <w:t> </w:t>
      </w:r>
      <w:r>
        <w:rPr/>
        <w:t>C.</w:t>
      </w:r>
      <w:r>
        <w:rPr>
          <w:spacing w:val="-13"/>
        </w:rPr>
        <w:t> </w:t>
      </w:r>
      <w:r>
        <w:rPr/>
        <w:t>Gerônimo </w:t>
      </w:r>
      <w:r>
        <w:rPr>
          <w:spacing w:val="-2"/>
        </w:rPr>
        <w:t>Convidada</w:t>
      </w:r>
    </w:p>
    <w:sectPr>
      <w:pgSz w:w="12240" w:h="15840"/>
      <w:pgMar w:top="1060" w:bottom="280" w:left="18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20"/>
      <w:szCs w:val="20"/>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2025-05-19T14:18:32Z</dcterms:created>
  <dcterms:modified xsi:type="dcterms:W3CDTF">2025-05-19T14:18:32Z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Producer">
    <vt:lpwstr>3-Heights(TM) PDF Security Shell 4.8.25.2 (http://www.pdf-tools.com)</vt:lpwstr>
  </property>
</Properties>
</file>