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7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spacing w:line="364" w:lineRule="auto"/>
        <w:ind w:left="97" w:right="95"/>
        <w:jc w:val="both"/>
      </w:pPr>
      <w:r>
        <w:rPr/>
        <w:t>Ata da nona reunião ordinária do Comitê de Investimentos do Instituto de Previdência e Assistência Social do Servidor Público do Município de Petrópolis – INPAS.</w:t>
      </w:r>
    </w:p>
    <w:p>
      <w:pPr>
        <w:pStyle w:val="BodyText"/>
        <w:spacing w:before="141"/>
      </w:pPr>
    </w:p>
    <w:p>
      <w:pPr>
        <w:pStyle w:val="BodyText"/>
        <w:spacing w:line="364" w:lineRule="auto"/>
        <w:ind w:left="97" w:right="92"/>
        <w:jc w:val="both"/>
      </w:pPr>
      <w:r>
        <w:rPr/>
        <w:t>Aos doze dias do mês de julho do ano de dois mil e treze, às dez horas e vinte e cinco minutos,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auditório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Assistência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Servidor Público do Município de Petrópolis – INPAS, sito à Rua Doutor Alencar Lima, número trinta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cinco,</w:t>
      </w:r>
      <w:r>
        <w:rPr>
          <w:spacing w:val="40"/>
        </w:rPr>
        <w:t> </w:t>
      </w:r>
      <w:r>
        <w:rPr/>
        <w:t>sala</w:t>
      </w:r>
      <w:r>
        <w:rPr>
          <w:spacing w:val="40"/>
        </w:rPr>
        <w:t> </w:t>
      </w:r>
      <w:r>
        <w:rPr/>
        <w:t>trezentos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nove,</w:t>
      </w:r>
      <w:r>
        <w:rPr>
          <w:spacing w:val="40"/>
        </w:rPr>
        <w:t> </w:t>
      </w:r>
      <w:r>
        <w:rPr/>
        <w:t>Centro,</w:t>
      </w:r>
      <w:r>
        <w:rPr>
          <w:spacing w:val="40"/>
        </w:rPr>
        <w:t> </w:t>
      </w:r>
      <w:r>
        <w:rPr/>
        <w:t>Petrópolis/RJ,</w:t>
      </w:r>
      <w:r>
        <w:rPr>
          <w:spacing w:val="40"/>
        </w:rPr>
        <w:t> </w:t>
      </w:r>
      <w:r>
        <w:rPr/>
        <w:t>reuniram-se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seis membros do Comitê de Investimentos deste Regime Próprio de Previdência, conforme Decreto Municipal que criou o citado Comitê, número hum mil e dez, de trinta e hum de outubro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dois</w:t>
      </w:r>
      <w:r>
        <w:rPr>
          <w:spacing w:val="38"/>
        </w:rPr>
        <w:t> </w:t>
      </w:r>
      <w:r>
        <w:rPr/>
        <w:t>mil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/>
        <w:t>doze,</w:t>
      </w:r>
      <w:r>
        <w:rPr>
          <w:spacing w:val="37"/>
        </w:rPr>
        <w:t> </w:t>
      </w:r>
      <w:r>
        <w:rPr/>
        <w:t>publicado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Diário</w:t>
      </w:r>
      <w:r>
        <w:rPr>
          <w:spacing w:val="37"/>
        </w:rPr>
        <w:t> </w:t>
      </w:r>
      <w:r>
        <w:rPr/>
        <w:t>Oficial</w:t>
      </w:r>
      <w:r>
        <w:rPr>
          <w:spacing w:val="38"/>
        </w:rPr>
        <w:t> </w:t>
      </w:r>
      <w:r>
        <w:rPr/>
        <w:t>do Município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Petrópolis</w:t>
      </w:r>
      <w:r>
        <w:rPr>
          <w:spacing w:val="38"/>
        </w:rPr>
        <w:t> </w:t>
      </w:r>
      <w:r>
        <w:rPr/>
        <w:t>de hum de novembro de dois mil e doze, com a seguinte composição: a) Diretor-Presidente do Regime Próprio de Previdência Social - RPPS, senhor Marcus Antonio Curvelo da Silva; b) Diretor Administrativo do Regime Próprio de Previdência Social - RPPS, senhor Daniel Luiz Simões Campos; c) Chefe da Divisão de Tesouraria, senhora Michele Schiffler Forster, Presidente eleita deste Comitê; d) Chefe da Divisão de Contabilidade, senhora Lucimar da Glória Gomes; e) Gestoras Previdenciárias do Regime Próprio de Previdência Social - RPPS, senhora Adriana Catarina da Costa, Secretária eleita deste Comitê e senhora Carla Cristina Correia Maduro Vogas Tavares. Iniciou-se, com esta composição, a referida reunião para atendimento à pauta do dia, que teve a seguinte ordem: a) Análise do cenário macroeconômico de curto prazo, bem como as</w:t>
      </w:r>
      <w:r>
        <w:rPr>
          <w:spacing w:val="80"/>
        </w:rPr>
        <w:t> </w:t>
      </w:r>
      <w:r>
        <w:rPr/>
        <w:t>expectativas de mercado; b) Avaliação dos investimentos que compõem o patrimônio</w:t>
      </w:r>
      <w:r>
        <w:rPr>
          <w:spacing w:val="80"/>
        </w:rPr>
        <w:t> </w:t>
      </w:r>
      <w:r>
        <w:rPr/>
        <w:t>dos diversos segmentos de aplicação; c) Análise do fluxo de caixa, considerando as obrigações</w:t>
      </w:r>
      <w:r>
        <w:rPr>
          <w:spacing w:val="37"/>
        </w:rPr>
        <w:t> </w:t>
      </w:r>
      <w:r>
        <w:rPr/>
        <w:t>previdenciárias</w:t>
      </w:r>
      <w:r>
        <w:rPr>
          <w:spacing w:val="35"/>
        </w:rPr>
        <w:t> </w:t>
      </w:r>
      <w:r>
        <w:rPr/>
        <w:t>e</w:t>
      </w:r>
      <w:r>
        <w:rPr>
          <w:spacing w:val="36"/>
        </w:rPr>
        <w:t> </w:t>
      </w:r>
      <w:r>
        <w:rPr/>
        <w:t>administrativas</w:t>
      </w:r>
      <w:r>
        <w:rPr>
          <w:spacing w:val="35"/>
        </w:rPr>
        <w:t> </w:t>
      </w:r>
      <w:r>
        <w:rPr/>
        <w:t>para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mês</w:t>
      </w:r>
      <w:r>
        <w:rPr>
          <w:spacing w:val="35"/>
        </w:rPr>
        <w:t> </w:t>
      </w:r>
      <w:r>
        <w:rPr/>
        <w:t>em</w:t>
      </w:r>
      <w:r>
        <w:rPr>
          <w:spacing w:val="36"/>
        </w:rPr>
        <w:t> </w:t>
      </w:r>
      <w:r>
        <w:rPr/>
        <w:t>curso;</w:t>
      </w:r>
      <w:r>
        <w:rPr>
          <w:spacing w:val="36"/>
        </w:rPr>
        <w:t> </w:t>
      </w:r>
      <w:r>
        <w:rPr/>
        <w:t>d)</w:t>
      </w:r>
      <w:r>
        <w:rPr>
          <w:spacing w:val="33"/>
        </w:rPr>
        <w:t> </w:t>
      </w:r>
      <w:r>
        <w:rPr/>
        <w:t>Proposições</w:t>
      </w:r>
      <w:r>
        <w:rPr>
          <w:spacing w:val="35"/>
        </w:rPr>
        <w:t> </w:t>
      </w:r>
      <w:r>
        <w:rPr/>
        <w:t>de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1"/>
        <w:jc w:val="both"/>
      </w:pPr>
      <w:r>
        <w:rPr/>
        <w:t>investimentos/ desinvestimentos, considerando avaliações técnicas com relação aos ativos objetos da proposta, que justifique o movimento proposto; e) Assuntos gerais. A senhora Presidente, Michele Forster, iniciou apresentando o comunicado editado pela empresa de consultoria Crédito &amp; Mercado, que presta o serviço de consultoria em investimentos para este Instituto, do dia quatro de julho último. Neste comunicado, a recomendação da consultoria era para que os Institutos de Previdência Própria reduzissem a exposição para 30 a 40%, no máximo, em investimentos atrelado ao IMA- B, e migrando a maior parte dos recursos para o IMA-Geral devido à grande volatilidade apresentada por estes índices, ressaltando assim a necessidade de manter cautela. Após, apresentou a planilha com a evolução dos índices segundo divulgação da</w:t>
      </w:r>
      <w:r>
        <w:rPr>
          <w:spacing w:val="40"/>
        </w:rPr>
        <w:t> </w:t>
      </w:r>
      <w:r>
        <w:rPr/>
        <w:t>ANBIMA. Fez a leitura do informativo mensal RPPS em pauta, editado pelo Banco do Brasil S.A., com relação à inflação e eu, Secretária, procedi à leitura da análise dos índices IRF-M, IRF-M1 e IMA-B. A senhora Presidente informou, conforme o Mapa de Disponibilidade</w:t>
      </w:r>
      <w:r>
        <w:rPr>
          <w:spacing w:val="21"/>
        </w:rPr>
        <w:t> </w:t>
      </w:r>
      <w:r>
        <w:rPr/>
        <w:t>Bancária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dia</w:t>
      </w:r>
      <w:r>
        <w:rPr>
          <w:spacing w:val="23"/>
        </w:rPr>
        <w:t> </w:t>
      </w:r>
      <w:r>
        <w:rPr/>
        <w:t>onze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julho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dois</w:t>
      </w:r>
      <w:r>
        <w:rPr>
          <w:spacing w:val="22"/>
        </w:rPr>
        <w:t> </w:t>
      </w:r>
      <w:r>
        <w:rPr/>
        <w:t>mil</w:t>
      </w:r>
      <w:r>
        <w:rPr>
          <w:spacing w:val="28"/>
        </w:rPr>
        <w:t> </w:t>
      </w:r>
      <w:r>
        <w:rPr/>
        <w:t>e</w:t>
      </w:r>
      <w:r>
        <w:rPr>
          <w:spacing w:val="23"/>
        </w:rPr>
        <w:t> </w:t>
      </w:r>
      <w:r>
        <w:rPr/>
        <w:t>treze,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entrada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receita de hum milhão, setecentos e cinco mil, novecentos e sessenta reais e noventa e três centavos,</w:t>
      </w:r>
      <w:r>
        <w:rPr>
          <w:spacing w:val="40"/>
        </w:rPr>
        <w:t> </w:t>
      </w:r>
      <w:r>
        <w:rPr/>
        <w:t>referente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fluxo corrente de Compensação Previdenciária correspondente ao repasse dos meses anteriores deste ano, além do valor de quatrocentos e noventa e sete mil, oitocentos e cinquenta e quatro reais e sessenta e seis centavos</w:t>
      </w:r>
      <w:r>
        <w:rPr>
          <w:spacing w:val="40"/>
        </w:rPr>
        <w:t> </w:t>
      </w:r>
      <w:r>
        <w:rPr/>
        <w:t>correspondente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estoque de Compensação Previdenciária,</w:t>
      </w:r>
      <w:r>
        <w:rPr>
          <w:spacing w:val="40"/>
        </w:rPr>
        <w:t> </w:t>
      </w:r>
      <w:r>
        <w:rPr/>
        <w:t>e solicitou que os membros</w:t>
      </w:r>
      <w:r>
        <w:rPr>
          <w:spacing w:val="28"/>
        </w:rPr>
        <w:t> </w:t>
      </w:r>
      <w:r>
        <w:rPr/>
        <w:t>deste</w:t>
      </w:r>
      <w:r>
        <w:rPr>
          <w:spacing w:val="27"/>
        </w:rPr>
        <w:t> </w:t>
      </w:r>
      <w:r>
        <w:rPr/>
        <w:t>Comitê</w:t>
      </w:r>
      <w:r>
        <w:rPr>
          <w:spacing w:val="25"/>
        </w:rPr>
        <w:t> </w:t>
      </w:r>
      <w:r>
        <w:rPr/>
        <w:t>decidissem</w:t>
      </w:r>
      <w:r>
        <w:rPr>
          <w:spacing w:val="31"/>
        </w:rPr>
        <w:t> </w:t>
      </w:r>
      <w:r>
        <w:rPr/>
        <w:t>qual</w:t>
      </w:r>
      <w:r>
        <w:rPr>
          <w:spacing w:val="32"/>
        </w:rPr>
        <w:t> </w:t>
      </w:r>
      <w:r>
        <w:rPr/>
        <w:t>aplicação</w:t>
      </w:r>
      <w:r>
        <w:rPr>
          <w:spacing w:val="27"/>
        </w:rPr>
        <w:t> </w:t>
      </w:r>
      <w:r>
        <w:rPr/>
        <w:t>deveria</w:t>
      </w:r>
      <w:r>
        <w:rPr>
          <w:spacing w:val="27"/>
        </w:rPr>
        <w:t> </w:t>
      </w:r>
      <w:r>
        <w:rPr/>
        <w:t>ser</w:t>
      </w:r>
      <w:r>
        <w:rPr>
          <w:spacing w:val="27"/>
        </w:rPr>
        <w:t> </w:t>
      </w:r>
      <w:r>
        <w:rPr/>
        <w:t>feita</w:t>
      </w:r>
      <w:r>
        <w:rPr>
          <w:spacing w:val="25"/>
        </w:rPr>
        <w:t> </w:t>
      </w:r>
      <w:r>
        <w:rPr/>
        <w:t>com</w:t>
      </w:r>
      <w:r>
        <w:rPr>
          <w:spacing w:val="31"/>
        </w:rPr>
        <w:t> </w:t>
      </w:r>
      <w:r>
        <w:rPr/>
        <w:t>estes</w:t>
      </w:r>
      <w:r>
        <w:rPr>
          <w:spacing w:val="28"/>
        </w:rPr>
        <w:t> </w:t>
      </w:r>
      <w:r>
        <w:rPr/>
        <w:t>valores. O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lembrou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havia</w:t>
      </w:r>
      <w:r>
        <w:rPr>
          <w:spacing w:val="40"/>
        </w:rPr>
        <w:t> </w:t>
      </w:r>
      <w:r>
        <w:rPr/>
        <w:t>ficado</w:t>
      </w:r>
      <w:r>
        <w:rPr>
          <w:spacing w:val="40"/>
        </w:rPr>
        <w:t> </w:t>
      </w:r>
      <w:r>
        <w:rPr/>
        <w:t>determinado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colegiado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 valor referente ao COMPREV – estoque deveria ser aplicado na conta corrente aberta para</w:t>
      </w:r>
      <w:r>
        <w:rPr>
          <w:spacing w:val="20"/>
        </w:rPr>
        <w:t> </w:t>
      </w:r>
      <w:r>
        <w:rPr/>
        <w:t>esta</w:t>
      </w:r>
      <w:r>
        <w:rPr>
          <w:spacing w:val="18"/>
        </w:rPr>
        <w:t> </w:t>
      </w:r>
      <w:r>
        <w:rPr/>
        <w:t>finalidade</w:t>
      </w:r>
      <w:r>
        <w:rPr>
          <w:spacing w:val="18"/>
        </w:rPr>
        <w:t> </w:t>
      </w:r>
      <w:r>
        <w:rPr/>
        <w:t>junto</w:t>
      </w:r>
      <w:r>
        <w:rPr>
          <w:spacing w:val="20"/>
        </w:rPr>
        <w:t> </w:t>
      </w:r>
      <w:r>
        <w:rPr/>
        <w:t>à</w:t>
      </w:r>
      <w:r>
        <w:rPr>
          <w:spacing w:val="18"/>
        </w:rPr>
        <w:t> </w:t>
      </w:r>
      <w:r>
        <w:rPr/>
        <w:t>Caixa</w:t>
      </w:r>
      <w:r>
        <w:rPr>
          <w:spacing w:val="18"/>
        </w:rPr>
        <w:t> </w:t>
      </w:r>
      <w:r>
        <w:rPr/>
        <w:t>Econômica</w:t>
      </w:r>
      <w:r>
        <w:rPr>
          <w:spacing w:val="18"/>
        </w:rPr>
        <w:t> </w:t>
      </w:r>
      <w:r>
        <w:rPr/>
        <w:t>Federal,</w:t>
      </w:r>
      <w:r>
        <w:rPr>
          <w:spacing w:val="18"/>
        </w:rPr>
        <w:t> </w:t>
      </w:r>
      <w:r>
        <w:rPr/>
        <w:t>onde</w:t>
      </w:r>
      <w:r>
        <w:rPr>
          <w:spacing w:val="18"/>
        </w:rPr>
        <w:t> </w:t>
      </w:r>
      <w:r>
        <w:rPr/>
        <w:t>utiliza-se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IRF-M1.</w:t>
      </w:r>
      <w:r>
        <w:rPr>
          <w:spacing w:val="18"/>
        </w:rPr>
        <w:t> </w:t>
      </w:r>
      <w:r>
        <w:rPr/>
        <w:t>Aberta a</w:t>
      </w:r>
      <w:r>
        <w:rPr>
          <w:spacing w:val="40"/>
        </w:rPr>
        <w:t> </w:t>
      </w:r>
      <w:r>
        <w:rPr/>
        <w:t>votação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aplicação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montante</w:t>
      </w:r>
      <w:r>
        <w:rPr>
          <w:spacing w:val="40"/>
        </w:rPr>
        <w:t> </w:t>
      </w:r>
      <w:r>
        <w:rPr/>
        <w:t>referente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COMPREV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fluxo,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senhor Daniel indicou que o respectivo valor deveria ser aplicado, em sua totalidade, em IRF-</w:t>
      </w:r>
      <w:r>
        <w:rPr>
          <w:spacing w:val="40"/>
        </w:rPr>
        <w:t> </w:t>
      </w:r>
      <w:r>
        <w:rPr/>
        <w:t>M1</w:t>
      </w:r>
      <w:r>
        <w:rPr>
          <w:spacing w:val="34"/>
        </w:rPr>
        <w:t> </w:t>
      </w:r>
      <w:r>
        <w:rPr/>
        <w:t>da</w:t>
      </w:r>
      <w:r>
        <w:rPr>
          <w:spacing w:val="31"/>
        </w:rPr>
        <w:t> </w:t>
      </w:r>
      <w:r>
        <w:rPr/>
        <w:t>conta</w:t>
      </w:r>
      <w:r>
        <w:rPr>
          <w:spacing w:val="37"/>
        </w:rPr>
        <w:t> </w:t>
      </w:r>
      <w:r>
        <w:rPr/>
        <w:t>previdenciária;</w:t>
      </w:r>
      <w:r>
        <w:rPr>
          <w:spacing w:val="34"/>
        </w:rPr>
        <w:t> </w:t>
      </w:r>
      <w:r>
        <w:rPr/>
        <w:t>eu,</w:t>
      </w:r>
      <w:r>
        <w:rPr>
          <w:spacing w:val="37"/>
        </w:rPr>
        <w:t> </w:t>
      </w:r>
      <w:r>
        <w:rPr/>
        <w:t>Secretária,</w:t>
      </w:r>
      <w:r>
        <w:rPr>
          <w:spacing w:val="36"/>
        </w:rPr>
        <w:t> </w:t>
      </w:r>
      <w:r>
        <w:rPr/>
        <w:t>indiquei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parte</w:t>
      </w:r>
      <w:r>
        <w:rPr>
          <w:spacing w:val="37"/>
        </w:rPr>
        <w:t> </w:t>
      </w:r>
      <w:r>
        <w:rPr/>
        <w:t>do</w:t>
      </w:r>
      <w:r>
        <w:rPr>
          <w:spacing w:val="36"/>
        </w:rPr>
        <w:t> </w:t>
      </w:r>
      <w:r>
        <w:rPr/>
        <w:t>valor</w:t>
      </w:r>
      <w:r>
        <w:rPr>
          <w:spacing w:val="33"/>
        </w:rPr>
        <w:t> </w:t>
      </w:r>
      <w:r>
        <w:rPr/>
        <w:t>fosse</w:t>
      </w:r>
      <w:r>
        <w:rPr>
          <w:spacing w:val="37"/>
        </w:rPr>
        <w:t> </w:t>
      </w:r>
      <w:r>
        <w:rPr/>
        <w:t>aplicado em DI, até o limite máximo permitido pela Política de Investimentos que é de dez porcento, e o restante em IRF-M1 da conta previdenciária, e que no momento de fazer face à folha de pagamentos fosse resgatado em ambos, evitando assim o desenquadramento da Política de Investimentos; a senhora Presidente disse ser pertinente</w:t>
      </w:r>
      <w:r>
        <w:rPr>
          <w:spacing w:val="72"/>
        </w:rPr>
        <w:t> </w:t>
      </w:r>
      <w:r>
        <w:rPr/>
        <w:t>tal</w:t>
      </w:r>
      <w:r>
        <w:rPr>
          <w:spacing w:val="74"/>
        </w:rPr>
        <w:t> </w:t>
      </w:r>
      <w:r>
        <w:rPr/>
        <w:t>sugestão,</w:t>
      </w:r>
      <w:r>
        <w:rPr>
          <w:spacing w:val="72"/>
        </w:rPr>
        <w:t> </w:t>
      </w:r>
      <w:r>
        <w:rPr/>
        <w:t>indicando</w:t>
      </w:r>
      <w:r>
        <w:rPr>
          <w:spacing w:val="75"/>
        </w:rPr>
        <w:t> </w:t>
      </w:r>
      <w:r>
        <w:rPr/>
        <w:t>da</w:t>
      </w:r>
      <w:r>
        <w:rPr>
          <w:spacing w:val="72"/>
        </w:rPr>
        <w:t> </w:t>
      </w:r>
      <w:r>
        <w:rPr/>
        <w:t>mesma</w:t>
      </w:r>
      <w:r>
        <w:rPr>
          <w:spacing w:val="70"/>
        </w:rPr>
        <w:t> </w:t>
      </w:r>
      <w:r>
        <w:rPr/>
        <w:t>forma</w:t>
      </w:r>
      <w:r>
        <w:rPr>
          <w:spacing w:val="75"/>
        </w:rPr>
        <w:t> </w:t>
      </w:r>
      <w:r>
        <w:rPr/>
        <w:t>que</w:t>
      </w:r>
      <w:r>
        <w:rPr>
          <w:spacing w:val="72"/>
        </w:rPr>
        <w:t> </w:t>
      </w:r>
      <w:r>
        <w:rPr/>
        <w:t>esta</w:t>
      </w:r>
      <w:r>
        <w:rPr>
          <w:spacing w:val="75"/>
        </w:rPr>
        <w:t> </w:t>
      </w:r>
      <w:r>
        <w:rPr/>
        <w:t>Secretária;</w:t>
      </w:r>
      <w:r>
        <w:rPr>
          <w:spacing w:val="76"/>
        </w:rPr>
        <w:t> </w:t>
      </w:r>
      <w:r>
        <w:rPr/>
        <w:t>o</w:t>
      </w:r>
      <w:r>
        <w:rPr>
          <w:spacing w:val="72"/>
        </w:rPr>
        <w:t> </w:t>
      </w:r>
      <w:r>
        <w:rPr/>
        <w:t>senhor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4"/>
        <w:jc w:val="both"/>
      </w:pPr>
      <w:r>
        <w:rPr/>
        <w:t>Diretor-Presidente indicou a aplicação de todo o montante em IRF-M1 da conta previdenciária; questionada, a senhora Lucimar seguiu a indicação do senhor Diretor- Presidente; da mesma forma, procedeu a senhora Carla, ficando assim decidido por quatro votos a dois. Após, a senhora Presidente lembrou que além da decisão do investimento dos valores citados anteriormente, poderia ser sugerido qualquer movimentação dos valores já aplicados. O senhor Marcus Curvelo, então, solicitou que fosse resgatado o valor de vinte e dois mil, quatrocentos e quatorze reais e noventa e</w:t>
      </w:r>
      <w:r>
        <w:rPr>
          <w:spacing w:val="40"/>
        </w:rPr>
        <w:t> </w:t>
      </w:r>
      <w:r>
        <w:rPr/>
        <w:t>três centavos,</w:t>
      </w:r>
      <w:r>
        <w:rPr>
          <w:spacing w:val="40"/>
        </w:rPr>
        <w:t> </w:t>
      </w:r>
      <w:r>
        <w:rPr/>
        <w:t>aplicado em IRF-M1 da conta utilizada para procedimentos</w:t>
      </w:r>
      <w:r>
        <w:rPr>
          <w:spacing w:val="80"/>
        </w:rPr>
        <w:t> </w:t>
      </w:r>
      <w:r>
        <w:rPr/>
        <w:t>administrativos junto à Caixa Econômica Federal e aplicado em IRF-M1 da conta</w:t>
      </w:r>
      <w:r>
        <w:rPr>
          <w:spacing w:val="40"/>
        </w:rPr>
        <w:t> </w:t>
      </w:r>
      <w:r>
        <w:rPr/>
        <w:t>utilizada para procedimentos administrativos junto ao Banco do Brasil S.A..</w:t>
      </w:r>
      <w:r>
        <w:rPr>
          <w:spacing w:val="40"/>
        </w:rPr>
        <w:t> </w:t>
      </w:r>
      <w:r>
        <w:rPr/>
        <w:t>Nada mais havendo a tratar, a senhora Presidente deu por encerrada a presente reunião às onze horas e trinta minutos, cuja Ata segue lavrada por mim, Secretária deste Comitê, que a submeterei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aprovação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devidamente</w:t>
      </w:r>
      <w:r>
        <w:rPr>
          <w:spacing w:val="40"/>
        </w:rPr>
        <w:t> </w:t>
      </w:r>
      <w:r>
        <w:rPr/>
        <w:t>colherei</w:t>
      </w:r>
      <w:r>
        <w:rPr>
          <w:spacing w:val="40"/>
        </w:rPr>
        <w:t> </w:t>
      </w:r>
      <w:r>
        <w:rPr/>
        <w:t>suas </w:t>
      </w:r>
      <w:r>
        <w:rPr>
          <w:spacing w:val="-2"/>
        </w:rPr>
        <w:t>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 w:after="1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1" coordorigin="0,0" coordsize="4215,27">
                <v:rect style="position:absolute;left:0;top:0;width:4215;height:27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3" coordorigin="0,0" coordsize="4215,27">
                <v:rect style="position:absolute;left:0;top:0;width:4215;height:27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848" w:firstLine="381"/>
      </w:pPr>
      <w:r>
        <w:rPr/>
        <w:t>Michele Schiffler Forster Chefe da Divisão de Tesouraria</w:t>
      </w:r>
    </w:p>
    <w:p>
      <w:pPr>
        <w:pStyle w:val="BodyText"/>
        <w:spacing w:before="2"/>
        <w:ind w:left="1930"/>
      </w:pP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848" w:right="1111"/>
        <w:jc w:val="center"/>
      </w:pPr>
      <w:r>
        <w:rPr/>
        <w:br w:type="column"/>
      </w:r>
      <w:r>
        <w:rPr/>
        <w:t>Adriana Catarina da Costa Gestora Previdenciária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173" w:space="462"/>
            <w:col w:w="4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7" w:lineRule="auto" w:before="1"/>
        <w:ind w:left="1544" w:right="38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7" w:lineRule="auto" w:before="1"/>
        <w:ind w:left="1544" w:right="698" w:firstLine="326"/>
      </w:pPr>
      <w:r>
        <w:rPr/>
        <w:br w:type="column"/>
      </w:r>
      <w:r>
        <w:rPr/>
        <w:t>Daniel Luiz Simões Campos Diretor Administrativo e Financeiro</w:t>
      </w:r>
    </w:p>
    <w:p>
      <w:pPr>
        <w:pStyle w:val="BodyText"/>
        <w:spacing w:after="0" w:line="367" w:lineRule="auto"/>
        <w:sectPr>
          <w:type w:val="continuous"/>
          <w:pgSz w:w="11900" w:h="16840"/>
          <w:pgMar w:top="1940" w:bottom="280" w:left="1559" w:right="992"/>
          <w:cols w:num="2" w:equalWidth="0">
            <w:col w:w="3479" w:space="42"/>
            <w:col w:w="58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9" coordorigin="0,0" coordsize="4215,29">
                <v:rect style="position:absolute;left:0;top:0;width:4215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1" coordorigin="0,0" coordsize="4215,29">
                <v:rect style="position:absolute;left:0;top:0;width:4215;height:29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"/>
        <w:ind w:left="689" w:firstLine="468"/>
      </w:pPr>
      <w:r>
        <w:rPr/>
        <w:t>Lucimar da Glória Gomes Chefe da Divisão de Contabilidade</w:t>
      </w:r>
    </w:p>
    <w:p>
      <w:pPr>
        <w:pStyle w:val="BodyText"/>
        <w:spacing w:line="364" w:lineRule="auto" w:before="1"/>
        <w:ind w:left="1325" w:right="668" w:hanging="636"/>
      </w:pPr>
      <w:r>
        <w:rPr/>
        <w:br w:type="column"/>
      </w:r>
      <w:r>
        <w:rPr/>
        <w:t>Carla C. C. Maduro Vogas Tavares Gestora Previdenciária</w:t>
      </w:r>
    </w:p>
    <w:sectPr>
      <w:type w:val="continuous"/>
      <w:pgSz w:w="11900" w:h="16840"/>
      <w:pgMar w:top="1940" w:bottom="280" w:left="1559" w:right="992"/>
      <w:cols w:num="2" w:equalWidth="0">
        <w:col w:w="4289" w:space="55"/>
        <w:col w:w="50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2025-05-19T16:25:01Z</dcterms:created>
  <dcterms:modified xsi:type="dcterms:W3CDTF">2025-05-19T16:25:01Z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