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pStyle w:val="BodyText"/>
        <w:spacing w:line="364" w:lineRule="auto" w:before="1"/>
        <w:ind w:left="96" w:right="96"/>
        <w:jc w:val="both"/>
      </w:pPr>
      <w:r>
        <w:rPr/>
        <w:t>Ata</w:t>
      </w:r>
      <w:r>
        <w:rPr>
          <w:spacing w:val="15"/>
        </w:rPr>
        <w:t> </w:t>
      </w:r>
      <w:r>
        <w:rPr/>
        <w:t>da vigésima quinta</w:t>
      </w:r>
      <w:r>
        <w:rPr>
          <w:spacing w:val="15"/>
        </w:rPr>
        <w:t> </w:t>
      </w:r>
      <w:r>
        <w:rPr/>
        <w:t>reunião</w:t>
      </w:r>
      <w:r>
        <w:rPr>
          <w:spacing w:val="14"/>
        </w:rPr>
        <w:t> </w:t>
      </w:r>
      <w:r>
        <w:rPr/>
        <w:t>ordinária do</w:t>
      </w:r>
      <w:r>
        <w:rPr>
          <w:spacing w:val="14"/>
        </w:rPr>
        <w:t> </w:t>
      </w:r>
      <w:r>
        <w:rPr/>
        <w:t>Comitê de</w:t>
      </w:r>
      <w:r>
        <w:rPr>
          <w:spacing w:val="15"/>
        </w:rPr>
        <w:t> </w:t>
      </w:r>
      <w:r>
        <w:rPr/>
        <w:t>Investimentos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Instituto de Previdência e Assistência Social do Servidor Público do Município de Petrópolis – INPAS.</w:t>
      </w:r>
    </w:p>
    <w:p>
      <w:pPr>
        <w:pStyle w:val="BodyText"/>
        <w:spacing w:line="364" w:lineRule="auto" w:before="2"/>
        <w:ind w:left="96" w:right="91"/>
        <w:jc w:val="both"/>
      </w:pPr>
      <w:r>
        <w:rPr/>
        <w:t>Aos doze dias do mês de novembro do ano de dois mil e quatorze, às dez horas e trinta e cinco minutos, na sala de reuniões do Instituto de Previdência e Assistência Social do Servidor Público do Município de Petrópolis, reuniram-se quatro membros do Comitê de Investimentos deste Regime Próprio de Previdência Social: a) Diretor-Presidente do INPAS, senhor Marcus Antonio Curvelo da Silva; b)- Diretor Administrativo-Financeiro do</w:t>
      </w:r>
      <w:r>
        <w:rPr>
          <w:spacing w:val="40"/>
        </w:rPr>
        <w:t> </w:t>
      </w:r>
      <w:r>
        <w:rPr/>
        <w:t>INPAS, senhor Daniel Luiz Simões Campos, Presidente eleito deste Comitê; c) Chefe da Divisão de Contabilidade, senhora Lucimar</w:t>
      </w:r>
      <w:r>
        <w:rPr>
          <w:spacing w:val="40"/>
        </w:rPr>
        <w:t> </w:t>
      </w:r>
      <w:r>
        <w:rPr/>
        <w:t>da Glória Gomes; d) Gestora Previdenciária, senhora Carla Cristina Correia Maduro Vogas Tavares,</w:t>
      </w:r>
      <w:r>
        <w:rPr>
          <w:spacing w:val="14"/>
        </w:rPr>
        <w:t> </w:t>
      </w:r>
      <w:r>
        <w:rPr/>
        <w:t>secretária</w:t>
      </w:r>
      <w:r>
        <w:rPr>
          <w:spacing w:val="15"/>
        </w:rPr>
        <w:t> </w:t>
      </w:r>
      <w:r>
        <w:rPr/>
        <w:t>eleita</w:t>
      </w:r>
      <w:r>
        <w:rPr>
          <w:spacing w:val="17"/>
        </w:rPr>
        <w:t> </w:t>
      </w:r>
      <w:r>
        <w:rPr/>
        <w:t>deste</w:t>
      </w:r>
      <w:r>
        <w:rPr>
          <w:spacing w:val="15"/>
        </w:rPr>
        <w:t> </w:t>
      </w:r>
      <w:r>
        <w:rPr/>
        <w:t>Comitê.</w:t>
      </w:r>
      <w:r>
        <w:rPr>
          <w:spacing w:val="14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também,</w:t>
      </w:r>
      <w:r>
        <w:rPr>
          <w:spacing w:val="14"/>
        </w:rPr>
        <w:t> </w:t>
      </w:r>
      <w:r>
        <w:rPr/>
        <w:t>com</w:t>
      </w:r>
      <w:r>
        <w:rPr>
          <w:spacing w:val="16"/>
        </w:rPr>
        <w:t> </w:t>
      </w:r>
      <w:r>
        <w:rPr/>
        <w:t>direito</w:t>
      </w:r>
      <w:r>
        <w:rPr>
          <w:spacing w:val="16"/>
        </w:rPr>
        <w:t> </w:t>
      </w:r>
      <w:r>
        <w:rPr/>
        <w:t>à</w:t>
      </w:r>
      <w:r>
        <w:rPr>
          <w:spacing w:val="15"/>
        </w:rPr>
        <w:t> </w:t>
      </w:r>
      <w:r>
        <w:rPr/>
        <w:t>voz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sem</w:t>
      </w:r>
      <w:r>
        <w:rPr>
          <w:spacing w:val="16"/>
        </w:rPr>
        <w:t> </w:t>
      </w:r>
      <w:r>
        <w:rPr/>
        <w:t>direito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voto, a servidora, Sra. Michele Schifler</w:t>
      </w:r>
      <w:r>
        <w:rPr>
          <w:spacing w:val="40"/>
        </w:rPr>
        <w:t> </w:t>
      </w:r>
      <w:r>
        <w:rPr/>
        <w:t>Forster.</w:t>
      </w:r>
      <w:r>
        <w:rPr>
          <w:spacing w:val="40"/>
        </w:rPr>
        <w:t> </w:t>
      </w:r>
      <w:r>
        <w:rPr/>
        <w:t>Iniciou-se, com esta</w:t>
      </w:r>
      <w:r>
        <w:rPr>
          <w:spacing w:val="40"/>
        </w:rPr>
        <w:t> </w:t>
      </w:r>
      <w:r>
        <w:rPr/>
        <w:t>composição, a referida reunião para atendimento à pauta do dia, que teve a seguinte ordem: 1)- leitura da ata; 2)- análise do</w:t>
      </w:r>
      <w:r>
        <w:rPr>
          <w:spacing w:val="40"/>
        </w:rPr>
        <w:t> </w:t>
      </w:r>
      <w:r>
        <w:rPr/>
        <w:t>cenário macroeconômico, bem como as expectativas de mercado; 3)- avaliação dos investimentos que compõem o patrimônio dos diversos segmentos de aplicação; 4)- análise do fluxo de caixa, considerando</w:t>
      </w:r>
      <w:r>
        <w:rPr>
          <w:spacing w:val="40"/>
        </w:rPr>
        <w:t> </w:t>
      </w:r>
      <w:r>
        <w:rPr/>
        <w:t>as obrigações previdenciárias e administrativas</w:t>
      </w:r>
      <w:r>
        <w:rPr>
          <w:spacing w:val="40"/>
        </w:rPr>
        <w:t> </w:t>
      </w:r>
      <w:r>
        <w:rPr/>
        <w:t>para o mês em curso; 5)-</w:t>
      </w:r>
      <w:r>
        <w:rPr>
          <w:spacing w:val="40"/>
        </w:rPr>
        <w:t> </w:t>
      </w:r>
      <w:r>
        <w:rPr/>
        <w:t>proposições de investimentos/desinvestimentos; 6)- apresentação de relatório de auditoria</w:t>
      </w:r>
      <w:r>
        <w:rPr>
          <w:spacing w:val="80"/>
        </w:rPr>
        <w:t> </w:t>
      </w:r>
      <w:r>
        <w:rPr/>
        <w:t>realizada no Fundo Rioprevidência; 7)- proposta de regulamento para credenciamento de instituições financeiras; 8)- assuntos gerais. O Presidente do Comitê solicitou à Secretária que fizesse a leitura da ata da vigésima quarta reunião ordinária, que foi aprovada por todos, sem ressalvas.</w:t>
      </w:r>
      <w:r>
        <w:rPr>
          <w:spacing w:val="15"/>
        </w:rPr>
        <w:t> </w:t>
      </w:r>
      <w:r>
        <w:rPr/>
        <w:t>Passando</w:t>
      </w:r>
      <w:r>
        <w:rPr>
          <w:spacing w:val="18"/>
        </w:rPr>
        <w:t> </w:t>
      </w:r>
      <w:r>
        <w:rPr/>
        <w:t>ao</w:t>
      </w:r>
      <w:r>
        <w:rPr>
          <w:spacing w:val="18"/>
        </w:rPr>
        <w:t> </w:t>
      </w:r>
      <w:r>
        <w:rPr/>
        <w:t>segundo</w:t>
      </w:r>
      <w:r>
        <w:rPr>
          <w:spacing w:val="15"/>
        </w:rPr>
        <w:t> </w:t>
      </w:r>
      <w:r>
        <w:rPr/>
        <w:t>item</w:t>
      </w:r>
      <w:r>
        <w:rPr>
          <w:spacing w:val="18"/>
        </w:rPr>
        <w:t> </w:t>
      </w:r>
      <w:r>
        <w:rPr/>
        <w:t>da</w:t>
      </w:r>
      <w:r>
        <w:rPr>
          <w:spacing w:val="17"/>
        </w:rPr>
        <w:t> </w:t>
      </w:r>
      <w:r>
        <w:rPr/>
        <w:t>pauta,</w:t>
      </w:r>
      <w:r>
        <w:rPr>
          <w:spacing w:val="15"/>
        </w:rPr>
        <w:t> </w:t>
      </w:r>
      <w:r>
        <w:rPr/>
        <w:t>o</w:t>
      </w:r>
      <w:r>
        <w:rPr>
          <w:spacing w:val="18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Conselho</w:t>
      </w:r>
      <w:r>
        <w:rPr>
          <w:spacing w:val="18"/>
        </w:rPr>
        <w:t> </w:t>
      </w:r>
      <w:r>
        <w:rPr/>
        <w:t>informou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distribuiu a todos</w:t>
      </w:r>
      <w:r>
        <w:rPr>
          <w:spacing w:val="20"/>
        </w:rPr>
        <w:t> </w:t>
      </w:r>
      <w:r>
        <w:rPr/>
        <w:t>os membros do Comitê o Panorama do mês de outubro de 2014, elaborado pela empresa</w:t>
      </w:r>
      <w:r>
        <w:rPr>
          <w:spacing w:val="80"/>
        </w:rPr>
        <w:t> </w:t>
      </w:r>
      <w:r>
        <w:rPr/>
        <w:t>de</w:t>
      </w:r>
      <w:r>
        <w:rPr>
          <w:spacing w:val="27"/>
        </w:rPr>
        <w:t> </w:t>
      </w:r>
      <w:r>
        <w:rPr/>
        <w:t>consultoria</w:t>
      </w:r>
      <w:r>
        <w:rPr>
          <w:spacing w:val="27"/>
        </w:rPr>
        <w:t> </w:t>
      </w:r>
      <w:r>
        <w:rPr/>
        <w:t>Crédito</w:t>
      </w:r>
      <w:r>
        <w:rPr>
          <w:spacing w:val="28"/>
        </w:rPr>
        <w:t> </w:t>
      </w:r>
      <w:r>
        <w:rPr/>
        <w:t>e</w:t>
      </w:r>
      <w:r>
        <w:rPr>
          <w:spacing w:val="27"/>
        </w:rPr>
        <w:t> </w:t>
      </w:r>
      <w:r>
        <w:rPr/>
        <w:t>Mercado.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item</w:t>
      </w:r>
      <w:r>
        <w:rPr>
          <w:spacing w:val="28"/>
        </w:rPr>
        <w:t> </w:t>
      </w:r>
      <w:r>
        <w:rPr/>
        <w:t>referente</w:t>
      </w:r>
      <w:r>
        <w:rPr>
          <w:spacing w:val="27"/>
        </w:rPr>
        <w:t> </w:t>
      </w:r>
      <w:r>
        <w:rPr/>
        <w:t>à</w:t>
      </w:r>
      <w:r>
        <w:rPr>
          <w:spacing w:val="27"/>
        </w:rPr>
        <w:t> </w:t>
      </w:r>
      <w:r>
        <w:rPr/>
        <w:t>avaliação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investimentos,</w:t>
      </w:r>
      <w:r>
        <w:rPr>
          <w:spacing w:val="26"/>
        </w:rPr>
        <w:t> </w:t>
      </w:r>
      <w:r>
        <w:rPr/>
        <w:t>o</w:t>
      </w:r>
      <w:r>
        <w:rPr>
          <w:spacing w:val="28"/>
        </w:rPr>
        <w:t> </w:t>
      </w:r>
      <w:r>
        <w:rPr/>
        <w:t>Presidente do</w:t>
      </w:r>
      <w:r>
        <w:rPr>
          <w:spacing w:val="32"/>
        </w:rPr>
        <w:t> </w:t>
      </w:r>
      <w:r>
        <w:rPr/>
        <w:t>Comitê</w:t>
      </w:r>
      <w:r>
        <w:rPr>
          <w:spacing w:val="33"/>
        </w:rPr>
        <w:t> </w:t>
      </w:r>
      <w:r>
        <w:rPr/>
        <w:t>relatou</w:t>
      </w:r>
      <w:r>
        <w:rPr>
          <w:spacing w:val="32"/>
        </w:rPr>
        <w:t> </w:t>
      </w:r>
      <w:r>
        <w:rPr/>
        <w:t>que,</w:t>
      </w:r>
      <w:r>
        <w:rPr>
          <w:spacing w:val="38"/>
        </w:rPr>
        <w:t> </w:t>
      </w:r>
      <w:r>
        <w:rPr/>
        <w:t>no</w:t>
      </w:r>
      <w:r>
        <w:rPr>
          <w:spacing w:val="34"/>
        </w:rPr>
        <w:t> </w:t>
      </w:r>
      <w:r>
        <w:rPr/>
        <w:t>mês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outubro,</w:t>
      </w:r>
      <w:r>
        <w:rPr>
          <w:spacing w:val="33"/>
        </w:rPr>
        <w:t> </w:t>
      </w:r>
      <w:r>
        <w:rPr/>
        <w:t>atingimos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meta</w:t>
      </w:r>
      <w:r>
        <w:rPr>
          <w:spacing w:val="33"/>
        </w:rPr>
        <w:t> </w:t>
      </w:r>
      <w:r>
        <w:rPr/>
        <w:t>atuarial</w:t>
      </w:r>
      <w:r>
        <w:rPr>
          <w:spacing w:val="36"/>
        </w:rPr>
        <w:t> </w:t>
      </w:r>
      <w:r>
        <w:rPr/>
        <w:t>em</w:t>
      </w:r>
      <w:r>
        <w:rPr>
          <w:spacing w:val="34"/>
        </w:rPr>
        <w:t> </w:t>
      </w:r>
      <w:r>
        <w:rPr/>
        <w:t>116,5%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que,</w:t>
      </w:r>
      <w:r>
        <w:rPr>
          <w:spacing w:val="33"/>
        </w:rPr>
        <w:t> </w:t>
      </w:r>
      <w:r>
        <w:rPr/>
        <w:t>nesse mês, o investimento de maior retorno foi o IMA-B, seguido do DI da CEF e do DI do Banco do Brasil.</w:t>
      </w:r>
      <w:r>
        <w:rPr>
          <w:spacing w:val="80"/>
        </w:rPr>
        <w:t> </w:t>
      </w:r>
      <w:r>
        <w:rPr/>
        <w:t>Por</w:t>
      </w:r>
      <w:r>
        <w:rPr>
          <w:spacing w:val="78"/>
        </w:rPr>
        <w:t> </w:t>
      </w:r>
      <w:r>
        <w:rPr/>
        <w:t>fim,</w:t>
      </w:r>
      <w:r>
        <w:rPr>
          <w:spacing w:val="78"/>
        </w:rPr>
        <w:t> </w:t>
      </w:r>
      <w:r>
        <w:rPr/>
        <w:t>sugeriu</w:t>
      </w:r>
      <w:r>
        <w:rPr>
          <w:spacing w:val="80"/>
        </w:rPr>
        <w:t> </w:t>
      </w:r>
      <w:r>
        <w:rPr/>
        <w:t>uma</w:t>
      </w:r>
      <w:r>
        <w:rPr>
          <w:spacing w:val="78"/>
        </w:rPr>
        <w:t> </w:t>
      </w:r>
      <w:r>
        <w:rPr/>
        <w:t>maior</w:t>
      </w:r>
      <w:r>
        <w:rPr>
          <w:spacing w:val="78"/>
        </w:rPr>
        <w:t> </w:t>
      </w:r>
      <w:r>
        <w:rPr/>
        <w:t>alocação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DI</w:t>
      </w:r>
      <w:r>
        <w:rPr>
          <w:spacing w:val="75"/>
        </w:rPr>
        <w:t> </w:t>
      </w:r>
      <w:r>
        <w:rPr/>
        <w:t>em</w:t>
      </w:r>
      <w:r>
        <w:rPr>
          <w:spacing w:val="80"/>
        </w:rPr>
        <w:t> </w:t>
      </w:r>
      <w:r>
        <w:rPr/>
        <w:t>razão</w:t>
      </w:r>
      <w:r>
        <w:rPr>
          <w:spacing w:val="80"/>
        </w:rPr>
        <w:t> </w:t>
      </w:r>
      <w:r>
        <w:rPr/>
        <w:t>de</w:t>
      </w:r>
      <w:r>
        <w:rPr>
          <w:spacing w:val="78"/>
        </w:rPr>
        <w:t> </w:t>
      </w:r>
      <w:r>
        <w:rPr/>
        <w:t>o</w:t>
      </w:r>
      <w:r>
        <w:rPr>
          <w:spacing w:val="80"/>
        </w:rPr>
        <w:t> </w:t>
      </w:r>
      <w:r>
        <w:rPr/>
        <w:t>mercado</w:t>
      </w:r>
      <w:r>
        <w:rPr>
          <w:spacing w:val="80"/>
        </w:rPr>
        <w:t> </w:t>
      </w:r>
      <w:r>
        <w:rPr/>
        <w:t>estar</w:t>
      </w:r>
      <w:r>
        <w:rPr>
          <w:spacing w:val="80"/>
        </w:rPr>
        <w:t> </w:t>
      </w:r>
      <w:r>
        <w:rPr/>
        <w:t>muito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1"/>
        <w:jc w:val="both"/>
      </w:pPr>
      <w:r>
        <w:rPr/>
        <w:t>especulativo e também em virtude de estarmos com uma concentração muito grande em IRFM1. Todos concordaram. A servidora Carla ainda leu a opinião de três profissionais do mercado financeiro da edição nº 1077 da revista Exame, que mencionaram que o DI, para 2015, será uma alternativa de rentabilidade, tendo em vista que a taxa selic deverá subir em razão da alta da inflação. O Presidente do INPAS se manifestou no sentido de que não é necessário esperar a decisão do Comitê para aplicar em DI e que, por isso, pede para constar em ata que os novos recursos</w:t>
      </w:r>
      <w:r>
        <w:rPr>
          <w:spacing w:val="40"/>
        </w:rPr>
        <w:t> </w:t>
      </w:r>
      <w:r>
        <w:rPr/>
        <w:t>deverão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aplicados</w:t>
      </w:r>
      <w:r>
        <w:rPr>
          <w:spacing w:val="40"/>
        </w:rPr>
        <w:t> </w:t>
      </w:r>
      <w:r>
        <w:rPr/>
        <w:t>diretamente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DI,</w:t>
      </w:r>
      <w:r>
        <w:rPr>
          <w:spacing w:val="40"/>
        </w:rPr>
        <w:t> </w:t>
      </w:r>
      <w:r>
        <w:rPr/>
        <w:t>até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limite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enquadramento,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 restante deverá ser aplicado em IRFM1. O Presidente do INPAS solicitou também que fosse feito um levantamento da folha de pagamento dos meses de novembro e dezembro, incluindo o décimo terceiro salário. O Presidente do Comitê informou que já fez esse levantamento e que o valor está em torno de R$ 566.000.00 (quinhentos e sessenta e seis mil reais). Sendo assim, ficou decidido que esse valor será aplicado em uma nova conta a ser aberta na CEF e que R$ 300.000,00 (trezentos</w:t>
      </w:r>
      <w:r>
        <w:rPr>
          <w:spacing w:val="40"/>
        </w:rPr>
        <w:t> </w:t>
      </w:r>
      <w:r>
        <w:rPr/>
        <w:t>mil),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está</w:t>
      </w:r>
      <w:r>
        <w:rPr>
          <w:spacing w:val="40"/>
        </w:rPr>
        <w:t> </w:t>
      </w:r>
      <w:r>
        <w:rPr/>
        <w:t>atualmente</w:t>
      </w:r>
      <w:r>
        <w:rPr>
          <w:spacing w:val="39"/>
        </w:rPr>
        <w:t> </w:t>
      </w:r>
      <w:r>
        <w:rPr/>
        <w:t>aplicado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IRFM1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administrativa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existente, será retirado e aplicado em DI. Em seguida, a servidora Carla iniciou a apresentação do relatório</w:t>
      </w:r>
      <w:r>
        <w:rPr>
          <w:spacing w:val="80"/>
        </w:rPr>
        <w:t> </w:t>
      </w:r>
      <w:r>
        <w:rPr/>
        <w:t>de auditoria realizada no Fundo Rioprevidência pelo Tribunal de Contas do Estado do Rio de Janeiro no ano de 2011 que concluiu, em resumo, sobre a necessidade de um processo de credenciamento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instituições</w:t>
      </w:r>
      <w:r>
        <w:rPr>
          <w:spacing w:val="40"/>
        </w:rPr>
        <w:t> </w:t>
      </w:r>
      <w:r>
        <w:rPr/>
        <w:t>financeiras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recebem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RPPS,</w:t>
      </w:r>
      <w:r>
        <w:rPr>
          <w:spacing w:val="40"/>
        </w:rPr>
        <w:t> </w:t>
      </w:r>
      <w:r>
        <w:rPr/>
        <w:t>pois,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 TCE/RJ, tal procedimento demonstra boa prática de gestão que deve servir de exemplo para os demais</w:t>
      </w:r>
      <w:r>
        <w:rPr>
          <w:spacing w:val="24"/>
        </w:rPr>
        <w:t> </w:t>
      </w:r>
      <w:r>
        <w:rPr/>
        <w:t>gestores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RPPS.</w:t>
      </w:r>
      <w:r>
        <w:rPr>
          <w:spacing w:val="25"/>
        </w:rPr>
        <w:t> </w:t>
      </w:r>
      <w:r>
        <w:rPr/>
        <w:t>Essa</w:t>
      </w:r>
      <w:r>
        <w:rPr>
          <w:spacing w:val="23"/>
        </w:rPr>
        <w:t> </w:t>
      </w:r>
      <w:r>
        <w:rPr/>
        <w:t>servidora</w:t>
      </w:r>
      <w:r>
        <w:rPr>
          <w:spacing w:val="25"/>
        </w:rPr>
        <w:t> </w:t>
      </w:r>
      <w:r>
        <w:rPr/>
        <w:t>ainda</w:t>
      </w:r>
      <w:r>
        <w:rPr>
          <w:spacing w:val="25"/>
        </w:rPr>
        <w:t> </w:t>
      </w:r>
      <w:r>
        <w:rPr/>
        <w:t>concluiu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já</w:t>
      </w:r>
      <w:r>
        <w:rPr>
          <w:spacing w:val="23"/>
        </w:rPr>
        <w:t> </w:t>
      </w:r>
      <w:r>
        <w:rPr/>
        <w:t>tínhamos</w:t>
      </w:r>
      <w:r>
        <w:rPr>
          <w:spacing w:val="24"/>
        </w:rPr>
        <w:t> </w:t>
      </w:r>
      <w:r>
        <w:rPr/>
        <w:t>iniciado</w:t>
      </w:r>
      <w:r>
        <w:rPr>
          <w:spacing w:val="24"/>
        </w:rPr>
        <w:t> </w:t>
      </w:r>
      <w:r>
        <w:rPr/>
        <w:t>esse</w:t>
      </w:r>
      <w:r>
        <w:rPr>
          <w:spacing w:val="23"/>
        </w:rPr>
        <w:t> </w:t>
      </w:r>
      <w:r>
        <w:rPr/>
        <w:t>processo de credenciamento logo após a publicação da Portaria nº 440/2013 e que a divulgação dessa</w:t>
      </w:r>
      <w:r>
        <w:rPr>
          <w:spacing w:val="40"/>
        </w:rPr>
        <w:t> </w:t>
      </w:r>
      <w:r>
        <w:rPr/>
        <w:t>decisão do TCE/RJ veio ao encontro do recente parecer de nossa Procuradoria que sugere a existência de um regulamento para credenciamento das instituições financeiras. Ato contínuo, foi entregue a todos os presentes uma minuta de regulamento para ser apreciado e debatido. O Presidente do Comitê solicitou que a servidora Carla fizesse então a leitura dessa minuta para que todos pudessem tomar conhecimento e discutir numa próxima reunião. Foi determinado, então, pelo Presidente do INPAS, que seja feita uma reunião extraordinária no próximo dia 14 de novembro, às 10:00 horas, para tratar do regulamento para credenciamento de instituições financeiras e também da política de investimentos para o ano de 2015. Determinou ainda a convocação da servidora Sonia Maria de Castro Leão para esclarecer dúvidas quanto à tramitação desse processo de credenciamento dentro do INPAS e também dos servidores Dr. Mauro Candú, Procurador do INPAS, e da Dra. Néia Cristina dos Santos. Nada mais havendo a tratar, o senhor Presidente deu por encerrada a presente reunião às onze horas e quarenta minutos, cuja Ata segue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3"/>
        <w:ind w:left="96" w:right="94"/>
      </w:pP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Maduro</w:t>
      </w:r>
      <w:r>
        <w:rPr>
          <w:spacing w:val="40"/>
        </w:rPr>
        <w:t> </w:t>
      </w:r>
      <w:r>
        <w:rPr/>
        <w:t>Vogas</w:t>
      </w:r>
      <w:r>
        <w:rPr>
          <w:spacing w:val="40"/>
        </w:rPr>
        <w:t> </w:t>
      </w:r>
      <w:r>
        <w:rPr/>
        <w:t>Tavares,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submeterei</w:t>
      </w:r>
      <w:r>
        <w:rPr>
          <w:spacing w:val="40"/>
        </w:rPr>
        <w:t> </w:t>
      </w:r>
      <w:r>
        <w:rPr/>
        <w:t>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3"/>
        <w:ind w:left="795" w:right="38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Presidente do Comitê</w:t>
      </w:r>
    </w:p>
    <w:p>
      <w:pPr>
        <w:pStyle w:val="BodyText"/>
        <w:spacing w:line="367" w:lineRule="auto" w:before="93"/>
        <w:ind w:left="795" w:right="1620" w:firstLine="105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after="0" w:line="367" w:lineRule="auto"/>
        <w:sectPr>
          <w:type w:val="continuous"/>
          <w:pgSz w:w="11900" w:h="16840"/>
          <w:pgMar w:top="1380" w:bottom="280" w:left="1559" w:right="992"/>
          <w:cols w:num="2" w:equalWidth="0">
            <w:col w:w="4202" w:space="1006"/>
            <w:col w:w="4141"/>
          </w:cols>
        </w:sectPr>
      </w:pPr>
    </w:p>
    <w:p>
      <w:pPr>
        <w:pStyle w:val="BodyText"/>
        <w:spacing w:before="8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3"/>
        <w:ind w:left="848" w:right="38" w:hanging="128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3"/>
        <w:ind w:left="720" w:right="850" w:firstLine="410"/>
      </w:pPr>
      <w:r>
        <w:rPr/>
        <w:br w:type="column"/>
      </w:r>
      <w:r>
        <w:rPr/>
        <w:t>Lucimar da Glória Gomes Chefe da Divisão de Contabilidade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77" w:space="233"/>
            <w:col w:w="4839"/>
          </w:cols>
        </w:sectPr>
      </w:pPr>
    </w:p>
    <w:p>
      <w:pPr>
        <w:pStyle w:val="BodyText"/>
        <w:spacing w:before="141"/>
      </w:pPr>
    </w:p>
    <w:p>
      <w:pPr>
        <w:pStyle w:val="BodyText"/>
        <w:spacing w:line="364" w:lineRule="auto"/>
        <w:ind w:left="1503" w:right="4999" w:hanging="233"/>
      </w:pPr>
      <w:r>
        <w:rPr/>
        <w:t>Michele</w:t>
      </w:r>
      <w:r>
        <w:rPr>
          <w:spacing w:val="-2"/>
        </w:rPr>
        <w:t> </w:t>
      </w:r>
      <w:r>
        <w:rPr/>
        <w:t>Schifler</w:t>
      </w:r>
      <w:r>
        <w:rPr>
          <w:spacing w:val="-2"/>
        </w:rPr>
        <w:t> </w:t>
      </w:r>
      <w:r>
        <w:rPr/>
        <w:t>Forster 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2025-05-19T16:00:54Z</dcterms:created>
  <dcterms:modified xsi:type="dcterms:W3CDTF">2025-05-19T16:00:54Z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