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393"/>
        <w:rPr>
          <w:sz w:val="20"/>
        </w:rPr>
      </w:pPr>
      <w:r>
        <w:rPr>
          <w:sz w:val="20"/>
        </w:rPr>
        <w:drawing>
          <wp:inline distT="0" distB="0" distL="0" distR="0">
            <wp:extent cx="3096905" cy="135074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905" cy="135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2"/>
      </w:pPr>
    </w:p>
    <w:p>
      <w:pPr>
        <w:pStyle w:val="BodyText"/>
        <w:spacing w:line="364" w:lineRule="auto" w:before="1"/>
        <w:ind w:left="96" w:right="94"/>
        <w:jc w:val="both"/>
      </w:pPr>
      <w:r>
        <w:rPr/>
        <w:t>Ata</w:t>
      </w:r>
      <w:r>
        <w:rPr>
          <w:spacing w:val="16"/>
        </w:rPr>
        <w:t> </w:t>
      </w:r>
      <w:r>
        <w:rPr/>
        <w:t>da vigésima oitava</w:t>
      </w:r>
      <w:r>
        <w:rPr>
          <w:spacing w:val="16"/>
        </w:rPr>
        <w:t> </w:t>
      </w:r>
      <w:r>
        <w:rPr/>
        <w:t>reunião</w:t>
      </w:r>
      <w:r>
        <w:rPr>
          <w:spacing w:val="14"/>
        </w:rPr>
        <w:t> </w:t>
      </w:r>
      <w:r>
        <w:rPr/>
        <w:t>ordinária</w:t>
      </w:r>
      <w:r>
        <w:rPr>
          <w:spacing w:val="16"/>
        </w:rPr>
        <w:t> </w:t>
      </w:r>
      <w:r>
        <w:rPr/>
        <w:t>do</w:t>
      </w:r>
      <w:r>
        <w:rPr>
          <w:spacing w:val="14"/>
        </w:rPr>
        <w:t> </w:t>
      </w:r>
      <w:r>
        <w:rPr/>
        <w:t>Comitê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Investimentos</w:t>
      </w:r>
      <w:r>
        <w:rPr>
          <w:spacing w:val="17"/>
        </w:rPr>
        <w:t> </w:t>
      </w:r>
      <w:r>
        <w:rPr/>
        <w:t>do</w:t>
      </w:r>
      <w:r>
        <w:rPr>
          <w:spacing w:val="17"/>
        </w:rPr>
        <w:t> </w:t>
      </w:r>
      <w:r>
        <w:rPr/>
        <w:t>Instituto de Previdência e Assistência Social do Servidor Público do Município de Petrópolis – INPAS.</w:t>
      </w:r>
    </w:p>
    <w:p>
      <w:pPr>
        <w:pStyle w:val="BodyText"/>
        <w:spacing w:line="364" w:lineRule="auto" w:before="2"/>
        <w:ind w:left="96" w:right="94"/>
        <w:jc w:val="both"/>
      </w:pPr>
      <w:r>
        <w:rPr/>
        <w:t>Aos treze dias do mês de fevereiro do ano de dois mil e quinze, às dez horas e vinte minutos, no auditório do Instituto de Previdência e Assistência Social do Servidor Público do Município de Petrópolis, reuniram-se os seguintes membros do Comitê de Investimentos deste Regime Próprio de Previdência Social: a) Diretor-Presidente do INPAS, senhor Marcus Antonio Curvelo da Silva; b)- Diretor Administrativo-Financeiro do INPAS, senhor Daniel Luiz Simões Campos, Presidente eleito deste Comitê; c) Chefe do Setor de Tesouraria, Sra. Claudia Miranda do Nascimento; d) Gestora Previdenciária, senhora Adriana Catarina da Costa; e)- Chefe da Divisão de</w:t>
      </w:r>
      <w:r>
        <w:rPr>
          <w:spacing w:val="80"/>
        </w:rPr>
        <w:t> </w:t>
      </w:r>
      <w:r>
        <w:rPr/>
        <w:t>Contabilidade, senhora Lucimar da Glória Gomes; f)- Gestora Previdenciária, senhora Carla Cristina Correia Maduro Vogas Tavares, secretária eleita deste Comitê. Presentes também, com direito a voz e sem direito a voto, os servidores: Sra. Vanessa Maria Bull e Sr. Matheus França Souza. Iniciou-se, com esta composição, a referida reunião para atendimento à pauta do dia, que teve a seguinte ordem: 1)- leitura da ata; 2)- análise do cenário macroeconômico, bem como as expectativas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mercado;</w:t>
      </w:r>
      <w:r>
        <w:rPr>
          <w:spacing w:val="40"/>
        </w:rPr>
        <w:t> </w:t>
      </w:r>
      <w:r>
        <w:rPr/>
        <w:t>3)-</w:t>
      </w:r>
      <w:r>
        <w:rPr>
          <w:spacing w:val="40"/>
        </w:rPr>
        <w:t> </w:t>
      </w:r>
      <w:r>
        <w:rPr/>
        <w:t>avaliação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investimentos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compõem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patrimônio</w:t>
      </w:r>
      <w:r>
        <w:rPr>
          <w:spacing w:val="40"/>
        </w:rPr>
        <w:t> </w:t>
      </w:r>
      <w:r>
        <w:rPr/>
        <w:t>dos diversos segmentos de aplicação; 4)- análise do fluxo de caixa, considerando as obrigações previdenciárias e administrativas para o mês em curso; 5)- proposições de investimentos/desinvestimentos; 6)- processo de credenciamento de instituições financeiras (dar ciência ao Comitê do parecer da Procuradoria); 7)- apresentação da Resolução CMN nº</w:t>
      </w:r>
      <w:r>
        <w:rPr>
          <w:spacing w:val="40"/>
        </w:rPr>
        <w:t> </w:t>
      </w:r>
      <w:r>
        <w:rPr/>
        <w:t>4.392/2014; 8)- assuntos gerais. O Presidente do Comitê solicitou a dispensa de leitura da ata,</w:t>
      </w:r>
      <w:r>
        <w:rPr>
          <w:spacing w:val="40"/>
        </w:rPr>
        <w:t> </w:t>
      </w:r>
      <w:r>
        <w:rPr/>
        <w:t>tendo em vista que todos já leram e assinaram, sem ressalvas. Tal dispensa foi aceita por todos os presentes. Passando ao segundo item da pauta, o Presidente do Comitê informou que distribuiu a todos os membros do Comitê o Panorama do mês de janeiro de 2015, elaborado pela empresa de consultoria Crédito e Mercado. Em seguida, teceu considerações no sentido de que 2015 será um ano</w:t>
      </w:r>
      <w:r>
        <w:rPr>
          <w:spacing w:val="71"/>
          <w:w w:val="150"/>
        </w:rPr>
        <w:t> </w:t>
      </w:r>
      <w:r>
        <w:rPr/>
        <w:t>bastante</w:t>
      </w:r>
      <w:r>
        <w:rPr>
          <w:spacing w:val="70"/>
          <w:w w:val="150"/>
        </w:rPr>
        <w:t> </w:t>
      </w:r>
      <w:r>
        <w:rPr/>
        <w:t>difícil</w:t>
      </w:r>
      <w:r>
        <w:rPr>
          <w:spacing w:val="73"/>
          <w:w w:val="150"/>
        </w:rPr>
        <w:t> </w:t>
      </w:r>
      <w:r>
        <w:rPr/>
        <w:t>para</w:t>
      </w:r>
      <w:r>
        <w:rPr>
          <w:spacing w:val="70"/>
          <w:w w:val="150"/>
        </w:rPr>
        <w:t> </w:t>
      </w:r>
      <w:r>
        <w:rPr/>
        <w:t>o</w:t>
      </w:r>
      <w:r>
        <w:rPr>
          <w:spacing w:val="71"/>
          <w:w w:val="150"/>
        </w:rPr>
        <w:t> </w:t>
      </w:r>
      <w:r>
        <w:rPr/>
        <w:t>mercado</w:t>
      </w:r>
      <w:r>
        <w:rPr>
          <w:spacing w:val="71"/>
          <w:w w:val="150"/>
        </w:rPr>
        <w:t> </w:t>
      </w:r>
      <w:r>
        <w:rPr/>
        <w:t>financeiro</w:t>
      </w:r>
      <w:r>
        <w:rPr>
          <w:spacing w:val="71"/>
          <w:w w:val="150"/>
        </w:rPr>
        <w:t> </w:t>
      </w:r>
      <w:r>
        <w:rPr/>
        <w:t>e</w:t>
      </w:r>
      <w:r>
        <w:rPr>
          <w:spacing w:val="70"/>
          <w:w w:val="150"/>
        </w:rPr>
        <w:t> </w:t>
      </w:r>
      <w:r>
        <w:rPr/>
        <w:t>que</w:t>
      </w:r>
      <w:r>
        <w:rPr>
          <w:spacing w:val="70"/>
          <w:w w:val="150"/>
        </w:rPr>
        <w:t> </w:t>
      </w:r>
      <w:r>
        <w:rPr/>
        <w:t>não</w:t>
      </w:r>
      <w:r>
        <w:rPr>
          <w:spacing w:val="71"/>
          <w:w w:val="150"/>
        </w:rPr>
        <w:t> </w:t>
      </w:r>
      <w:r>
        <w:rPr/>
        <w:t>vislumbra</w:t>
      </w:r>
      <w:r>
        <w:rPr>
          <w:spacing w:val="70"/>
          <w:w w:val="150"/>
        </w:rPr>
        <w:t> </w:t>
      </w:r>
      <w:r>
        <w:rPr/>
        <w:t>perspectivas</w:t>
      </w:r>
      <w:r>
        <w:rPr>
          <w:spacing w:val="73"/>
          <w:w w:val="150"/>
        </w:rPr>
        <w:t> </w:t>
      </w:r>
      <w:r>
        <w:rPr/>
        <w:t>muito</w:t>
      </w:r>
    </w:p>
    <w:p>
      <w:pPr>
        <w:pStyle w:val="BodyText"/>
        <w:spacing w:after="0" w:line="364" w:lineRule="auto"/>
        <w:jc w:val="both"/>
        <w:sectPr>
          <w:type w:val="continuous"/>
          <w:pgSz w:w="11900" w:h="16840"/>
          <w:pgMar w:top="1380" w:bottom="280" w:left="1559" w:right="992"/>
        </w:sectPr>
      </w:pPr>
    </w:p>
    <w:p>
      <w:pPr>
        <w:pStyle w:val="BodyText"/>
        <w:spacing w:line="364" w:lineRule="auto" w:before="173"/>
        <w:ind w:left="96" w:right="92"/>
        <w:jc w:val="both"/>
      </w:pPr>
      <w:r>
        <w:rPr/>
        <w:t>animadoras neste primeiro semestre. A Sra. Adriana Catarina fez a leitura de uma matéria publicada no Jornal “O Globo”, do dia 09 de janeiro, intitulada: “Analistas do mercado financeiro pioram projeções e preveem PIB zero em 2015”. Após a leitura, comentou que o cenário está</w:t>
      </w:r>
      <w:r>
        <w:rPr>
          <w:spacing w:val="80"/>
        </w:rPr>
        <w:t> </w:t>
      </w:r>
      <w:r>
        <w:rPr/>
        <w:t>muito difícil; que o Banco Central está tentando combater a inflação, mas que isso provavelmente só ocorrerá em 2016. No item 3 da pauta, o Presidente do Comitê informou que hoje somente possuímos investimentos em DI e em IRFM1, na proporção de 28% e 72%, respectivamente. Relatou que depois de dois dias seguidos de baixa, o IRFM1 voltou a subir. Esclareceu que essa baixa se deu em razão</w:t>
      </w:r>
      <w:r>
        <w:rPr>
          <w:spacing w:val="40"/>
        </w:rPr>
        <w:t> </w:t>
      </w:r>
      <w:r>
        <w:rPr/>
        <w:t>da saída</w:t>
      </w:r>
      <w:r>
        <w:rPr>
          <w:spacing w:val="40"/>
        </w:rPr>
        <w:t> </w:t>
      </w:r>
      <w:r>
        <w:rPr/>
        <w:t>de capital</w:t>
      </w:r>
      <w:r>
        <w:rPr>
          <w:spacing w:val="40"/>
        </w:rPr>
        <w:t> </w:t>
      </w:r>
      <w:r>
        <w:rPr/>
        <w:t>estrangeiro e</w:t>
      </w:r>
      <w:r>
        <w:rPr>
          <w:spacing w:val="40"/>
        </w:rPr>
        <w:t> </w:t>
      </w:r>
      <w:r>
        <w:rPr/>
        <w:t>também do</w:t>
      </w:r>
      <w:r>
        <w:rPr>
          <w:spacing w:val="40"/>
        </w:rPr>
        <w:t> </w:t>
      </w:r>
      <w:r>
        <w:rPr/>
        <w:t>aumento na venda desses títulos e que a recomendação dos analistas é a aplicação em IMAB5+, mas que, no momento, entende não ser recomendável fazer esse tipo de aplicação. Todos concordaram. Sr. Marcus Curvelo comentou que não acredita na volatilidade do IRFM1 e que o caminho agora é, de fato, aplicar em IRFM1 e em DI, que deverão ficar acima da inflação. No item 4, o Presidente do Conselho informou que a Tesoureira está elaborando semanalmente um relatório das contas previdenciárias.</w:t>
      </w:r>
      <w:r>
        <w:rPr>
          <w:spacing w:val="40"/>
        </w:rPr>
        <w:t> </w:t>
      </w:r>
      <w:r>
        <w:rPr/>
        <w:t>Sobre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novas</w:t>
      </w:r>
      <w:r>
        <w:rPr>
          <w:spacing w:val="40"/>
        </w:rPr>
        <w:t> </w:t>
      </w:r>
      <w:r>
        <w:rPr/>
        <w:t>aplicações,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Comitê,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unanimidade,</w:t>
      </w:r>
      <w:r>
        <w:rPr>
          <w:spacing w:val="40"/>
        </w:rPr>
        <w:t> </w:t>
      </w:r>
      <w:r>
        <w:rPr/>
        <w:t>manteve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decisão tomada</w:t>
      </w:r>
      <w:r>
        <w:rPr>
          <w:spacing w:val="40"/>
        </w:rPr>
        <w:t> </w:t>
      </w:r>
      <w:r>
        <w:rPr/>
        <w:t>em 12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novembro</w:t>
      </w:r>
      <w:r>
        <w:rPr>
          <w:spacing w:val="40"/>
        </w:rPr>
        <w:t> </w:t>
      </w:r>
      <w:r>
        <w:rPr/>
        <w:t>de 2014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seguinte sentido:</w:t>
      </w:r>
      <w:r>
        <w:rPr>
          <w:spacing w:val="40"/>
        </w:rPr>
        <w:t> </w:t>
      </w:r>
      <w:r>
        <w:rPr/>
        <w:t>“os</w:t>
      </w:r>
      <w:r>
        <w:rPr>
          <w:spacing w:val="40"/>
        </w:rPr>
        <w:t> </w:t>
      </w:r>
      <w:r>
        <w:rPr/>
        <w:t>novos</w:t>
      </w:r>
      <w:r>
        <w:rPr>
          <w:spacing w:val="40"/>
        </w:rPr>
        <w:t> </w:t>
      </w:r>
      <w:r>
        <w:rPr/>
        <w:t>recursos</w:t>
      </w:r>
      <w:r>
        <w:rPr>
          <w:spacing w:val="40"/>
        </w:rPr>
        <w:t> </w:t>
      </w:r>
      <w:r>
        <w:rPr/>
        <w:t>deverão</w:t>
      </w:r>
      <w:r>
        <w:rPr>
          <w:spacing w:val="40"/>
        </w:rPr>
        <w:t> </w:t>
      </w:r>
      <w:r>
        <w:rPr/>
        <w:t>ser aplicados diretamente em DI, até o limite do enquadramento, e que o restante deverá ser aplicado em IRFM1”. No item 6, referente ao processo de credenciamento das instituições financeiras, foi lido</w:t>
      </w:r>
      <w:r>
        <w:rPr>
          <w:spacing w:val="37"/>
        </w:rPr>
        <w:t> </w:t>
      </w:r>
      <w:r>
        <w:rPr/>
        <w:t>o</w:t>
      </w:r>
      <w:r>
        <w:rPr>
          <w:spacing w:val="37"/>
        </w:rPr>
        <w:t> </w:t>
      </w:r>
      <w:r>
        <w:rPr/>
        <w:t>parecer</w:t>
      </w:r>
      <w:r>
        <w:rPr>
          <w:spacing w:val="38"/>
        </w:rPr>
        <w:t> </w:t>
      </w:r>
      <w:r>
        <w:rPr/>
        <w:t>favorável</w:t>
      </w:r>
      <w:r>
        <w:rPr>
          <w:spacing w:val="40"/>
        </w:rPr>
        <w:t> </w:t>
      </w:r>
      <w:r>
        <w:rPr/>
        <w:t>da</w:t>
      </w:r>
      <w:r>
        <w:rPr>
          <w:spacing w:val="36"/>
        </w:rPr>
        <w:t> </w:t>
      </w:r>
      <w:r>
        <w:rPr/>
        <w:t>Procuradoria</w:t>
      </w:r>
      <w:r>
        <w:rPr>
          <w:spacing w:val="34"/>
        </w:rPr>
        <w:t> </w:t>
      </w:r>
      <w:r>
        <w:rPr/>
        <w:t>quanto</w:t>
      </w:r>
      <w:r>
        <w:rPr>
          <w:spacing w:val="40"/>
        </w:rPr>
        <w:t> </w:t>
      </w:r>
      <w:r>
        <w:rPr/>
        <w:t>à</w:t>
      </w:r>
      <w:r>
        <w:rPr>
          <w:spacing w:val="36"/>
        </w:rPr>
        <w:t> </w:t>
      </w:r>
      <w:r>
        <w:rPr/>
        <w:t>minuta</w:t>
      </w:r>
      <w:r>
        <w:rPr>
          <w:spacing w:val="36"/>
        </w:rPr>
        <w:t> </w:t>
      </w:r>
      <w:r>
        <w:rPr/>
        <w:t>do</w:t>
      </w:r>
      <w:r>
        <w:rPr>
          <w:spacing w:val="37"/>
        </w:rPr>
        <w:t> </w:t>
      </w:r>
      <w:r>
        <w:rPr/>
        <w:t>projeto</w:t>
      </w:r>
      <w:r>
        <w:rPr>
          <w:spacing w:val="35"/>
        </w:rPr>
        <w:t> </w:t>
      </w:r>
      <w:r>
        <w:rPr/>
        <w:t>de</w:t>
      </w:r>
      <w:r>
        <w:rPr>
          <w:spacing w:val="38"/>
        </w:rPr>
        <w:t> </w:t>
      </w:r>
      <w:r>
        <w:rPr/>
        <w:t>Resolução,</w:t>
      </w:r>
      <w:r>
        <w:rPr>
          <w:spacing w:val="38"/>
        </w:rPr>
        <w:t> </w:t>
      </w:r>
      <w:r>
        <w:rPr/>
        <w:t>razão</w:t>
      </w:r>
      <w:r>
        <w:rPr>
          <w:spacing w:val="40"/>
        </w:rPr>
        <w:t> </w:t>
      </w:r>
      <w:r>
        <w:rPr/>
        <w:t>pela qual o Comitê de Investimentos ratifica o teor dessa minuta e a aprova por unanimidade. O Sr. Presidente ressaltou que já existe um pedido de mudanças nas regras para credenciamento. Esclareceu</w:t>
      </w:r>
      <w:r>
        <w:rPr>
          <w:spacing w:val="32"/>
        </w:rPr>
        <w:t> </w:t>
      </w:r>
      <w:r>
        <w:rPr/>
        <w:t>que</w:t>
      </w:r>
      <w:r>
        <w:rPr>
          <w:spacing w:val="31"/>
        </w:rPr>
        <w:t> </w:t>
      </w:r>
      <w:r>
        <w:rPr/>
        <w:t>há</w:t>
      </w:r>
      <w:r>
        <w:rPr>
          <w:spacing w:val="31"/>
        </w:rPr>
        <w:t> </w:t>
      </w:r>
      <w:r>
        <w:rPr/>
        <w:t>um</w:t>
      </w:r>
      <w:r>
        <w:rPr>
          <w:spacing w:val="29"/>
        </w:rPr>
        <w:t> </w:t>
      </w:r>
      <w:r>
        <w:rPr/>
        <w:t>pedido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grandes</w:t>
      </w:r>
      <w:r>
        <w:rPr>
          <w:spacing w:val="33"/>
        </w:rPr>
        <w:t> </w:t>
      </w:r>
      <w:r>
        <w:rPr/>
        <w:t>gestoras</w:t>
      </w:r>
      <w:r>
        <w:rPr>
          <w:spacing w:val="31"/>
        </w:rPr>
        <w:t> </w:t>
      </w:r>
      <w:r>
        <w:rPr/>
        <w:t>no</w:t>
      </w:r>
      <w:r>
        <w:rPr>
          <w:spacing w:val="32"/>
        </w:rPr>
        <w:t> </w:t>
      </w:r>
      <w:r>
        <w:rPr/>
        <w:t>sentido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rever</w:t>
      </w:r>
      <w:r>
        <w:rPr>
          <w:spacing w:val="30"/>
        </w:rPr>
        <w:t> </w:t>
      </w:r>
      <w:r>
        <w:rPr/>
        <w:t>a</w:t>
      </w:r>
      <w:r>
        <w:rPr>
          <w:spacing w:val="33"/>
        </w:rPr>
        <w:t> </w:t>
      </w:r>
      <w:r>
        <w:rPr/>
        <w:t>prazo</w:t>
      </w:r>
      <w:r>
        <w:rPr>
          <w:spacing w:val="32"/>
        </w:rPr>
        <w:t> </w:t>
      </w:r>
      <w:r>
        <w:rPr/>
        <w:t>para</w:t>
      </w:r>
      <w:r>
        <w:rPr>
          <w:spacing w:val="31"/>
        </w:rPr>
        <w:t> </w:t>
      </w:r>
      <w:r>
        <w:rPr/>
        <w:t>atualização dos</w:t>
      </w:r>
      <w:r>
        <w:rPr>
          <w:spacing w:val="22"/>
        </w:rPr>
        <w:t> </w:t>
      </w:r>
      <w:r>
        <w:rPr/>
        <w:t>documentos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também</w:t>
      </w:r>
      <w:r>
        <w:rPr>
          <w:spacing w:val="17"/>
        </w:rPr>
        <w:t> </w:t>
      </w:r>
      <w:r>
        <w:rPr/>
        <w:t>há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proposta</w:t>
      </w:r>
      <w:r>
        <w:rPr>
          <w:spacing w:val="19"/>
        </w:rPr>
        <w:t> </w:t>
      </w:r>
      <w:r>
        <w:rPr/>
        <w:t>da</w:t>
      </w:r>
      <w:r>
        <w:rPr>
          <w:spacing w:val="19"/>
        </w:rPr>
        <w:t> </w:t>
      </w:r>
      <w:r>
        <w:rPr/>
        <w:t>criação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um</w:t>
      </w:r>
      <w:r>
        <w:rPr>
          <w:spacing w:val="17"/>
        </w:rPr>
        <w:t> </w:t>
      </w:r>
      <w:r>
        <w:rPr/>
        <w:t>banco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dados</w:t>
      </w:r>
      <w:r>
        <w:rPr>
          <w:spacing w:val="19"/>
        </w:rPr>
        <w:t> </w:t>
      </w:r>
      <w:r>
        <w:rPr/>
        <w:t>no</w:t>
      </w:r>
      <w:r>
        <w:rPr>
          <w:spacing w:val="20"/>
        </w:rPr>
        <w:t> </w:t>
      </w:r>
      <w:r>
        <w:rPr/>
        <w:t>site</w:t>
      </w:r>
      <w:r>
        <w:rPr>
          <w:spacing w:val="19"/>
        </w:rPr>
        <w:t> </w:t>
      </w:r>
      <w:r>
        <w:rPr/>
        <w:t>do</w:t>
      </w:r>
      <w:r>
        <w:rPr>
          <w:spacing w:val="17"/>
        </w:rPr>
        <w:t> </w:t>
      </w:r>
      <w:r>
        <w:rPr/>
        <w:t>Ministério da Previdência Social. Em seguida, o Presidente do Comitê solicitou à Sra. Carla que fizesse uma explanação sobre a Resolução CMN nº 4.392/2014, que alterou a Resolução CMN nº 3.922/2010. Resumidamente, foi dito que os RPPS poderão aplicar em duas novas modalidades de investimentos, que é a aplicação em Fundos de Índices e a aplicação em Letras Imobiliárias Garantidas.</w:t>
      </w:r>
      <w:r>
        <w:rPr>
          <w:spacing w:val="40"/>
        </w:rPr>
        <w:t> </w:t>
      </w:r>
      <w:r>
        <w:rPr/>
        <w:t>Em assuntos gerais, o Sr. Marcus Curvelo informou que os membros do Comitê deverão ter a certificação ANBIMA CPA-10 até julho do corrente ano. Solicitou também, conforme já dito em reunião anterior, que fosse feita a alternância dos cargos do Comitê de Investimentos. O Presidente do Comitê sugeriu que a eleição fosse feita na próxima reunião, marcada para o</w:t>
      </w:r>
      <w:r>
        <w:rPr>
          <w:spacing w:val="10"/>
        </w:rPr>
        <w:t> </w:t>
      </w:r>
      <w:r>
        <w:rPr/>
        <w:t>próximo</w:t>
      </w:r>
      <w:r>
        <w:rPr>
          <w:spacing w:val="10"/>
        </w:rPr>
        <w:t> </w:t>
      </w:r>
      <w:r>
        <w:rPr/>
        <w:t>dia 11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março,</w:t>
      </w:r>
      <w:r>
        <w:rPr>
          <w:spacing w:val="11"/>
        </w:rPr>
        <w:t> </w:t>
      </w:r>
      <w:r>
        <w:rPr/>
        <w:t>o</w:t>
      </w:r>
      <w:r>
        <w:rPr>
          <w:spacing w:val="10"/>
        </w:rPr>
        <w:t> </w:t>
      </w:r>
      <w:r>
        <w:rPr/>
        <w:t>que foi aceito</w:t>
      </w:r>
      <w:r>
        <w:rPr>
          <w:spacing w:val="10"/>
        </w:rPr>
        <w:t> </w:t>
      </w:r>
      <w:r>
        <w:rPr/>
        <w:t>por</w:t>
      </w:r>
      <w:r>
        <w:rPr>
          <w:spacing w:val="11"/>
        </w:rPr>
        <w:t> </w:t>
      </w:r>
      <w:r>
        <w:rPr/>
        <w:t>todos.</w:t>
      </w:r>
      <w:r>
        <w:rPr>
          <w:spacing w:val="13"/>
        </w:rPr>
        <w:t> </w:t>
      </w:r>
      <w:r>
        <w:rPr/>
        <w:t>Nada</w:t>
      </w:r>
      <w:r>
        <w:rPr>
          <w:spacing w:val="11"/>
        </w:rPr>
        <w:t> </w:t>
      </w:r>
      <w:r>
        <w:rPr/>
        <w:t>mais</w:t>
      </w:r>
      <w:r>
        <w:rPr>
          <w:spacing w:val="12"/>
        </w:rPr>
        <w:t> </w:t>
      </w:r>
      <w:r>
        <w:rPr/>
        <w:t>havendo</w:t>
      </w:r>
      <w:r>
        <w:rPr>
          <w:spacing w:val="13"/>
        </w:rPr>
        <w:t> </w:t>
      </w:r>
      <w:r>
        <w:rPr/>
        <w:t>a tratar, o</w:t>
      </w:r>
      <w:r>
        <w:rPr>
          <w:spacing w:val="27"/>
        </w:rPr>
        <w:t> </w:t>
      </w:r>
      <w:r>
        <w:rPr/>
        <w:t>senhor</w:t>
      </w:r>
      <w:r>
        <w:rPr>
          <w:spacing w:val="25"/>
        </w:rPr>
        <w:t> </w:t>
      </w:r>
      <w:r>
        <w:rPr/>
        <w:t>Presidente</w:t>
      </w:r>
      <w:r>
        <w:rPr>
          <w:spacing w:val="25"/>
        </w:rPr>
        <w:t> </w:t>
      </w:r>
      <w:r>
        <w:rPr/>
        <w:t>deu</w:t>
      </w:r>
      <w:r>
        <w:rPr>
          <w:spacing w:val="29"/>
        </w:rPr>
        <w:t> </w:t>
      </w:r>
      <w:r>
        <w:rPr/>
        <w:t>por</w:t>
      </w:r>
      <w:r>
        <w:rPr>
          <w:spacing w:val="25"/>
        </w:rPr>
        <w:t> </w:t>
      </w:r>
      <w:r>
        <w:rPr/>
        <w:t>encerrada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presente</w:t>
      </w:r>
      <w:r>
        <w:rPr>
          <w:spacing w:val="28"/>
        </w:rPr>
        <w:t> </w:t>
      </w:r>
      <w:r>
        <w:rPr/>
        <w:t>reunião</w:t>
      </w:r>
      <w:r>
        <w:rPr>
          <w:spacing w:val="27"/>
        </w:rPr>
        <w:t> </w:t>
      </w:r>
      <w:r>
        <w:rPr/>
        <w:t>às</w:t>
      </w:r>
      <w:r>
        <w:rPr>
          <w:spacing w:val="26"/>
        </w:rPr>
        <w:t> </w:t>
      </w:r>
      <w:r>
        <w:rPr/>
        <w:t>onze</w:t>
      </w:r>
      <w:r>
        <w:rPr>
          <w:spacing w:val="25"/>
        </w:rPr>
        <w:t> </w:t>
      </w:r>
      <w:r>
        <w:rPr/>
        <w:t>horas,</w:t>
      </w:r>
      <w:r>
        <w:rPr>
          <w:spacing w:val="25"/>
        </w:rPr>
        <w:t> </w:t>
      </w:r>
      <w:r>
        <w:rPr/>
        <w:t>cuja</w:t>
      </w:r>
      <w:r>
        <w:rPr>
          <w:spacing w:val="25"/>
        </w:rPr>
        <w:t> </w:t>
      </w:r>
      <w:r>
        <w:rPr/>
        <w:t>Ata</w:t>
      </w:r>
      <w:r>
        <w:rPr>
          <w:spacing w:val="25"/>
        </w:rPr>
        <w:t> </w:t>
      </w:r>
      <w:r>
        <w:rPr/>
        <w:t>segue</w:t>
      </w:r>
      <w:r>
        <w:rPr>
          <w:spacing w:val="22"/>
        </w:rPr>
        <w:t> </w:t>
      </w:r>
      <w:r>
        <w:rPr/>
        <w:t>lavrada</w:t>
      </w:r>
    </w:p>
    <w:p>
      <w:pPr>
        <w:pStyle w:val="BodyText"/>
        <w:spacing w:after="0" w:line="364" w:lineRule="auto"/>
        <w:jc w:val="both"/>
        <w:sectPr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173"/>
        <w:ind w:left="96"/>
      </w:pPr>
      <w:r>
        <w:rPr/>
        <w:t>por</w:t>
      </w:r>
      <w:r>
        <w:rPr>
          <w:spacing w:val="29"/>
        </w:rPr>
        <w:t> </w:t>
      </w:r>
      <w:r>
        <w:rPr/>
        <w:t>mim,</w:t>
      </w:r>
      <w:r>
        <w:rPr>
          <w:spacing w:val="26"/>
        </w:rPr>
        <w:t> </w:t>
      </w:r>
      <w:r>
        <w:rPr/>
        <w:t>Carla</w:t>
      </w:r>
      <w:r>
        <w:rPr>
          <w:spacing w:val="27"/>
        </w:rPr>
        <w:t> </w:t>
      </w:r>
      <w:r>
        <w:rPr/>
        <w:t>Maduro</w:t>
      </w:r>
      <w:r>
        <w:rPr>
          <w:spacing w:val="30"/>
        </w:rPr>
        <w:t> </w:t>
      </w:r>
      <w:r>
        <w:rPr/>
        <w:t>Vogas</w:t>
      </w:r>
      <w:r>
        <w:rPr>
          <w:spacing w:val="28"/>
        </w:rPr>
        <w:t> </w:t>
      </w:r>
      <w:r>
        <w:rPr/>
        <w:t>Tavares,</w:t>
      </w:r>
      <w:r>
        <w:rPr>
          <w:spacing w:val="26"/>
        </w:rPr>
        <w:t> </w:t>
      </w:r>
      <w:r>
        <w:rPr/>
        <w:t>Secretária</w:t>
      </w:r>
      <w:r>
        <w:rPr>
          <w:spacing w:val="27"/>
        </w:rPr>
        <w:t> </w:t>
      </w:r>
      <w:r>
        <w:rPr/>
        <w:t>deste</w:t>
      </w:r>
      <w:r>
        <w:rPr>
          <w:spacing w:val="27"/>
        </w:rPr>
        <w:t> </w:t>
      </w:r>
      <w:r>
        <w:rPr/>
        <w:t>Comitê,</w:t>
      </w:r>
      <w:r>
        <w:rPr>
          <w:spacing w:val="26"/>
        </w:rPr>
        <w:t> </w:t>
      </w:r>
      <w:r>
        <w:rPr/>
        <w:t>que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submeterei</w:t>
      </w:r>
      <w:r>
        <w:rPr>
          <w:spacing w:val="30"/>
        </w:rPr>
        <w:t> </w:t>
      </w:r>
      <w:r>
        <w:rPr/>
        <w:t>à</w:t>
      </w:r>
      <w:r>
        <w:rPr>
          <w:spacing w:val="27"/>
        </w:rPr>
        <w:t> </w:t>
      </w:r>
      <w:r>
        <w:rPr/>
        <w:t>aprovação dos demais membros e devidamente colherei suas assinaturas.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93"/>
        <w:ind w:left="795" w:right="38"/>
        <w:jc w:val="center"/>
      </w:pPr>
      <w:r>
        <w:rPr/>
        <w:t>Daniel Luiz Simões Campos</w:t>
      </w:r>
      <w:r>
        <w:rPr>
          <w:spacing w:val="80"/>
        </w:rPr>
        <w:t> </w:t>
      </w:r>
      <w:r>
        <w:rPr/>
        <w:t>Diretor Administrativo e Financeiro Presidente do Comitê</w:t>
      </w:r>
    </w:p>
    <w:p>
      <w:pPr>
        <w:pStyle w:val="BodyText"/>
        <w:spacing w:line="367" w:lineRule="auto" w:before="93"/>
        <w:ind w:left="795" w:right="1620" w:firstLine="105"/>
      </w:pPr>
      <w:r>
        <w:rPr/>
        <w:br w:type="column"/>
      </w:r>
      <w:r>
        <w:rPr/>
        <w:t>Marcus Curvelo </w:t>
      </w:r>
      <w:r>
        <w:rPr>
          <w:spacing w:val="-2"/>
        </w:rPr>
        <w:t>Diretor-Presidente</w:t>
      </w:r>
    </w:p>
    <w:p>
      <w:pPr>
        <w:pStyle w:val="BodyText"/>
        <w:spacing w:after="0" w:line="367" w:lineRule="auto"/>
        <w:sectPr>
          <w:type w:val="continuous"/>
          <w:pgSz w:w="11900" w:h="16840"/>
          <w:pgMar w:top="1380" w:bottom="280" w:left="1559" w:right="992"/>
          <w:cols w:num="2" w:equalWidth="0">
            <w:col w:w="4202" w:space="1006"/>
            <w:col w:w="4141"/>
          </w:cols>
        </w:sectPr>
      </w:pPr>
    </w:p>
    <w:p>
      <w:pPr>
        <w:pStyle w:val="BodyText"/>
        <w:spacing w:before="8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top="1380" w:bottom="280" w:left="1559" w:right="992"/>
        </w:sectPr>
      </w:pPr>
    </w:p>
    <w:p>
      <w:pPr>
        <w:pStyle w:val="BodyText"/>
        <w:spacing w:line="364" w:lineRule="auto" w:before="93"/>
        <w:ind w:left="1412" w:right="38" w:hanging="171"/>
      </w:pPr>
      <w:r>
        <w:rPr/>
        <w:t>Adriana Catarina da Costa Gestora Previdenciária</w:t>
      </w:r>
    </w:p>
    <w:p>
      <w:pPr>
        <w:pStyle w:val="BodyText"/>
        <w:spacing w:line="364" w:lineRule="auto" w:before="93"/>
        <w:ind w:left="1392" w:right="964" w:hanging="152"/>
      </w:pPr>
      <w:r>
        <w:rPr/>
        <w:br w:type="column"/>
      </w:r>
      <w:r>
        <w:rPr/>
        <w:t>Claudia Miranda do Nascimento Chefe do Setor de Tesouraria</w:t>
      </w:r>
    </w:p>
    <w:p>
      <w:pPr>
        <w:pStyle w:val="BodyText"/>
        <w:spacing w:after="0" w:line="364" w:lineRule="auto"/>
        <w:sectPr>
          <w:type w:val="continuous"/>
          <w:pgSz w:w="11900" w:h="16840"/>
          <w:pgMar w:top="1380" w:bottom="280" w:left="1559" w:right="992"/>
          <w:cols w:num="2" w:equalWidth="0">
            <w:col w:w="3754" w:space="347"/>
            <w:col w:w="5248"/>
          </w:cols>
        </w:sectPr>
      </w:pPr>
    </w:p>
    <w:p>
      <w:pPr>
        <w:pStyle w:val="BodyText"/>
        <w:spacing w:before="8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top="1380" w:bottom="280" w:left="1559" w:right="992"/>
        </w:sectPr>
      </w:pPr>
    </w:p>
    <w:p>
      <w:pPr>
        <w:pStyle w:val="BodyText"/>
        <w:spacing w:line="364" w:lineRule="auto" w:before="94"/>
        <w:ind w:left="848" w:firstLine="165"/>
      </w:pPr>
      <w:r>
        <w:rPr/>
        <w:t>Carla Cristina. C. Maduro V. Tavares Gestora Previdenciária - Secretária</w:t>
      </w:r>
    </w:p>
    <w:p>
      <w:pPr>
        <w:pStyle w:val="BodyText"/>
        <w:spacing w:line="364" w:lineRule="auto" w:before="94"/>
        <w:ind w:left="558" w:right="950" w:firstLine="468"/>
      </w:pPr>
      <w:r>
        <w:rPr/>
        <w:br w:type="column"/>
      </w:r>
      <w:r>
        <w:rPr/>
        <w:t>Lucimar da Glória Gomes Chefe da Divisão de Contabilidade</w:t>
      </w:r>
    </w:p>
    <w:p>
      <w:pPr>
        <w:pStyle w:val="BodyText"/>
        <w:spacing w:after="0" w:line="364" w:lineRule="auto"/>
        <w:sectPr>
          <w:type w:val="continuous"/>
          <w:pgSz w:w="11900" w:h="16840"/>
          <w:pgMar w:top="1380" w:bottom="280" w:left="1559" w:right="992"/>
          <w:cols w:num="2" w:equalWidth="0">
            <w:col w:w="4527" w:space="40"/>
            <w:col w:w="4782"/>
          </w:cols>
        </w:sectPr>
      </w:pPr>
    </w:p>
    <w:p>
      <w:pPr>
        <w:pStyle w:val="BodyText"/>
        <w:spacing w:before="138"/>
      </w:pPr>
    </w:p>
    <w:p>
      <w:pPr>
        <w:pStyle w:val="BodyText"/>
        <w:tabs>
          <w:tab w:pos="4406" w:val="left" w:leader="none"/>
        </w:tabs>
        <w:spacing w:before="1"/>
        <w:ind w:right="1610"/>
        <w:jc w:val="right"/>
      </w:pPr>
      <w:r>
        <w:rPr/>
        <w:t>Matheus</w:t>
      </w:r>
      <w:r>
        <w:rPr>
          <w:spacing w:val="7"/>
        </w:rPr>
        <w:t> </w:t>
      </w:r>
      <w:r>
        <w:rPr/>
        <w:t>França</w:t>
      </w:r>
      <w:r>
        <w:rPr>
          <w:spacing w:val="3"/>
        </w:rPr>
        <w:t> </w:t>
      </w:r>
      <w:r>
        <w:rPr>
          <w:spacing w:val="-4"/>
        </w:rPr>
        <w:t>Souza</w:t>
      </w:r>
      <w:r>
        <w:rPr/>
        <w:tab/>
        <w:t>Vanessa</w:t>
      </w:r>
      <w:r>
        <w:rPr>
          <w:spacing w:val="5"/>
        </w:rPr>
        <w:t> </w:t>
      </w:r>
      <w:r>
        <w:rPr/>
        <w:t>Maria</w:t>
      </w:r>
      <w:r>
        <w:rPr>
          <w:spacing w:val="4"/>
        </w:rPr>
        <w:t> </w:t>
      </w:r>
      <w:r>
        <w:rPr>
          <w:spacing w:val="-4"/>
        </w:rPr>
        <w:t>Bull</w:t>
      </w:r>
    </w:p>
    <w:p>
      <w:pPr>
        <w:pStyle w:val="BodyText"/>
        <w:tabs>
          <w:tab w:pos="4192" w:val="left" w:leader="none"/>
        </w:tabs>
        <w:spacing w:before="138"/>
        <w:ind w:right="1591"/>
        <w:jc w:val="right"/>
      </w:pPr>
      <w:r>
        <w:rPr/>
        <w:t>servidor</w:t>
      </w:r>
      <w:r>
        <w:rPr>
          <w:spacing w:val="5"/>
        </w:rPr>
        <w:t> </w:t>
      </w:r>
      <w:r>
        <w:rPr>
          <w:spacing w:val="-2"/>
        </w:rPr>
        <w:t>convidado</w:t>
      </w:r>
      <w:r>
        <w:rPr/>
        <w:tab/>
        <w:t>servidora</w:t>
      </w:r>
      <w:r>
        <w:rPr>
          <w:spacing w:val="6"/>
        </w:rPr>
        <w:t> </w:t>
      </w:r>
      <w:r>
        <w:rPr>
          <w:spacing w:val="-2"/>
        </w:rPr>
        <w:t>convidada</w:t>
      </w:r>
    </w:p>
    <w:sectPr>
      <w:type w:val="continuous"/>
      <w:pgSz w:w="11900" w:h="16840"/>
      <w:pgMar w:top="138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2025-05-19T15:45:32Z</dcterms:created>
  <dcterms:modified xsi:type="dcterms:W3CDTF">2025-05-19T15:45:32Z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