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7"/>
      </w:pPr>
    </w:p>
    <w:p>
      <w:pPr>
        <w:pStyle w:val="BodyText"/>
        <w:spacing w:line="360" w:lineRule="auto"/>
        <w:ind w:left="188" w:right="18"/>
        <w:jc w:val="both"/>
      </w:pPr>
      <w:r>
        <w:rPr/>
        <w:t>Ata da sexagésima primeira reunião ordinária do Comitê de Investimentos do Instituto de Previdência e Assistência Social do Servidor Público do Município de Petrópolis – INPAS. Aos quinze dias do mês de dezembro do ano de dois mil e dezessete, às dez horas e vinte e cinco minutos, no Auditório do Instituto de Previdência e Assistência Social do Servidor Público do Município de Petrópolis, reuniram-se os seguintes membros do Comitê de Investimentos deste Regime Próprio de Previdência Social: a)- Chefe da Divisão de Contabilidade, senhora Lucimar da Glória Gomes, Presidente eleita deste Comitê; b) Gestora Previdenciária, senhora Carla Cristina Correia Maduro Vogas Tavares, secretária deste</w:t>
      </w:r>
      <w:r>
        <w:rPr>
          <w:spacing w:val="40"/>
        </w:rPr>
        <w:t> </w:t>
      </w:r>
      <w:r>
        <w:rPr/>
        <w:t>Comitê; c)- Gestora de Investimentos, senhora Michele Schiffler Forster; d) Gestora Previdenciária, senhora</w:t>
      </w:r>
      <w:r>
        <w:rPr>
          <w:spacing w:val="-3"/>
        </w:rPr>
        <w:t> </w:t>
      </w:r>
      <w:r>
        <w:rPr/>
        <w:t>Adriana</w:t>
      </w:r>
      <w:r>
        <w:rPr>
          <w:spacing w:val="-3"/>
        </w:rPr>
        <w:t> </w:t>
      </w:r>
      <w:r>
        <w:rPr/>
        <w:t>Catarina da</w:t>
      </w:r>
      <w:r>
        <w:rPr>
          <w:spacing w:val="-3"/>
        </w:rPr>
        <w:t> </w:t>
      </w:r>
      <w:r>
        <w:rPr/>
        <w:t>Costa;</w:t>
      </w:r>
      <w:r>
        <w:rPr>
          <w:spacing w:val="-2"/>
        </w:rPr>
        <w:t> </w:t>
      </w:r>
      <w:r>
        <w:rPr/>
        <w:t>e)</w:t>
      </w:r>
      <w:r>
        <w:rPr>
          <w:spacing w:val="-3"/>
        </w:rPr>
        <w:t> </w:t>
      </w:r>
      <w:r>
        <w:rPr/>
        <w:t>Chefe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Divisão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Tesouraria,</w:t>
      </w:r>
      <w:r>
        <w:rPr>
          <w:spacing w:val="-1"/>
        </w:rPr>
        <w:t> </w:t>
      </w:r>
      <w:r>
        <w:rPr/>
        <w:t>senhora Claudia Miranda do Nascimento. Registra-se as ausências do Diretor-Presidente, Sr. Fernando Leite Fortes, e do Diretor Financeiro, Sr. Robson Carneiro da Cruz, por motivo de reunião. Com esta composição iniciou-se a referida reunião para atendimento à pauta do dia, que teve a seguinte ordem: 1- leitura da ata da última reunião do Comitê de Investimentos; 2- análise do cenário macroeconômico, bem como as expectativas de mercado; 3-análise do fluxo de caixa, considerando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obrigações previdenciárias e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mês em</w:t>
      </w:r>
      <w:r>
        <w:rPr>
          <w:spacing w:val="-2"/>
        </w:rPr>
        <w:t> </w:t>
      </w:r>
      <w:r>
        <w:rPr/>
        <w:t>curso;</w:t>
      </w:r>
      <w:r>
        <w:rPr>
          <w:spacing w:val="-2"/>
        </w:rPr>
        <w:t> </w:t>
      </w:r>
      <w:r>
        <w:rPr/>
        <w:t>4-avaliação dos investimentos que compõem o patrimônio dos diversos segmentos de aplicação; 5- proposições de investimentos/desinvestimentos; 6- assuntos gerais. A Presidente do Comitê iniciou a reunião agradecendo a presença de todos. No que se refere à ata da 60ª reunião ordinária, enviada por email para todos os membros do Comitê, não houve retificações, tendo sido integralmente aprovada. Passando para o segundo ponto de pauta, a Gestora de Investimentos, Sra. Michele Schiffler Forster, comentou que na última reunião do COPOM, realizada em 06/12/17, houve a redução da taxa selic em 0,50%, estando, no momento, em 7,0%. A próxima reunião está marcada para o dia 06 de fevereiro de 2018. Após, apresentou a variação dos índices do mês de novembro mais utilizados e/ou acompanhados por esta Autarquia, sendo: IRFM1: 0,6208; IRFM1+: -0,0848; IRFM: 0,0862; IMA B 5: 0,1027; IMA</w:t>
      </w:r>
    </w:p>
    <w:p>
      <w:pPr>
        <w:pStyle w:val="BodyText"/>
        <w:spacing w:line="360" w:lineRule="auto" w:before="1"/>
        <w:ind w:left="188" w:right="26"/>
        <w:jc w:val="both"/>
      </w:pPr>
      <w:r>
        <w:rPr/>
        <w:t>B</w:t>
      </w:r>
      <w:r>
        <w:rPr>
          <w:spacing w:val="-4"/>
        </w:rPr>
        <w:t> </w:t>
      </w:r>
      <w:r>
        <w:rPr/>
        <w:t>5+:</w:t>
      </w:r>
      <w:r>
        <w:rPr>
          <w:spacing w:val="-3"/>
        </w:rPr>
        <w:t> </w:t>
      </w:r>
      <w:r>
        <w:rPr/>
        <w:t>-1,3993;</w:t>
      </w:r>
      <w:r>
        <w:rPr>
          <w:spacing w:val="-3"/>
        </w:rPr>
        <w:t> </w:t>
      </w:r>
      <w:r>
        <w:rPr/>
        <w:t>IMA</w:t>
      </w:r>
      <w:r>
        <w:rPr>
          <w:spacing w:val="-4"/>
        </w:rPr>
        <w:t> </w:t>
      </w:r>
      <w:r>
        <w:rPr/>
        <w:t>B:</w:t>
      </w:r>
      <w:r>
        <w:rPr>
          <w:spacing w:val="-3"/>
        </w:rPr>
        <w:t> </w:t>
      </w:r>
      <w:r>
        <w:rPr/>
        <w:t>-0,7607;</w:t>
      </w:r>
      <w:r>
        <w:rPr>
          <w:spacing w:val="-3"/>
        </w:rPr>
        <w:t> </w:t>
      </w:r>
      <w:r>
        <w:rPr/>
        <w:t>IMA</w:t>
      </w:r>
      <w:r>
        <w:rPr>
          <w:spacing w:val="-2"/>
        </w:rPr>
        <w:t> </w:t>
      </w:r>
      <w:r>
        <w:rPr/>
        <w:t>Geral:</w:t>
      </w:r>
      <w:r>
        <w:rPr>
          <w:spacing w:val="-3"/>
        </w:rPr>
        <w:t> </w:t>
      </w:r>
      <w:r>
        <w:rPr/>
        <w:t>0,0036;</w:t>
      </w:r>
      <w:r>
        <w:rPr>
          <w:spacing w:val="-3"/>
        </w:rPr>
        <w:t> </w:t>
      </w:r>
      <w:r>
        <w:rPr/>
        <w:t>CDI:</w:t>
      </w:r>
      <w:r>
        <w:rPr>
          <w:spacing w:val="-3"/>
        </w:rPr>
        <w:t> </w:t>
      </w:r>
      <w:r>
        <w:rPr/>
        <w:t>0,5700.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rentabilidade</w:t>
      </w:r>
      <w:r>
        <w:rPr>
          <w:spacing w:val="-1"/>
        </w:rPr>
        <w:t> </w:t>
      </w:r>
      <w:r>
        <w:rPr/>
        <w:t>acumulada –</w:t>
      </w:r>
      <w:r>
        <w:rPr>
          <w:spacing w:val="22"/>
        </w:rPr>
        <w:t> </w:t>
      </w:r>
      <w:r>
        <w:rPr/>
        <w:t>2017,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melhor</w:t>
      </w:r>
      <w:r>
        <w:rPr>
          <w:spacing w:val="29"/>
        </w:rPr>
        <w:t> </w:t>
      </w:r>
      <w:r>
        <w:rPr/>
        <w:t>desempenho</w:t>
      </w:r>
      <w:r>
        <w:rPr>
          <w:spacing w:val="29"/>
        </w:rPr>
        <w:t> </w:t>
      </w:r>
      <w:r>
        <w:rPr/>
        <w:t>foi</w:t>
      </w:r>
      <w:r>
        <w:rPr>
          <w:spacing w:val="26"/>
        </w:rPr>
        <w:t> </w:t>
      </w:r>
      <w:r>
        <w:rPr/>
        <w:t>do</w:t>
      </w:r>
      <w:r>
        <w:rPr>
          <w:spacing w:val="25"/>
        </w:rPr>
        <w:t> </w:t>
      </w:r>
      <w:r>
        <w:rPr/>
        <w:t>IBOVESPA,</w:t>
      </w:r>
      <w:r>
        <w:rPr>
          <w:spacing w:val="26"/>
        </w:rPr>
        <w:t> </w:t>
      </w:r>
      <w:r>
        <w:rPr/>
        <w:t>com</w:t>
      </w:r>
      <w:r>
        <w:rPr>
          <w:spacing w:val="26"/>
        </w:rPr>
        <w:t> </w:t>
      </w:r>
      <w:r>
        <w:rPr/>
        <w:t>19,5</w:t>
      </w:r>
      <w:r>
        <w:rPr>
          <w:spacing w:val="25"/>
        </w:rPr>
        <w:t> </w:t>
      </w:r>
      <w:r>
        <w:rPr/>
        <w:t>e</w:t>
      </w:r>
      <w:r>
        <w:rPr>
          <w:spacing w:val="27"/>
        </w:rPr>
        <w:t> </w:t>
      </w:r>
      <w:r>
        <w:rPr/>
        <w:t>do</w:t>
      </w:r>
      <w:r>
        <w:rPr>
          <w:spacing w:val="25"/>
        </w:rPr>
        <w:t> </w:t>
      </w:r>
      <w:r>
        <w:rPr/>
        <w:t>IRFMI+,</w:t>
      </w:r>
      <w:r>
        <w:rPr>
          <w:spacing w:val="25"/>
        </w:rPr>
        <w:t> </w:t>
      </w:r>
      <w:r>
        <w:rPr/>
        <w:t>com</w:t>
      </w:r>
      <w:r>
        <w:rPr>
          <w:spacing w:val="26"/>
        </w:rPr>
        <w:t> </w:t>
      </w:r>
      <w:r>
        <w:rPr/>
        <w:t>14,9959;</w:t>
      </w:r>
      <w:r>
        <w:rPr>
          <w:spacing w:val="26"/>
        </w:rPr>
        <w:t> </w:t>
      </w:r>
      <w:r>
        <w:rPr>
          <w:spacing w:val="-10"/>
        </w:rPr>
        <w:t>o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481" w:top="1880" w:bottom="1680" w:left="1800" w:right="1080"/>
          <w:pgNumType w:start="1"/>
        </w:sectPr>
      </w:pPr>
    </w:p>
    <w:p>
      <w:pPr>
        <w:pStyle w:val="BodyText"/>
        <w:spacing w:before="177"/>
      </w:pPr>
    </w:p>
    <w:p>
      <w:pPr>
        <w:pStyle w:val="BodyText"/>
        <w:spacing w:line="360" w:lineRule="auto"/>
        <w:ind w:left="188" w:right="27"/>
        <w:jc w:val="both"/>
      </w:pPr>
      <w:r>
        <w:rPr/>
        <w:t>IRFM</w:t>
      </w:r>
      <w:r>
        <w:rPr>
          <w:spacing w:val="-1"/>
        </w:rPr>
        <w:t> </w:t>
      </w:r>
      <w:r>
        <w:rPr/>
        <w:t>teve</w:t>
      </w:r>
      <w:r>
        <w:rPr>
          <w:spacing w:val="-2"/>
        </w:rPr>
        <w:t> </w:t>
      </w:r>
      <w:r>
        <w:rPr/>
        <w:t>rendimento de</w:t>
      </w:r>
      <w:r>
        <w:rPr>
          <w:spacing w:val="-2"/>
        </w:rPr>
        <w:t> </w:t>
      </w:r>
      <w:r>
        <w:rPr/>
        <w:t>13,7818;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IMAB5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11,5916;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IRFM1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10,4943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9,34. Quanto ao câmbio, registrou que o dólar comercial teve desvalorização de 0,06% e a Bolsa de Valores fechou o mês de</w:t>
      </w:r>
      <w:r>
        <w:rPr>
          <w:spacing w:val="-2"/>
        </w:rPr>
        <w:t> </w:t>
      </w:r>
      <w:r>
        <w:rPr/>
        <w:t>outubro com uma desvalorização de 3,15%,</w:t>
      </w:r>
      <w:r>
        <w:rPr>
          <w:spacing w:val="-1"/>
        </w:rPr>
        <w:t> </w:t>
      </w:r>
      <w:r>
        <w:rPr/>
        <w:t>conforme veiculado pelo jornal Valor Econômico. Na análise do Relatório Focus de oito de dezembro do corrente ano, ressaltou que o IPCA está com expectativa de queda e a meta da taxa SELIC ficou estável em 7% no fechamento de 2017. Após, apresentou as movimentações financeiras do Instituto referentes ao mês de novembro. As aplicações, nesse mês, somaram R$ 445.000,00 e os resgates,</w:t>
      </w:r>
      <w:r>
        <w:rPr>
          <w:spacing w:val="-2"/>
        </w:rPr>
        <w:t> </w:t>
      </w:r>
      <w:r>
        <w:rPr/>
        <w:t>R$</w:t>
      </w:r>
      <w:r>
        <w:rPr>
          <w:spacing w:val="-3"/>
        </w:rPr>
        <w:t> </w:t>
      </w:r>
      <w:r>
        <w:rPr/>
        <w:t>520.127,48.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saldo</w:t>
      </w:r>
      <w:r>
        <w:rPr>
          <w:spacing w:val="-2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era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R$</w:t>
      </w:r>
      <w:r>
        <w:rPr>
          <w:spacing w:val="-2"/>
        </w:rPr>
        <w:t> </w:t>
      </w:r>
      <w:r>
        <w:rPr/>
        <w:t>735.864,59.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retorno</w:t>
      </w:r>
      <w:r>
        <w:rPr>
          <w:spacing w:val="-2"/>
        </w:rPr>
        <w:t> </w:t>
      </w:r>
      <w:r>
        <w:rPr/>
        <w:t>financeiro foi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R$ 4.021,72 e o percentual de retorno de 0,5644%. O atingimento da meta atuarial no mês foi de 73,48%. Comparando o INPC e o IPCA, o primeiro registrou um acumulado de 1,80% e o segundo, 2,49%. A senhora Michele ainda apresentou o relatório de rentabilidade e risco dos ativos que compõem a carteira do Instituto. A volatilidade apresentada em 12 meses foi a seguinte:</w:t>
      </w:r>
      <w:r>
        <w:rPr>
          <w:spacing w:val="40"/>
        </w:rPr>
        <w:t> </w:t>
      </w:r>
      <w:r>
        <w:rPr/>
        <w:t>IRFM do Banco do Brasil: 2,56%; IRFM1 da CEF: 0,47%; IRFM1 do BB: 0,47%; CDI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Banco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Brasil:</w:t>
      </w:r>
      <w:r>
        <w:rPr>
          <w:spacing w:val="-2"/>
        </w:rPr>
        <w:t> </w:t>
      </w:r>
      <w:r>
        <w:rPr/>
        <w:t>0,47%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CDI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CEF</w:t>
      </w:r>
      <w:r>
        <w:rPr>
          <w:spacing w:val="-3"/>
        </w:rPr>
        <w:t> </w:t>
      </w:r>
      <w:r>
        <w:rPr/>
        <w:t>0,46%.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fim, falou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recomendação do consultor da empresa Di Blasi Consultoria, que considerou que os fundos da família IRFM estão com taxas de juros entre 7% a 9% a.a, com pequena capacidade de ainda gerar ganhos; que os fundos da família IMA-B podem ainda apresentar algum espaço de valorização, mas com oscilações; e que os fundos CDI estão abaixo da meta atuarial. Com relação ao FASSE, o saldo final de novembro somou R$ 291.026,04, com um total de 293.144,78 de saldo anterior, R$ 3.300,00 de resgates, e R$ 1.181,26 de rendimentos. No terceiro item da pauta, houve a apresentação do fluxo de caixa pela Chefe da Tesouraria. Informou que o saldo final previsto para o mês de dezembro, na conta previdenciária, é de R$ 442.098,19, ressaltando que foi considerado um aporte de R$ 3.500.000,00 a ser feito pela Prefeitura Municipal. Na conta administrativa, o saldo final previsto para dezembro é de R$ 2.573.349,83, já considerado o recebimento dos valores da taxa de</w:t>
      </w:r>
      <w:r>
        <w:rPr>
          <w:spacing w:val="-2"/>
        </w:rPr>
        <w:t> </w:t>
      </w:r>
      <w:r>
        <w:rPr/>
        <w:t>administração em atraso. A Presidente do Comitê ressaltou a importância da transferência da taxa de administração para a conta administrativa do Instituto, por expressa disposição legal. Quanto aos investimentos e desinvestimentos, serão mantidos</w:t>
      </w:r>
      <w:r>
        <w:rPr>
          <w:spacing w:val="55"/>
        </w:rPr>
        <w:t> </w:t>
      </w:r>
      <w:r>
        <w:rPr/>
        <w:t>como</w:t>
      </w:r>
      <w:r>
        <w:rPr>
          <w:spacing w:val="56"/>
        </w:rPr>
        <w:t> </w:t>
      </w:r>
      <w:r>
        <w:rPr/>
        <w:t>estão</w:t>
      </w:r>
      <w:r>
        <w:rPr>
          <w:spacing w:val="54"/>
        </w:rPr>
        <w:t> </w:t>
      </w:r>
      <w:r>
        <w:rPr/>
        <w:t>hoje.</w:t>
      </w:r>
      <w:r>
        <w:rPr>
          <w:spacing w:val="52"/>
        </w:rPr>
        <w:t> </w:t>
      </w:r>
      <w:r>
        <w:rPr/>
        <w:t>Sem</w:t>
      </w:r>
      <w:r>
        <w:rPr>
          <w:spacing w:val="53"/>
        </w:rPr>
        <w:t> </w:t>
      </w:r>
      <w:r>
        <w:rPr/>
        <w:t>mais,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Presidente</w:t>
      </w:r>
      <w:r>
        <w:rPr>
          <w:spacing w:val="55"/>
        </w:rPr>
        <w:t> </w:t>
      </w:r>
      <w:r>
        <w:rPr/>
        <w:t>encerrou</w:t>
      </w:r>
      <w:r>
        <w:rPr>
          <w:spacing w:val="56"/>
        </w:rPr>
        <w:t> </w:t>
      </w:r>
      <w:r>
        <w:rPr/>
        <w:t>a</w:t>
      </w:r>
      <w:r>
        <w:rPr>
          <w:spacing w:val="52"/>
        </w:rPr>
        <w:t> </w:t>
      </w:r>
      <w:r>
        <w:rPr/>
        <w:t>reunião</w:t>
      </w:r>
      <w:r>
        <w:rPr>
          <w:spacing w:val="56"/>
        </w:rPr>
        <w:t> </w:t>
      </w:r>
      <w:r>
        <w:rPr/>
        <w:t>às</w:t>
      </w:r>
      <w:r>
        <w:rPr>
          <w:spacing w:val="53"/>
        </w:rPr>
        <w:t> </w:t>
      </w:r>
      <w:r>
        <w:rPr/>
        <w:t>11</w:t>
      </w:r>
      <w:r>
        <w:rPr>
          <w:spacing w:val="54"/>
        </w:rPr>
        <w:t> </w:t>
      </w:r>
      <w:r>
        <w:rPr/>
        <w:t>horas</w:t>
      </w:r>
      <w:r>
        <w:rPr>
          <w:spacing w:val="53"/>
        </w:rPr>
        <w:t> </w:t>
      </w:r>
      <w:r>
        <w:rPr/>
        <w:t>e</w:t>
      </w:r>
      <w:r>
        <w:rPr>
          <w:spacing w:val="54"/>
        </w:rPr>
        <w:t> </w:t>
      </w:r>
      <w:r>
        <w:rPr>
          <w:spacing w:val="-5"/>
        </w:rPr>
        <w:t>05</w:t>
      </w:r>
    </w:p>
    <w:p>
      <w:pPr>
        <w:pStyle w:val="BodyText"/>
        <w:spacing w:after="0" w:line="360" w:lineRule="auto"/>
        <w:jc w:val="both"/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177"/>
      </w:pPr>
    </w:p>
    <w:p>
      <w:pPr>
        <w:pStyle w:val="BodyText"/>
        <w:spacing w:line="360" w:lineRule="auto"/>
        <w:ind w:left="188" w:right="25"/>
        <w:jc w:val="both"/>
      </w:pPr>
      <w:r>
        <w:rPr/>
        <w:t>minutos, e a prese</w:t>
      </w:r>
      <w:bookmarkStart w:name="Instituto de Previdência e Assistência S" w:id="1"/>
      <w:bookmarkEnd w:id="1"/>
      <w:r>
        <w:rPr/>
        <w:t>nt</w:t>
      </w:r>
      <w:r>
        <w:rPr/>
        <w:t>e Ata segue lavrada por mim, Carla Maduro Vogas Tavares, Secretária deste Comitê, que a submeterei à aprovação dos demais membros e devidamente colherei suas </w:t>
      </w:r>
      <w:r>
        <w:rPr>
          <w:spacing w:val="-2"/>
        </w:rPr>
        <w:t>assinaturas.</w:t>
      </w:r>
    </w:p>
    <w:p>
      <w:pPr>
        <w:pStyle w:val="BodyText"/>
        <w:spacing w:before="15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line="360" w:lineRule="auto" w:before="90"/>
        <w:ind w:left="574" w:right="38" w:firstLine="566"/>
      </w:pPr>
      <w:r>
        <w:rPr/>
        <w:t>Lucimar Glória Gomes Chefe</w:t>
      </w:r>
      <w:r>
        <w:rPr>
          <w:spacing w:val="-12"/>
        </w:rPr>
        <w:t> </w:t>
      </w:r>
      <w:r>
        <w:rPr/>
        <w:t>da</w:t>
      </w:r>
      <w:r>
        <w:rPr>
          <w:spacing w:val="-10"/>
        </w:rPr>
        <w:t> </w:t>
      </w:r>
      <w:r>
        <w:rPr/>
        <w:t>Divisão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Contabilidade</w:t>
      </w:r>
    </w:p>
    <w:p>
      <w:pPr>
        <w:pStyle w:val="BodyText"/>
        <w:ind w:left="1752"/>
      </w:pPr>
      <w:r>
        <w:rPr>
          <w:spacing w:val="-2"/>
        </w:rPr>
        <w:t>Presidente</w:t>
      </w:r>
    </w:p>
    <w:p>
      <w:pPr>
        <w:pStyle w:val="BodyText"/>
        <w:spacing w:line="360" w:lineRule="auto" w:before="90"/>
        <w:ind w:left="907" w:right="1091" w:hanging="334"/>
      </w:pPr>
      <w:r>
        <w:rPr/>
        <w:br w:type="column"/>
      </w:r>
      <w:r>
        <w:rPr/>
        <w:t>Robson</w:t>
      </w:r>
      <w:r>
        <w:rPr>
          <w:spacing w:val="-13"/>
        </w:rPr>
        <w:t> </w:t>
      </w:r>
      <w:r>
        <w:rPr/>
        <w:t>Carneiro</w:t>
      </w:r>
      <w:r>
        <w:rPr>
          <w:spacing w:val="-12"/>
        </w:rPr>
        <w:t> </w:t>
      </w:r>
      <w:r>
        <w:rPr/>
        <w:t>da</w:t>
      </w:r>
      <w:r>
        <w:rPr>
          <w:spacing w:val="-14"/>
        </w:rPr>
        <w:t> </w:t>
      </w:r>
      <w:r>
        <w:rPr/>
        <w:t>Cruz Diretor Financeiro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968" w:space="1280"/>
            <w:col w:w="4112"/>
          </w:cols>
        </w:sectPr>
      </w:pPr>
    </w:p>
    <w:p>
      <w:pPr>
        <w:pStyle w:val="BodyText"/>
        <w:spacing w:before="20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line="360" w:lineRule="auto" w:before="90"/>
        <w:ind w:left="734" w:right="38" w:hanging="44"/>
      </w:pPr>
      <w:r>
        <w:rPr/>
        <w:t>Claudia</w:t>
      </w:r>
      <w:r>
        <w:rPr>
          <w:spacing w:val="-14"/>
        </w:rPr>
        <w:t> </w:t>
      </w:r>
      <w:r>
        <w:rPr/>
        <w:t>Miranda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Nascimento Chefe</w:t>
      </w:r>
      <w:r>
        <w:rPr>
          <w:spacing w:val="-1"/>
        </w:rPr>
        <w:t> </w:t>
      </w:r>
      <w:r>
        <w:rPr/>
        <w:t>da Divisão de</w:t>
      </w:r>
      <w:r>
        <w:rPr>
          <w:spacing w:val="-1"/>
        </w:rPr>
        <w:t> </w:t>
      </w:r>
      <w:r>
        <w:rPr/>
        <w:t>Tesouraria</w:t>
      </w:r>
    </w:p>
    <w:p>
      <w:pPr>
        <w:pStyle w:val="BodyText"/>
        <w:spacing w:line="360" w:lineRule="auto" w:before="90"/>
        <w:ind w:left="708" w:right="1099" w:hanging="18"/>
      </w:pPr>
      <w:r>
        <w:rPr/>
        <w:br w:type="column"/>
      </w:r>
      <w:r>
        <w:rPr/>
        <w:t>Michele</w:t>
      </w:r>
      <w:r>
        <w:rPr>
          <w:spacing w:val="-1"/>
        </w:rPr>
        <w:t> </w:t>
      </w:r>
      <w:r>
        <w:rPr/>
        <w:t>Schifller Forster Gestora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Investimentos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851" w:space="1267"/>
            <w:col w:w="4242"/>
          </w:cols>
        </w:sect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line="360" w:lineRule="auto" w:before="90"/>
        <w:ind w:left="1156" w:right="38" w:hanging="172"/>
      </w:pPr>
      <w:r>
        <w:rPr/>
        <w:t>Adriana</w:t>
      </w:r>
      <w:r>
        <w:rPr>
          <w:spacing w:val="-14"/>
        </w:rPr>
        <w:t> </w:t>
      </w:r>
      <w:r>
        <w:rPr/>
        <w:t>Catarina</w:t>
      </w:r>
      <w:r>
        <w:rPr>
          <w:spacing w:val="-12"/>
        </w:rPr>
        <w:t> </w:t>
      </w:r>
      <w:r>
        <w:rPr/>
        <w:t>da</w:t>
      </w:r>
      <w:r>
        <w:rPr>
          <w:spacing w:val="-15"/>
        </w:rPr>
        <w:t> </w:t>
      </w:r>
      <w:r>
        <w:rPr/>
        <w:t>Costa Gestora Previdenciária</w:t>
      </w:r>
    </w:p>
    <w:p>
      <w:pPr>
        <w:pStyle w:val="BodyText"/>
        <w:spacing w:line="360" w:lineRule="auto" w:before="90"/>
        <w:ind w:left="650" w:right="202"/>
        <w:jc w:val="center"/>
      </w:pPr>
      <w:r>
        <w:rPr/>
        <w:br w:type="column"/>
      </w:r>
      <w:r>
        <w:rPr/>
        <w:t>Carla</w:t>
      </w:r>
      <w:r>
        <w:rPr>
          <w:spacing w:val="-8"/>
        </w:rPr>
        <w:t> </w:t>
      </w:r>
      <w:r>
        <w:rPr/>
        <w:t>Cristina</w:t>
      </w:r>
      <w:r>
        <w:rPr>
          <w:spacing w:val="-9"/>
        </w:rPr>
        <w:t> </w:t>
      </w:r>
      <w:r>
        <w:rPr/>
        <w:t>Correia</w:t>
      </w:r>
      <w:r>
        <w:rPr>
          <w:spacing w:val="-8"/>
        </w:rPr>
        <w:t> </w:t>
      </w:r>
      <w:r>
        <w:rPr/>
        <w:t>M.</w:t>
      </w:r>
      <w:r>
        <w:rPr>
          <w:spacing w:val="-9"/>
        </w:rPr>
        <w:t> </w:t>
      </w:r>
      <w:r>
        <w:rPr/>
        <w:t>V.</w:t>
      </w:r>
      <w:r>
        <w:rPr>
          <w:spacing w:val="-9"/>
        </w:rPr>
        <w:t> </w:t>
      </w:r>
      <w:r>
        <w:rPr/>
        <w:t>Tavares Gestora Previdenciária</w:t>
      </w:r>
    </w:p>
    <w:p>
      <w:pPr>
        <w:pStyle w:val="BodyText"/>
        <w:ind w:left="650" w:right="261"/>
        <w:jc w:val="center"/>
      </w:pPr>
      <w:r>
        <w:rPr>
          <w:spacing w:val="-2"/>
        </w:rPr>
        <w:t>Secretária</w:t>
      </w:r>
    </w:p>
    <w:sectPr>
      <w:type w:val="continuous"/>
      <w:pgSz w:w="12240" w:h="15840"/>
      <w:pgMar w:header="952" w:footer="1481" w:top="1880" w:bottom="1680" w:left="1800" w:right="1080"/>
      <w:cols w:num="2" w:equalWidth="0">
        <w:col w:w="3561" w:space="717"/>
        <w:col w:w="50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1652270</wp:posOffset>
              </wp:positionH>
              <wp:positionV relativeFrom="page">
                <wp:posOffset>8978490</wp:posOffset>
              </wp:positionV>
              <wp:extent cx="336359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359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47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100006pt;margin-top:706.967773pt;width:264.850pt;height:31.2pt;mso-position-horizontal-relative:page;mso-position-vertical-relative:page;z-index:-1576601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101/115 -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47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1108710</wp:posOffset>
          </wp:positionH>
          <wp:positionV relativeFrom="page">
            <wp:posOffset>604519</wp:posOffset>
          </wp:positionV>
          <wp:extent cx="1337310" cy="5041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7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2508250</wp:posOffset>
              </wp:positionH>
              <wp:positionV relativeFrom="page">
                <wp:posOffset>596096</wp:posOffset>
              </wp:positionV>
              <wp:extent cx="347726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726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5pt;margin-top:46.936718pt;width:273.8pt;height:29.25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 w:right="18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2025-05-16T19:01:15Z</dcterms:created>
  <dcterms:modified xsi:type="dcterms:W3CDTF">2025-05-16T19:01:15Z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