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0"/>
      </w:pPr>
    </w:p>
    <w:p>
      <w:pPr>
        <w:pStyle w:val="BodyText"/>
        <w:spacing w:line="367" w:lineRule="auto"/>
        <w:ind w:left="96" w:right="96"/>
        <w:jc w:val="both"/>
      </w:pPr>
      <w:r>
        <w:rPr/>
        <w:t>Ata da vigésima reunião 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/>
        <w:ind w:left="96" w:right="93"/>
        <w:jc w:val="both"/>
      </w:pPr>
      <w:r>
        <w:rPr/>
        <w:t>Aos dezesseis dias do mês de junho do ano de dois mil e quatorze, às dez horas e trinta e oito minutos, na sala de reuniões do Instituto de Previdência e Assistência Social do Servidor Público do Município de Petrópolis, reuniram-se os cinco membros do Comitê de Investimentos deste Regime Próprio de Previdência Social, conforme Decreto Municipal número mil e dez, de trinta e um de outubro de dois mil e doze, publicado no Diário Oficial do Município de Petrópolis de um</w:t>
      </w:r>
      <w:r>
        <w:rPr>
          <w:spacing w:val="40"/>
        </w:rPr>
        <w:t> </w:t>
      </w:r>
      <w:r>
        <w:rPr/>
        <w:t>de novembro de dois mil e doze, com a seguinte composição: a) Diretor-Presidente do Regime Próprio de Previdência Social - RPPS, senhor Marcus Antonio Curvelo da Silva; b) Diretor Administrativo-Financeiro do Regime Próprio de Previdência Social - RPPS, senhor Daniel Luiz Simões Campos, Presidente eleito deste Comitê; c) Chefe da Divisão de Tesouraria, senhora Adriana Catarina da Costa; d) Chefe da Divisão de Contabilidade, senhora Lucimar da Glória Gomes;</w:t>
      </w:r>
      <w:r>
        <w:rPr>
          <w:spacing w:val="40"/>
        </w:rPr>
        <w:t> </w:t>
      </w:r>
      <w:r>
        <w:rPr/>
        <w:t>e)</w:t>
      </w:r>
      <w:r>
        <w:rPr>
          <w:spacing w:val="40"/>
        </w:rPr>
        <w:t> </w:t>
      </w:r>
      <w:r>
        <w:rPr/>
        <w:t>Gestora</w:t>
      </w:r>
      <w:r>
        <w:rPr>
          <w:spacing w:val="40"/>
        </w:rPr>
        <w:t> </w:t>
      </w:r>
      <w:r>
        <w:rPr/>
        <w:t>Previdenciária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Regime</w:t>
      </w:r>
      <w:r>
        <w:rPr>
          <w:spacing w:val="4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RPPS,</w:t>
      </w:r>
      <w:r>
        <w:rPr>
          <w:spacing w:val="40"/>
        </w:rPr>
        <w:t> </w:t>
      </w:r>
      <w:r>
        <w:rPr/>
        <w:t>senhora Carla</w:t>
      </w:r>
      <w:r>
        <w:rPr>
          <w:spacing w:val="19"/>
        </w:rPr>
        <w:t> </w:t>
      </w:r>
      <w:r>
        <w:rPr/>
        <w:t>Cristina</w:t>
      </w:r>
      <w:r>
        <w:rPr>
          <w:spacing w:val="19"/>
        </w:rPr>
        <w:t> </w:t>
      </w:r>
      <w:r>
        <w:rPr/>
        <w:t>Correia</w:t>
      </w:r>
      <w:r>
        <w:rPr>
          <w:spacing w:val="23"/>
        </w:rPr>
        <w:t> </w:t>
      </w:r>
      <w:r>
        <w:rPr/>
        <w:t>Maduro</w:t>
      </w:r>
      <w:r>
        <w:rPr>
          <w:spacing w:val="20"/>
        </w:rPr>
        <w:t> </w:t>
      </w:r>
      <w:r>
        <w:rPr/>
        <w:t>Vogas</w:t>
      </w:r>
      <w:r>
        <w:rPr>
          <w:spacing w:val="26"/>
        </w:rPr>
        <w:t> </w:t>
      </w:r>
      <w:r>
        <w:rPr/>
        <w:t>Tavares,</w:t>
      </w:r>
      <w:r>
        <w:rPr>
          <w:spacing w:val="25"/>
        </w:rPr>
        <w:t> </w:t>
      </w:r>
      <w:r>
        <w:rPr/>
        <w:t>Secretária</w:t>
      </w:r>
      <w:r>
        <w:rPr>
          <w:spacing w:val="19"/>
        </w:rPr>
        <w:t> </w:t>
      </w:r>
      <w:r>
        <w:rPr/>
        <w:t>eleita</w:t>
      </w:r>
      <w:r>
        <w:rPr>
          <w:spacing w:val="19"/>
        </w:rPr>
        <w:t> </w:t>
      </w:r>
      <w:r>
        <w:rPr/>
        <w:t>deste</w:t>
      </w:r>
      <w:r>
        <w:rPr>
          <w:spacing w:val="19"/>
        </w:rPr>
        <w:t> </w:t>
      </w:r>
      <w:r>
        <w:rPr/>
        <w:t>Comitê.</w:t>
      </w:r>
      <w:r>
        <w:rPr>
          <w:spacing w:val="19"/>
        </w:rPr>
        <w:t> </w:t>
      </w:r>
      <w:r>
        <w:rPr/>
        <w:t>Presentes</w:t>
      </w:r>
      <w:r>
        <w:rPr>
          <w:spacing w:val="20"/>
        </w:rPr>
        <w:t> </w:t>
      </w:r>
      <w:r>
        <w:rPr/>
        <w:t>também a senhora Vanessa Maria Bull e o procurador em exercício, Dr. Mauro Fernando Candu, convidados a participarem da reunião por convite extensivo a todos os servidores deste Instituto, com direito à voz e sem direito a voto. Iniciou-se, com esta composição, a referida reunião para atendimento à pauta do dia, que teve a seguinte ordem: 1)- leitura da ata; 2)- análise do cenário macroeconômico, bem como as expectativas de mercado; 3)- avaliação dos investimentos que compõem o patrimônio dos diversos segmentos de aplicação; 4)- análise do fluxo de caixa, considerando as obrigações previdenciárias e administrativas para o mês em curso; 5)-</w:t>
      </w:r>
      <w:r>
        <w:rPr>
          <w:spacing w:val="40"/>
        </w:rPr>
        <w:t> </w:t>
      </w:r>
      <w:r>
        <w:rPr/>
        <w:t>apresentação de estudo sobre IDKA; 6)- análise do IMA-B para futuros investimentos; 7)- análise dos fundos apresentados pela Ourinvest; 8)- proposições de investimentos/desinvestimentos; 9)- assuntos gerais. O Presidente do Conselho iniciou a reunião solicitando a esta secretária que</w:t>
      </w:r>
      <w:r>
        <w:rPr>
          <w:spacing w:val="80"/>
        </w:rPr>
        <w:t> </w:t>
      </w:r>
      <w:r>
        <w:rPr/>
        <w:t>fizesse a leitura da ata, que foi aprovada por todos com a ressalva feita pelo Presidente deste Conselho no sentido de que fosse esclarecido que a quantia de duzentos mil reais deveria ser deslocada</w:t>
      </w:r>
      <w:r>
        <w:rPr>
          <w:spacing w:val="58"/>
        </w:rPr>
        <w:t> </w:t>
      </w:r>
      <w:r>
        <w:rPr/>
        <w:t>da</w:t>
      </w:r>
      <w:r>
        <w:rPr>
          <w:spacing w:val="61"/>
        </w:rPr>
        <w:t> </w:t>
      </w:r>
      <w:r>
        <w:rPr/>
        <w:t>conta</w:t>
      </w:r>
      <w:r>
        <w:rPr>
          <w:spacing w:val="58"/>
        </w:rPr>
        <w:t> </w:t>
      </w:r>
      <w:r>
        <w:rPr/>
        <w:t>administrativa</w:t>
      </w:r>
      <w:r>
        <w:rPr>
          <w:spacing w:val="61"/>
        </w:rPr>
        <w:t> </w:t>
      </w:r>
      <w:r>
        <w:rPr/>
        <w:t>para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conta</w:t>
      </w:r>
      <w:r>
        <w:rPr>
          <w:spacing w:val="63"/>
        </w:rPr>
        <w:t> </w:t>
      </w:r>
      <w:r>
        <w:rPr/>
        <w:t>previdenciária</w:t>
      </w:r>
      <w:r>
        <w:rPr>
          <w:spacing w:val="61"/>
        </w:rPr>
        <w:t> </w:t>
      </w:r>
      <w:r>
        <w:rPr/>
        <w:t>para</w:t>
      </w:r>
      <w:r>
        <w:rPr>
          <w:spacing w:val="58"/>
        </w:rPr>
        <w:t> </w:t>
      </w:r>
      <w:r>
        <w:rPr/>
        <w:t>que,</w:t>
      </w:r>
      <w:r>
        <w:rPr>
          <w:spacing w:val="61"/>
        </w:rPr>
        <w:t> </w:t>
      </w:r>
      <w:r>
        <w:rPr/>
        <w:t>então,</w:t>
      </w:r>
      <w:r>
        <w:rPr>
          <w:spacing w:val="63"/>
        </w:rPr>
        <w:t> </w:t>
      </w:r>
      <w:r>
        <w:rPr/>
        <w:t>fosse</w:t>
      </w:r>
      <w:r>
        <w:rPr>
          <w:spacing w:val="61"/>
        </w:rPr>
        <w:t> </w:t>
      </w:r>
      <w:r>
        <w:rPr/>
        <w:t>feita</w:t>
      </w:r>
      <w:r>
        <w:rPr>
          <w:spacing w:val="63"/>
        </w:rPr>
        <w:t> </w:t>
      </w:r>
      <w:r>
        <w:rPr/>
        <w:t>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4"/>
        <w:jc w:val="both"/>
      </w:pPr>
      <w:r>
        <w:rPr/>
        <w:t>aplicação no Fundo BB Ações Alocação. Passando ao segundo item da pauta, o Presidente do Conselho procedeu à leitura do “Panorama – maio/2014” editado pela empresa de Consultoria Crédito e Mercado. Nele registra-se, resumidamente, que “o IMA-Geral apresentou retorno</w:t>
      </w:r>
      <w:r>
        <w:rPr>
          <w:spacing w:val="40"/>
        </w:rPr>
        <w:t> </w:t>
      </w:r>
      <w:r>
        <w:rPr/>
        <w:t>positivo de 2,51% em maio; que o grande destaque, mais uma vez, foi a performance do IMA-B, que reflete a carteira indexada ao IPCA, apresentando valorização de 4,26%; que o IMA-B5 valorizou 1,46% e que o IMA-B5+ valorizou 6,18%”.</w:t>
      </w:r>
      <w:r>
        <w:rPr>
          <w:spacing w:val="40"/>
        </w:rPr>
        <w:t> </w:t>
      </w:r>
      <w:r>
        <w:rPr/>
        <w:t>Neste relatório há a recomendação de “assumir um pouco mais de risco na renda fixa, com gradual redução das posições em CDI e IRFM1, e migração dos recursos para o IMA-B ou IMA-Geral”. Nesse contexto, o Presidente do Conselho</w:t>
      </w:r>
      <w:r>
        <w:rPr>
          <w:spacing w:val="18"/>
        </w:rPr>
        <w:t> </w:t>
      </w:r>
      <w:r>
        <w:rPr/>
        <w:t>esclarece</w:t>
      </w:r>
      <w:r>
        <w:rPr>
          <w:spacing w:val="17"/>
        </w:rPr>
        <w:t> </w:t>
      </w:r>
      <w:r>
        <w:rPr/>
        <w:t>que</w:t>
      </w:r>
      <w:r>
        <w:rPr>
          <w:spacing w:val="20"/>
        </w:rPr>
        <w:t> </w:t>
      </w:r>
      <w:r>
        <w:rPr/>
        <w:t>este</w:t>
      </w:r>
      <w:r>
        <w:rPr>
          <w:spacing w:val="17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já</w:t>
      </w:r>
      <w:r>
        <w:rPr>
          <w:spacing w:val="17"/>
        </w:rPr>
        <w:t> </w:t>
      </w:r>
      <w:r>
        <w:rPr/>
        <w:t>está</w:t>
      </w:r>
      <w:r>
        <w:rPr>
          <w:spacing w:val="17"/>
        </w:rPr>
        <w:t> </w:t>
      </w:r>
      <w:r>
        <w:rPr/>
        <w:t>fazendo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ora</w:t>
      </w:r>
      <w:r>
        <w:rPr>
          <w:spacing w:val="20"/>
        </w:rPr>
        <w:t> </w:t>
      </w:r>
      <w:r>
        <w:rPr/>
        <w:t>está</w:t>
      </w:r>
      <w:r>
        <w:rPr>
          <w:spacing w:val="17"/>
        </w:rPr>
        <w:t> </w:t>
      </w:r>
      <w:r>
        <w:rPr/>
        <w:t>sendo</w:t>
      </w:r>
      <w:r>
        <w:rPr>
          <w:spacing w:val="21"/>
        </w:rPr>
        <w:t> </w:t>
      </w:r>
      <w:r>
        <w:rPr/>
        <w:t>sugerido.</w:t>
      </w:r>
      <w:r>
        <w:rPr>
          <w:spacing w:val="19"/>
        </w:rPr>
        <w:t> </w:t>
      </w:r>
      <w:r>
        <w:rPr/>
        <w:t>Em</w:t>
      </w:r>
      <w:r>
        <w:rPr>
          <w:spacing w:val="16"/>
        </w:rPr>
        <w:t> </w:t>
      </w:r>
      <w:r>
        <w:rPr/>
        <w:t>seguida, o Sr. Presidente</w:t>
      </w:r>
      <w:r>
        <w:rPr>
          <w:spacing w:val="80"/>
        </w:rPr>
        <w:t> </w:t>
      </w:r>
      <w:r>
        <w:rPr/>
        <w:t>fez a leitura</w:t>
      </w:r>
      <w:r>
        <w:rPr>
          <w:spacing w:val="80"/>
        </w:rPr>
        <w:t> </w:t>
      </w:r>
      <w:r>
        <w:rPr/>
        <w:t>de um artigo do Jornal “O Globo” do dia 15 de novembro do corrente ano que trouxe as perspectivas para o ano de 2015. Em resumo, tal artigo prevê</w:t>
      </w:r>
      <w:r>
        <w:rPr>
          <w:spacing w:val="40"/>
        </w:rPr>
        <w:t> </w:t>
      </w:r>
      <w:r>
        <w:rPr/>
        <w:t>a alta de juros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ainda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independentemente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quem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eleito,</w:t>
      </w:r>
      <w:r>
        <w:rPr>
          <w:spacing w:val="40"/>
        </w:rPr>
        <w:t> </w:t>
      </w:r>
      <w:r>
        <w:rPr/>
        <w:t>2015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ajustes.</w:t>
      </w:r>
      <w:r>
        <w:rPr>
          <w:spacing w:val="40"/>
        </w:rPr>
        <w:t> </w:t>
      </w:r>
      <w:r>
        <w:rPr/>
        <w:t>Em relação a esse artigo, o Presidente do INPAS, Sr. Marcus Curvelo ressaltou que os cenários</w:t>
      </w:r>
      <w:r>
        <w:rPr>
          <w:spacing w:val="80"/>
        </w:rPr>
        <w:t> </w:t>
      </w:r>
      <w:r>
        <w:rPr/>
        <w:t>mudam e que, para cada cenário, é possível que surjam posicionamentos diferentes, razão pela</w:t>
      </w:r>
      <w:r>
        <w:rPr>
          <w:spacing w:val="80"/>
        </w:rPr>
        <w:t> </w:t>
      </w:r>
      <w:r>
        <w:rPr/>
        <w:t>qual</w:t>
      </w:r>
      <w:r>
        <w:rPr>
          <w:spacing w:val="40"/>
        </w:rPr>
        <w:t> </w:t>
      </w:r>
      <w:r>
        <w:rPr/>
        <w:t>sugere</w:t>
      </w:r>
      <w:r>
        <w:rPr>
          <w:spacing w:val="40"/>
        </w:rPr>
        <w:t> </w:t>
      </w:r>
      <w:r>
        <w:rPr/>
        <w:t>cuidado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essas</w:t>
      </w:r>
      <w:r>
        <w:rPr>
          <w:spacing w:val="40"/>
        </w:rPr>
        <w:t> </w:t>
      </w:r>
      <w:r>
        <w:rPr/>
        <w:t>análises,</w:t>
      </w:r>
      <w:r>
        <w:rPr>
          <w:spacing w:val="40"/>
        </w:rPr>
        <w:t> </w:t>
      </w:r>
      <w:r>
        <w:rPr/>
        <w:t>principalmente</w:t>
      </w:r>
      <w:r>
        <w:rPr>
          <w:spacing w:val="40"/>
        </w:rPr>
        <w:t> </w:t>
      </w:r>
      <w:r>
        <w:rPr/>
        <w:t>porque</w:t>
      </w:r>
      <w:r>
        <w:rPr>
          <w:spacing w:val="40"/>
        </w:rPr>
        <w:t> </w:t>
      </w:r>
      <w:r>
        <w:rPr/>
        <w:t>poderá</w:t>
      </w:r>
      <w:r>
        <w:rPr>
          <w:spacing w:val="40"/>
        </w:rPr>
        <w:t> </w:t>
      </w:r>
      <w:r>
        <w:rPr/>
        <w:t>haver</w:t>
      </w:r>
      <w:r>
        <w:rPr>
          <w:spacing w:val="40"/>
        </w:rPr>
        <w:t> </w:t>
      </w:r>
      <w:r>
        <w:rPr/>
        <w:t>conotações políticas. Concluiu pedindo cautela nas afirmações de que um cenário está cristalizado a médio e longo prazo, principalmente num país que não tem planejamento a médio e longo prazo. Frisou também que este Comitê de Investimentos não é formado, em sua maioria, por pessoas ligadas à área da economia, o que dificulta muito o trabalho a ser realizado na área de análise de micro e macro economia. No terceiro item, que trata da avaliação dos investimentos, o Presidente deste Comitê informa que estamos procurando diversificar com investimentos em DI, IRFM1, IMA-B5</w:t>
      </w:r>
      <w:r>
        <w:rPr>
          <w:spacing w:val="80"/>
        </w:rPr>
        <w:t> </w:t>
      </w:r>
      <w:r>
        <w:rPr/>
        <w:t>e também com uma pequena parcela em renda variável. A Conselheira Adriana pede a palavra e informa que o repasse total que recebemos</w:t>
      </w:r>
      <w:r>
        <w:rPr>
          <w:spacing w:val="13"/>
        </w:rPr>
        <w:t> </w:t>
      </w:r>
      <w:r>
        <w:rPr/>
        <w:t>neste</w:t>
      </w:r>
      <w:r>
        <w:rPr>
          <w:spacing w:val="12"/>
        </w:rPr>
        <w:t> </w:t>
      </w:r>
      <w:r>
        <w:rPr/>
        <w:t>mês foi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R$ 7.102.240,57 (sete milhões, cento</w:t>
      </w:r>
      <w:r>
        <w:rPr>
          <w:spacing w:val="80"/>
        </w:rPr>
        <w:t> </w:t>
      </w:r>
      <w:r>
        <w:rPr/>
        <w:t>e dois mil, duzentos e quarenta reais e cinqüenta e sete centavos) e que aplicou essa quantia em IRFM1</w:t>
      </w:r>
      <w:r>
        <w:rPr>
          <w:spacing w:val="36"/>
        </w:rPr>
        <w:t> </w:t>
      </w:r>
      <w:r>
        <w:rPr/>
        <w:t>até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o</w:t>
      </w:r>
      <w:r>
        <w:rPr>
          <w:spacing w:val="40"/>
        </w:rPr>
        <w:t> </w:t>
      </w:r>
      <w:r>
        <w:rPr/>
        <w:t>Comitê</w:t>
      </w:r>
      <w:r>
        <w:rPr>
          <w:spacing w:val="38"/>
        </w:rPr>
        <w:t> </w:t>
      </w:r>
      <w:r>
        <w:rPr/>
        <w:t>pudesse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reunir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/>
        <w:t>decidir</w:t>
      </w:r>
      <w:r>
        <w:rPr>
          <w:spacing w:val="38"/>
        </w:rPr>
        <w:t> </w:t>
      </w:r>
      <w:r>
        <w:rPr/>
        <w:t>onde</w:t>
      </w:r>
      <w:r>
        <w:rPr>
          <w:spacing w:val="38"/>
        </w:rPr>
        <w:t> </w:t>
      </w:r>
      <w:r>
        <w:rPr/>
        <w:t>aplicar.</w:t>
      </w:r>
      <w:r>
        <w:rPr>
          <w:spacing w:val="38"/>
        </w:rPr>
        <w:t> </w:t>
      </w:r>
      <w:r>
        <w:rPr/>
        <w:t>Esclareceu</w:t>
      </w:r>
      <w:r>
        <w:rPr>
          <w:spacing w:val="40"/>
        </w:rPr>
        <w:t> </w:t>
      </w:r>
      <w:r>
        <w:rPr/>
        <w:t>que</w:t>
      </w:r>
      <w:r>
        <w:rPr>
          <w:spacing w:val="38"/>
        </w:rPr>
        <w:t> </w:t>
      </w:r>
      <w:r>
        <w:rPr/>
        <w:t>hoje</w:t>
      </w:r>
      <w:r>
        <w:rPr>
          <w:spacing w:val="38"/>
        </w:rPr>
        <w:t> </w:t>
      </w:r>
      <w:r>
        <w:rPr/>
        <w:t>temos 87% em IRFM1, 1% no Fundo BB Ações Alocação, 2% em IMA-B5 e 10% em DI. Sugere aumentar o percentual em DI para 20%, sendo 10% no Banco do Brasil e 10% na CEF, e também sugere aumentar um pouco mais a aplicação em IMA-B5. Antes de ser tomada a decisão, o Presidente do Conselho sugeriu que fosse analisado o item 6 da pauta, que é justamente a análise</w:t>
      </w:r>
      <w:r>
        <w:rPr>
          <w:spacing w:val="40"/>
        </w:rPr>
        <w:t> </w:t>
      </w:r>
      <w:r>
        <w:rPr/>
        <w:t>do IMA-B, o que foi</w:t>
      </w:r>
      <w:r>
        <w:rPr>
          <w:spacing w:val="31"/>
        </w:rPr>
        <w:t> </w:t>
      </w:r>
      <w:r>
        <w:rPr/>
        <w:t>aceito por todos.</w:t>
      </w:r>
      <w:r>
        <w:rPr>
          <w:spacing w:val="30"/>
        </w:rPr>
        <w:t> </w:t>
      </w:r>
      <w:r>
        <w:rPr/>
        <w:t>Sra.</w:t>
      </w:r>
      <w:r>
        <w:rPr>
          <w:spacing w:val="33"/>
        </w:rPr>
        <w:t> </w:t>
      </w:r>
      <w:r>
        <w:rPr/>
        <w:t>Adriana inicia</w:t>
      </w:r>
      <w:r>
        <w:rPr>
          <w:spacing w:val="31"/>
        </w:rPr>
        <w:t> </w:t>
      </w:r>
      <w:r>
        <w:rPr/>
        <w:t>a discussão dizendo que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IMA-B é mais</w:t>
      </w:r>
      <w:r>
        <w:rPr>
          <w:spacing w:val="40"/>
        </w:rPr>
        <w:t> </w:t>
      </w:r>
      <w:r>
        <w:rPr/>
        <w:t>volátil</w:t>
      </w:r>
      <w:r>
        <w:rPr>
          <w:spacing w:val="40"/>
        </w:rPr>
        <w:t> </w:t>
      </w:r>
      <w:r>
        <w:rPr/>
        <w:t>porque é calculado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média,</w:t>
      </w:r>
      <w:r>
        <w:rPr>
          <w:spacing w:val="40"/>
        </w:rPr>
        <w:t> </w:t>
      </w:r>
      <w:r>
        <w:rPr/>
        <w:t>sendo que o</w:t>
      </w:r>
      <w:r>
        <w:rPr>
          <w:spacing w:val="40"/>
        </w:rPr>
        <w:t> </w:t>
      </w:r>
      <w:r>
        <w:rPr/>
        <w:t>IMA-B5+</w:t>
      </w:r>
      <w:r>
        <w:rPr>
          <w:spacing w:val="40"/>
        </w:rPr>
        <w:t> </w:t>
      </w:r>
      <w:r>
        <w:rPr/>
        <w:t>é ainda mais volátil. Sr. Marcus</w:t>
      </w:r>
      <w:r>
        <w:rPr>
          <w:spacing w:val="29"/>
        </w:rPr>
        <w:t> </w:t>
      </w:r>
      <w:r>
        <w:rPr/>
        <w:t>Curvelo</w:t>
      </w:r>
      <w:r>
        <w:rPr>
          <w:spacing w:val="29"/>
        </w:rPr>
        <w:t> </w:t>
      </w:r>
      <w:r>
        <w:rPr/>
        <w:t>concorda</w:t>
      </w:r>
      <w:r>
        <w:rPr>
          <w:spacing w:val="27"/>
        </w:rPr>
        <w:t> </w:t>
      </w:r>
      <w:r>
        <w:rPr/>
        <w:t>com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proposta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Adriana</w:t>
      </w:r>
      <w:r>
        <w:rPr>
          <w:spacing w:val="30"/>
        </w:rPr>
        <w:t> </w:t>
      </w:r>
      <w:r>
        <w:rPr/>
        <w:t>em</w:t>
      </w:r>
      <w:r>
        <w:rPr>
          <w:spacing w:val="29"/>
        </w:rPr>
        <w:t> </w:t>
      </w:r>
      <w:r>
        <w:rPr/>
        <w:t>ajustar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IMA-B5</w:t>
      </w:r>
      <w:r>
        <w:rPr>
          <w:spacing w:val="29"/>
        </w:rPr>
        <w:t> </w:t>
      </w:r>
      <w:r>
        <w:rPr/>
        <w:t>num</w:t>
      </w:r>
      <w:r>
        <w:rPr>
          <w:spacing w:val="26"/>
        </w:rPr>
        <w:t> </w:t>
      </w:r>
      <w:r>
        <w:rPr/>
        <w:t>percentual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3"/>
        <w:ind w:left="96" w:right="92"/>
        <w:jc w:val="both"/>
      </w:pPr>
      <w:r>
        <w:rPr/>
        <w:t>5% das aplicações, de ajustar o DI num percentual de 20%, sendo 10% em cada instituição financeira. Também propõe aplicar R$ 200.000,00 (duzentos mil reais) no IMA-B para aproveitarmos o preço desse título no mercado, pois acredita que a inflação irá romper a meta e</w:t>
      </w:r>
      <w:r>
        <w:rPr>
          <w:spacing w:val="80"/>
        </w:rPr>
        <w:t> </w:t>
      </w:r>
      <w:r>
        <w:rPr/>
        <w:t>que o IMA tenderá a se valorizar. Enfatizou que podemos fazer esses investimentos em razão de termos muito “hedge” em IRFM1 e em DI. Os membros do Conselho aprovaram, por</w:t>
      </w:r>
      <w:r>
        <w:rPr>
          <w:spacing w:val="40"/>
        </w:rPr>
        <w:t> </w:t>
      </w:r>
      <w:r>
        <w:rPr/>
        <w:t>unanimidade. Assim, resumidamente, o Conselho aprovou que : a)- R$ 200.000,00 (duzentos mil reais) serão transferidos do IRFM1 da conta CEF nº 89-4 e aplicados no IMA-B na conta CEF nº 154-8; b)- será feito um aporte de 2% para o IMA-B5, sendo para isso transferida a quantia da conta</w:t>
      </w:r>
      <w:r>
        <w:rPr>
          <w:spacing w:val="40"/>
        </w:rPr>
        <w:t> </w:t>
      </w:r>
      <w:r>
        <w:rPr/>
        <w:t>CEF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89-4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CEF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154-8;</w:t>
      </w:r>
      <w:r>
        <w:rPr>
          <w:spacing w:val="40"/>
        </w:rPr>
        <w:t> </w:t>
      </w:r>
      <w:r>
        <w:rPr/>
        <w:t>c)-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transferido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percentual correspondente</w:t>
      </w:r>
      <w:r>
        <w:rPr>
          <w:spacing w:val="40"/>
        </w:rPr>
        <w:t> </w:t>
      </w:r>
      <w:r>
        <w:rPr/>
        <w:t>para completar 10% no DI da CEF, sendo para isso transferida a quantia da conta CEF nº 89-4 para a conta CEF nº 112-2; d)- que será transferido o percentual correspondente para completar 10% no</w:t>
      </w:r>
      <w:r>
        <w:rPr>
          <w:spacing w:val="37"/>
        </w:rPr>
        <w:t> </w:t>
      </w:r>
      <w:r>
        <w:rPr/>
        <w:t>DI do Banco do Brasil, sendo para isso transferida a quantia do</w:t>
      </w:r>
      <w:r>
        <w:rPr>
          <w:spacing w:val="37"/>
        </w:rPr>
        <w:t> </w:t>
      </w:r>
      <w:r>
        <w:rPr/>
        <w:t>IRFM1</w:t>
      </w:r>
      <w:r>
        <w:rPr>
          <w:spacing w:val="37"/>
        </w:rPr>
        <w:t> </w:t>
      </w:r>
      <w:r>
        <w:rPr/>
        <w:t>da conta BB nº</w:t>
      </w:r>
      <w:r>
        <w:rPr>
          <w:spacing w:val="40"/>
        </w:rPr>
        <w:t> </w:t>
      </w:r>
      <w:r>
        <w:rPr/>
        <w:t>69-7 para</w:t>
      </w:r>
      <w:r>
        <w:rPr>
          <w:spacing w:val="37"/>
        </w:rPr>
        <w:t> </w:t>
      </w:r>
      <w:r>
        <w:rPr/>
        <w:t>o DI dessa</w:t>
      </w:r>
      <w:r>
        <w:rPr>
          <w:spacing w:val="37"/>
        </w:rPr>
        <w:t> </w:t>
      </w:r>
      <w:r>
        <w:rPr/>
        <w:t>mesma conta BB nº</w:t>
      </w:r>
      <w:r>
        <w:rPr>
          <w:spacing w:val="38"/>
        </w:rPr>
        <w:t> </w:t>
      </w:r>
      <w:r>
        <w:rPr/>
        <w:t>69-7. O Presidente do Comitê retorna, então, para o item 4 da pauta e informa que os nossos recursos comportam com folga a folha de pagamento deste mês. O Sr. Marcus Curvelo ressalta que a folha de pagamento do mês de julho será “pesada”, pois além do adiantamento da primeira parcela do décimo-terceiro salário, também haverá o reajuste dos vencimentos dos servidores que, extraoficialmente, poderá chegar a 8%. Nesse sentido, enfatizou que devemos ficar atentos às movimentações, pois somente no final do ano teremos o repasse do dinheiro referente às contribuições sobre o décimo-terceiro salário. A seguir, a Sra. Adriana passou a apresentar o estudo sobre o Índice de Duração Constante</w:t>
      </w:r>
      <w:r>
        <w:rPr>
          <w:spacing w:val="40"/>
        </w:rPr>
        <w:t> </w:t>
      </w:r>
      <w:r>
        <w:rPr/>
        <w:t>ANBIMA-</w:t>
      </w:r>
      <w:r>
        <w:rPr>
          <w:spacing w:val="40"/>
        </w:rPr>
        <w:t> </w:t>
      </w:r>
      <w:r>
        <w:rPr/>
        <w:t>“IDKA”, o qual foi apresentado por escrito a todos os membros do Comitê . Em resumo,</w:t>
      </w:r>
      <w:r>
        <w:rPr>
          <w:spacing w:val="40"/>
        </w:rPr>
        <w:t> </w:t>
      </w:r>
      <w:r>
        <w:rPr/>
        <w:t>explicou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IDKA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conjunto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índices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medem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comportamento</w:t>
      </w:r>
      <w:r>
        <w:rPr>
          <w:spacing w:val="40"/>
        </w:rPr>
        <w:t> </w:t>
      </w:r>
      <w:r>
        <w:rPr/>
        <w:t>de carteiras sintéticas de títulos públicos federais com prazo constante e que realizando um comparativo entre o IRFM1 e o segmento prefixado do IDKA nos últimos doze meses, considerando o dia 12 de junho do corrente ano, foi possível concluir que o IDKA PRÉ 1A tem rendimento superior ao IRFM1, isto é, o IRFM1 teve variação de 9,6198, enquanto o IDKA 1 A teve</w:t>
      </w:r>
      <w:r>
        <w:rPr>
          <w:spacing w:val="40"/>
        </w:rPr>
        <w:t> </w:t>
      </w:r>
      <w:r>
        <w:rPr/>
        <w:t>variação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9,9125.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fim,</w:t>
      </w:r>
      <w:r>
        <w:rPr>
          <w:spacing w:val="40"/>
        </w:rPr>
        <w:t> </w:t>
      </w:r>
      <w:r>
        <w:rPr/>
        <w:t>informou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fundos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buscam</w:t>
      </w:r>
      <w:r>
        <w:rPr>
          <w:spacing w:val="40"/>
        </w:rPr>
        <w:t> </w:t>
      </w:r>
      <w:r>
        <w:rPr/>
        <w:t>alcançar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IDKA, ofertados</w:t>
      </w:r>
      <w:r>
        <w:rPr>
          <w:spacing w:val="23"/>
        </w:rPr>
        <w:t> </w:t>
      </w:r>
      <w:r>
        <w:rPr/>
        <w:t>pelo</w:t>
      </w:r>
      <w:r>
        <w:rPr>
          <w:spacing w:val="23"/>
        </w:rPr>
        <w:t> </w:t>
      </w:r>
      <w:r>
        <w:rPr/>
        <w:t>Banco</w:t>
      </w:r>
      <w:r>
        <w:rPr>
          <w:spacing w:val="23"/>
        </w:rPr>
        <w:t> </w:t>
      </w:r>
      <w:r>
        <w:rPr/>
        <w:t>do</w:t>
      </w:r>
      <w:r>
        <w:rPr>
          <w:spacing w:val="26"/>
        </w:rPr>
        <w:t> </w:t>
      </w:r>
      <w:r>
        <w:rPr/>
        <w:t>Brasil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Caixa</w:t>
      </w:r>
      <w:r>
        <w:rPr>
          <w:spacing w:val="22"/>
        </w:rPr>
        <w:t> </w:t>
      </w:r>
      <w:r>
        <w:rPr/>
        <w:t>Econômica</w:t>
      </w:r>
      <w:r>
        <w:rPr>
          <w:spacing w:val="24"/>
        </w:rPr>
        <w:t> </w:t>
      </w:r>
      <w:r>
        <w:rPr/>
        <w:t>Federal,</w:t>
      </w:r>
      <w:r>
        <w:rPr>
          <w:spacing w:val="24"/>
        </w:rPr>
        <w:t> </w:t>
      </w:r>
      <w:r>
        <w:rPr/>
        <w:t>estão</w:t>
      </w:r>
      <w:r>
        <w:rPr>
          <w:spacing w:val="23"/>
        </w:rPr>
        <w:t> </w:t>
      </w:r>
      <w:r>
        <w:rPr/>
        <w:t>enquadrados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art.</w:t>
      </w:r>
      <w:r>
        <w:rPr>
          <w:spacing w:val="22"/>
        </w:rPr>
        <w:t> </w:t>
      </w:r>
      <w:r>
        <w:rPr/>
        <w:t>7º,</w:t>
      </w:r>
      <w:r>
        <w:rPr>
          <w:spacing w:val="24"/>
        </w:rPr>
        <w:t> </w:t>
      </w:r>
      <w:r>
        <w:rPr/>
        <w:t>I,</w:t>
      </w:r>
      <w:r>
        <w:rPr>
          <w:spacing w:val="26"/>
        </w:rPr>
        <w:t> </w:t>
      </w:r>
      <w:r>
        <w:rPr/>
        <w:t>“b” da Resolução CMN nº 3922, conforme análise da consultora Crédito e Mercado. Feita a explanação, o Presidente do Comitê sugere enviarmos para análise da consultoria Crédito e Mercado um fundo desse segmento ofertado pelo Banco do Brasil e pela Caixa Econômica</w:t>
      </w:r>
      <w:r>
        <w:rPr>
          <w:spacing w:val="40"/>
        </w:rPr>
        <w:t> </w:t>
      </w:r>
      <w:r>
        <w:rPr/>
        <w:t>Federal, o que foi aceito por todos. No item 7 da pauta, o Sr. Presidente do Comitê informou</w:t>
      </w:r>
      <w:r>
        <w:rPr>
          <w:spacing w:val="75"/>
        </w:rPr>
        <w:t> </w:t>
      </w:r>
      <w:r>
        <w:rPr/>
        <w:t>que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3"/>
        <w:ind w:left="96" w:right="95"/>
        <w:jc w:val="both"/>
      </w:pPr>
      <w:r>
        <w:rPr/>
        <w:t>ouvimos no último dia 11 de junho a explanação da</w:t>
      </w:r>
      <w:r>
        <w:rPr>
          <w:spacing w:val="40"/>
        </w:rPr>
        <w:t> </w:t>
      </w:r>
      <w:r>
        <w:rPr/>
        <w:t>Sra. Sandra Paes Leme , representante da Ourinvest,</w:t>
      </w:r>
      <w:r>
        <w:rPr>
          <w:spacing w:val="40"/>
        </w:rPr>
        <w:t> </w:t>
      </w:r>
      <w:r>
        <w:rPr/>
        <w:t>sobre o fundo Ourinvest FIDC SupplierCard e o fundo Ourinvest FIDC Veículos II. Que, em razão dessa explanação, solicitou à consultoria Crédito e Mercado uma análise do FIDC Suppliercard que, em síntese, recomenda para o Instituto, em razão das suas peculiaridades, outro tipo de aplicação que possa ter uma maior liquidez. Em assuntos gerais, o Presidente do Conselho informou que o Banrisul, até o presente momento, não enviou a documentação para realizar o credenciamento e que também será marcada uma reunião com o Gerente de Governo do Banco Santander . Sr. Marcus Curvelo também solicitou que seja feito um contato com o Banco Safra. Nada mais havendo a tratar, o senhor Presidente deu por encerrada a presente reunião às onze</w:t>
      </w:r>
      <w:r>
        <w:rPr>
          <w:spacing w:val="40"/>
        </w:rPr>
        <w:t> </w:t>
      </w:r>
      <w:r>
        <w:rPr/>
        <w:t>horas e quarenta e nove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8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4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</w:t>
      </w:r>
      <w:r>
        <w:rPr>
          <w:spacing w:val="-2"/>
        </w:rPr>
        <w:t>Presidente</w:t>
      </w:r>
    </w:p>
    <w:p>
      <w:pPr>
        <w:pStyle w:val="BodyText"/>
        <w:spacing w:before="139"/>
      </w:pPr>
    </w:p>
    <w:p>
      <w:pPr>
        <w:pStyle w:val="BodyText"/>
        <w:spacing w:line="367" w:lineRule="auto" w:before="1"/>
        <w:ind w:left="1001" w:right="242" w:hanging="3"/>
        <w:jc w:val="center"/>
      </w:pPr>
      <w:r>
        <w:rPr/>
        <w:t>Adriana Catarina da Costa Chefe da Divisão de Tesouraria</w:t>
      </w:r>
    </w:p>
    <w:p>
      <w:pPr>
        <w:pStyle w:val="BodyText"/>
        <w:spacing w:line="364" w:lineRule="auto" w:before="94"/>
        <w:ind w:left="1568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before="141"/>
      </w:pPr>
    </w:p>
    <w:p>
      <w:pPr>
        <w:pStyle w:val="BodyText"/>
        <w:spacing w:line="364" w:lineRule="auto"/>
        <w:ind w:left="795" w:right="850" w:firstLine="410"/>
      </w:pP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233"/>
            <w:col w:w="4914"/>
          </w:cols>
        </w:sectPr>
      </w:pPr>
    </w:p>
    <w:p>
      <w:pPr>
        <w:pStyle w:val="BodyText"/>
        <w:spacing w:before="7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3"/>
        <w:ind w:left="848" w:right="38" w:hanging="128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3"/>
        <w:ind w:left="720" w:right="1540" w:firstLine="14"/>
      </w:pPr>
      <w:r>
        <w:rPr/>
        <w:br w:type="column"/>
      </w:r>
      <w:r>
        <w:rPr/>
        <w:t>Vanessa Maria Bull servidora</w:t>
      </w:r>
      <w:r>
        <w:rPr>
          <w:spacing w:val="1"/>
        </w:rPr>
        <w:t> </w:t>
      </w:r>
      <w:r>
        <w:rPr>
          <w:spacing w:val="-2"/>
        </w:rPr>
        <w:t>convidada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924"/>
            <w:col w:w="4148"/>
          </w:cols>
        </w:sectPr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367" w:lineRule="auto" w:before="1"/>
        <w:ind w:left="1253" w:right="5448" w:hanging="281"/>
      </w:pPr>
      <w:r>
        <w:rPr/>
        <w:t>Mauro Fernando</w:t>
      </w:r>
      <w:r>
        <w:rPr>
          <w:spacing w:val="-3"/>
        </w:rPr>
        <w:t> </w:t>
      </w:r>
      <w:r>
        <w:rPr/>
        <w:t>Candu servidor convidado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2025-05-19T16:00:56Z</dcterms:created>
  <dcterms:modified xsi:type="dcterms:W3CDTF">2025-05-19T16:00:56Z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