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67" w:lineRule="auto" w:before="215"/>
        <w:ind w:left="96" w:right="96"/>
        <w:jc w:val="both"/>
      </w:pPr>
      <w:r>
        <w:rPr/>
        <w:t>Ata</w:t>
      </w:r>
      <w:r>
        <w:rPr>
          <w:spacing w:val="15"/>
        </w:rPr>
        <w:t> </w:t>
      </w:r>
      <w:r>
        <w:rPr/>
        <w:t>da vigésima quarta</w:t>
      </w:r>
      <w:r>
        <w:rPr>
          <w:spacing w:val="15"/>
        </w:rPr>
        <w:t> </w:t>
      </w:r>
      <w:r>
        <w:rPr/>
        <w:t>reunião</w:t>
      </w:r>
      <w:r>
        <w:rPr>
          <w:spacing w:val="14"/>
        </w:rPr>
        <w:t> </w:t>
      </w:r>
      <w:r>
        <w:rPr/>
        <w:t>ordinária do</w:t>
      </w:r>
      <w:r>
        <w:rPr>
          <w:spacing w:val="14"/>
        </w:rPr>
        <w:t> </w:t>
      </w:r>
      <w:r>
        <w:rPr/>
        <w:t>Comitê</w:t>
      </w:r>
      <w:r>
        <w:rPr>
          <w:spacing w:val="13"/>
        </w:rPr>
        <w:t> </w:t>
      </w:r>
      <w:r>
        <w:rPr/>
        <w:t>de Investimentos</w:t>
      </w:r>
      <w:r>
        <w:rPr>
          <w:spacing w:val="17"/>
        </w:rPr>
        <w:t> </w:t>
      </w:r>
      <w:r>
        <w:rPr/>
        <w:t>do</w:t>
      </w:r>
      <w:r>
        <w:rPr>
          <w:spacing w:val="14"/>
        </w:rPr>
        <w:t> </w:t>
      </w:r>
      <w:r>
        <w:rPr/>
        <w:t>Instituto de Previdência e Assistência Social do Servidor Público do Município de Petrópolis – INPAS.</w:t>
      </w:r>
    </w:p>
    <w:p>
      <w:pPr>
        <w:pStyle w:val="BodyText"/>
        <w:spacing w:line="364" w:lineRule="auto"/>
        <w:ind w:left="96" w:right="93"/>
        <w:jc w:val="both"/>
      </w:pPr>
      <w:r>
        <w:rPr/>
        <w:t>Aos vinte dias do mês de outubro do ano de dois mil e quatorze, às dez horas e trinta e cinco minutos, na sala de reuniões do Instituto de Previdência e Assistência Social do Servidor Público do Município de Petrópolis, reuniram-se os cinco membros do Comitê de Investimentos deste Regime Próprio de Previdência Social, com a seguinte composição: a) Diretor-Presidente do Regime Próprio de Previdência Social – RPPS, senhor Marcus Antonio Curvelo da Silva; b)- Diretor Administrativo-Financeiro do Regime Próprio de Previdência Social - RPPS, senhor</w:t>
      </w:r>
      <w:r>
        <w:rPr>
          <w:spacing w:val="80"/>
        </w:rPr>
        <w:t> </w:t>
      </w:r>
      <w:r>
        <w:rPr/>
        <w:t>Daniel Luiz Simões Campos, Presidente eleito deste Comitê; c) Chefe da Divisão de Tesouraria, senhora Adriana Catarina da Costa; d)- Chefe da Divisão de Contabilidade, senhora Lucimar da Glória Gomes; e) Gestora Previdenciária do Regime Próprio de Previdência Social - RPPS,</w:t>
      </w:r>
      <w:r>
        <w:rPr>
          <w:spacing w:val="40"/>
        </w:rPr>
        <w:t> </w:t>
      </w:r>
      <w:r>
        <w:rPr/>
        <w:t>senhora Carla Cristina Correia Maduro Vogas Tavares, Secretária eleita deste Comitê. Presentes também, com direito à voz e sem direito a voto, as servidoras, Sra. Michele Schifler Forster e Sra.Vanessa Maria Bull. Iniciou-se, com esta composição, a referida reunião para atendimento à pauta do dia, que teve a seguinte ordem: 1)- leitura da ata; 2)- análise do relatório analítico dos investimentos no 3º trimestre de 2014; 3)- análise do cenário macroeconômico, bem como as expectativas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mercado;</w:t>
      </w:r>
      <w:r>
        <w:rPr>
          <w:spacing w:val="40"/>
        </w:rPr>
        <w:t> </w:t>
      </w:r>
      <w:r>
        <w:rPr/>
        <w:t>4)-</w:t>
      </w:r>
      <w:r>
        <w:rPr>
          <w:spacing w:val="40"/>
        </w:rPr>
        <w:t> </w:t>
      </w:r>
      <w:r>
        <w:rPr/>
        <w:t>avaliação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investimentos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compõem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patrimônio</w:t>
      </w:r>
      <w:r>
        <w:rPr>
          <w:spacing w:val="40"/>
        </w:rPr>
        <w:t> </w:t>
      </w:r>
      <w:r>
        <w:rPr/>
        <w:t>dos diversos segmentos de aplicação; 5)- análise do fluxo de caixa, considerando as obrigações previdenciárias e administrativas para o mês em curso; 6)- proposições de investimentos/desinvestimentos;</w:t>
      </w:r>
      <w:r>
        <w:rPr>
          <w:spacing w:val="40"/>
        </w:rPr>
        <w:t> </w:t>
      </w:r>
      <w:r>
        <w:rPr/>
        <w:t>7)-</w:t>
      </w:r>
      <w:r>
        <w:rPr>
          <w:spacing w:val="40"/>
        </w:rPr>
        <w:t> </w:t>
      </w:r>
      <w:r>
        <w:rPr/>
        <w:t>assuntos</w:t>
      </w:r>
      <w:r>
        <w:rPr>
          <w:spacing w:val="40"/>
        </w:rPr>
        <w:t> </w:t>
      </w:r>
      <w:r>
        <w:rPr/>
        <w:t>gerais.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Presidente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Comitê</w:t>
      </w:r>
      <w:r>
        <w:rPr>
          <w:spacing w:val="40"/>
        </w:rPr>
        <w:t> </w:t>
      </w:r>
      <w:r>
        <w:rPr/>
        <w:t>solicitou</w:t>
      </w:r>
      <w:r>
        <w:rPr>
          <w:spacing w:val="40"/>
        </w:rPr>
        <w:t> </w:t>
      </w:r>
      <w:r>
        <w:rPr/>
        <w:t>à Secretária que fizesse a leitura da ata da vigésima terceira reunião ordinária e da oitava reunião extraordinária, as quais foram aprovadas por todos, sem ressalvas. Passando ao segundo item da pauta, o Presidente do Conselho apresentou o relatório de investimentos feitos no terceiro</w:t>
      </w:r>
      <w:r>
        <w:rPr>
          <w:spacing w:val="80"/>
        </w:rPr>
        <w:t> </w:t>
      </w:r>
      <w:r>
        <w:rPr/>
        <w:t>trimestre deste ano, relatório este elaborado pela empresa de consultoria Crédito e Mercado. Foi ressaltado pelo Presidente do Conselho que tivemos uma queda brusca nos retornos em virtude da alta do INPC e também pela alta volatilidade dos investimentos feitos no “BB Alocações e no</w:t>
      </w:r>
      <w:r>
        <w:rPr>
          <w:spacing w:val="80"/>
        </w:rPr>
        <w:t> </w:t>
      </w:r>
      <w:r>
        <w:rPr/>
        <w:t>IMA B”. Quanto ao rendimento negativo no IRFM1+, foi esclarecido que essa aplicação não foi solicitada</w:t>
      </w:r>
      <w:r>
        <w:rPr>
          <w:spacing w:val="15"/>
        </w:rPr>
        <w:t> </w:t>
      </w:r>
      <w:r>
        <w:rPr/>
        <w:t>pelo</w:t>
      </w:r>
      <w:r>
        <w:rPr>
          <w:spacing w:val="19"/>
        </w:rPr>
        <w:t> </w:t>
      </w:r>
      <w:r>
        <w:rPr/>
        <w:t>INPAS,</w:t>
      </w:r>
      <w:r>
        <w:rPr>
          <w:spacing w:val="20"/>
        </w:rPr>
        <w:t> </w:t>
      </w:r>
      <w:r>
        <w:rPr/>
        <w:t>tendo</w:t>
      </w:r>
      <w:r>
        <w:rPr>
          <w:spacing w:val="16"/>
        </w:rPr>
        <w:t> </w:t>
      </w:r>
      <w:r>
        <w:rPr/>
        <w:t>ela</w:t>
      </w:r>
      <w:r>
        <w:rPr>
          <w:spacing w:val="17"/>
        </w:rPr>
        <w:t> </w:t>
      </w:r>
      <w:r>
        <w:rPr/>
        <w:t>sido</w:t>
      </w:r>
      <w:r>
        <w:rPr>
          <w:spacing w:val="16"/>
        </w:rPr>
        <w:t> </w:t>
      </w:r>
      <w:r>
        <w:rPr/>
        <w:t>feita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equívoco</w:t>
      </w:r>
      <w:r>
        <w:rPr>
          <w:spacing w:val="16"/>
        </w:rPr>
        <w:t> </w:t>
      </w:r>
      <w:r>
        <w:rPr/>
        <w:t>da</w:t>
      </w:r>
      <w:r>
        <w:rPr>
          <w:spacing w:val="17"/>
        </w:rPr>
        <w:t> </w:t>
      </w:r>
      <w:r>
        <w:rPr/>
        <w:t>Caixa</w:t>
      </w:r>
      <w:r>
        <w:rPr>
          <w:spacing w:val="15"/>
        </w:rPr>
        <w:t> </w:t>
      </w:r>
      <w:r>
        <w:rPr/>
        <w:t>Econômica</w:t>
      </w:r>
      <w:r>
        <w:rPr>
          <w:spacing w:val="21"/>
        </w:rPr>
        <w:t> </w:t>
      </w:r>
      <w:r>
        <w:rPr/>
        <w:t>Federal</w:t>
      </w:r>
      <w:r>
        <w:rPr>
          <w:spacing w:val="19"/>
        </w:rPr>
        <w:t> </w:t>
      </w:r>
      <w:r>
        <w:rPr/>
        <w:t>e</w:t>
      </w:r>
      <w:r>
        <w:rPr>
          <w:spacing w:val="15"/>
        </w:rPr>
        <w:t> </w:t>
      </w:r>
      <w:r>
        <w:rPr/>
        <w:t>que,</w:t>
      </w:r>
      <w:r>
        <w:rPr>
          <w:spacing w:val="17"/>
        </w:rPr>
        <w:t> </w:t>
      </w:r>
      <w:r>
        <w:rPr/>
        <w:t>por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173"/>
        <w:ind w:left="96" w:right="93"/>
        <w:jc w:val="both"/>
      </w:pPr>
      <w:r>
        <w:rPr/>
        <w:t>isso,</w:t>
      </w:r>
      <w:r>
        <w:rPr>
          <w:spacing w:val="40"/>
        </w:rPr>
        <w:t> </w:t>
      </w:r>
      <w:r>
        <w:rPr/>
        <w:t>foi</w:t>
      </w:r>
      <w:r>
        <w:rPr>
          <w:spacing w:val="40"/>
        </w:rPr>
        <w:t> </w:t>
      </w:r>
      <w:r>
        <w:rPr/>
        <w:t>solicitado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ressarcimento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prejuízos,</w:t>
      </w:r>
      <w:r>
        <w:rPr>
          <w:spacing w:val="40"/>
        </w:rPr>
        <w:t> </w:t>
      </w:r>
      <w:r>
        <w:rPr/>
        <w:t>bem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rendimentos</w:t>
      </w:r>
      <w:r>
        <w:rPr>
          <w:spacing w:val="40"/>
        </w:rPr>
        <w:t> </w:t>
      </w:r>
      <w:r>
        <w:rPr/>
        <w:t>referentes</w:t>
      </w:r>
      <w:r>
        <w:rPr>
          <w:spacing w:val="40"/>
        </w:rPr>
        <w:t> </w:t>
      </w:r>
      <w:r>
        <w:rPr/>
        <w:t>à aplicação efetivamente solicitada, isto é, IRFM1. Informou que a CEF teria o prazo até a data de hoje para regularizar essa situação junto ao INPAS. Enfatizou que tivemos um bom resultado nos meses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julho</w:t>
      </w:r>
      <w:r>
        <w:rPr>
          <w:spacing w:val="27"/>
        </w:rPr>
        <w:t> </w:t>
      </w:r>
      <w:r>
        <w:rPr/>
        <w:t>e</w:t>
      </w:r>
      <w:r>
        <w:rPr>
          <w:spacing w:val="26"/>
        </w:rPr>
        <w:t> </w:t>
      </w:r>
      <w:r>
        <w:rPr/>
        <w:t>agosto</w:t>
      </w:r>
      <w:r>
        <w:rPr>
          <w:spacing w:val="27"/>
        </w:rPr>
        <w:t> </w:t>
      </w:r>
      <w:r>
        <w:rPr/>
        <w:t>e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setembro</w:t>
      </w:r>
      <w:r>
        <w:rPr>
          <w:spacing w:val="25"/>
        </w:rPr>
        <w:t> </w:t>
      </w:r>
      <w:r>
        <w:rPr/>
        <w:t>ficou</w:t>
      </w:r>
      <w:r>
        <w:rPr>
          <w:spacing w:val="27"/>
        </w:rPr>
        <w:t> </w:t>
      </w:r>
      <w:r>
        <w:rPr/>
        <w:t>ruim</w:t>
      </w:r>
      <w:r>
        <w:rPr>
          <w:spacing w:val="25"/>
        </w:rPr>
        <w:t> </w:t>
      </w:r>
      <w:r>
        <w:rPr/>
        <w:t>em</w:t>
      </w:r>
      <w:r>
        <w:rPr>
          <w:spacing w:val="25"/>
        </w:rPr>
        <w:t> </w:t>
      </w:r>
      <w:r>
        <w:rPr/>
        <w:t>virtude</w:t>
      </w:r>
      <w:r>
        <w:rPr>
          <w:spacing w:val="26"/>
        </w:rPr>
        <w:t> </w:t>
      </w:r>
      <w:r>
        <w:rPr/>
        <w:t>das</w:t>
      </w:r>
      <w:r>
        <w:rPr>
          <w:spacing w:val="27"/>
        </w:rPr>
        <w:t> </w:t>
      </w:r>
      <w:r>
        <w:rPr/>
        <w:t>oscilações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mercado,</w:t>
      </w:r>
      <w:r>
        <w:rPr>
          <w:spacing w:val="30"/>
        </w:rPr>
        <w:t> </w:t>
      </w:r>
      <w:r>
        <w:rPr/>
        <w:t>mas que mesmo assim estamos, no acumulado, em 142% da meta atuarial. Nos itens referentes ao cenário macroeconômico e avaliação dos investimentos, o Presidente do Conselho ressaltou que o mercado está especulativo e que devemos proteger nosso patrimônio adotando uma estratégia defensiva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que,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isso,</w:t>
      </w:r>
      <w:r>
        <w:rPr>
          <w:spacing w:val="40"/>
        </w:rPr>
        <w:t> </w:t>
      </w:r>
      <w:r>
        <w:rPr/>
        <w:t>foram</w:t>
      </w:r>
      <w:r>
        <w:rPr>
          <w:spacing w:val="40"/>
        </w:rPr>
        <w:t> </w:t>
      </w:r>
      <w:r>
        <w:rPr/>
        <w:t>feitos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resgates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“BB</w:t>
      </w:r>
      <w:r>
        <w:rPr>
          <w:spacing w:val="40"/>
        </w:rPr>
        <w:t> </w:t>
      </w:r>
      <w:r>
        <w:rPr/>
        <w:t>Alocações”,</w:t>
      </w:r>
      <w:r>
        <w:rPr>
          <w:spacing w:val="40"/>
        </w:rPr>
        <w:t> </w:t>
      </w:r>
      <w:r>
        <w:rPr/>
        <w:t>IMA-B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IMA-B5. Quanto</w:t>
      </w:r>
      <w:r>
        <w:rPr>
          <w:spacing w:val="36"/>
        </w:rPr>
        <w:t> </w:t>
      </w:r>
      <w:r>
        <w:rPr/>
        <w:t>ao</w:t>
      </w:r>
      <w:r>
        <w:rPr>
          <w:spacing w:val="39"/>
        </w:rPr>
        <w:t> </w:t>
      </w:r>
      <w:r>
        <w:rPr/>
        <w:t>fluxo</w:t>
      </w:r>
      <w:r>
        <w:rPr>
          <w:spacing w:val="39"/>
        </w:rPr>
        <w:t> </w:t>
      </w:r>
      <w:r>
        <w:rPr/>
        <w:t>de</w:t>
      </w:r>
      <w:r>
        <w:rPr>
          <w:spacing w:val="35"/>
        </w:rPr>
        <w:t> </w:t>
      </w:r>
      <w:r>
        <w:rPr/>
        <w:t>caixa,</w:t>
      </w:r>
      <w:r>
        <w:rPr>
          <w:spacing w:val="37"/>
        </w:rPr>
        <w:t> </w:t>
      </w:r>
      <w:r>
        <w:rPr/>
        <w:t>esclareceu</w:t>
      </w:r>
      <w:r>
        <w:rPr>
          <w:spacing w:val="39"/>
        </w:rPr>
        <w:t> </w:t>
      </w:r>
      <w:r>
        <w:rPr/>
        <w:t>que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/>
        <w:t>valor</w:t>
      </w:r>
      <w:r>
        <w:rPr>
          <w:spacing w:val="37"/>
        </w:rPr>
        <w:t> </w:t>
      </w:r>
      <w:r>
        <w:rPr/>
        <w:t>que</w:t>
      </w:r>
      <w:r>
        <w:rPr>
          <w:spacing w:val="35"/>
        </w:rPr>
        <w:t> </w:t>
      </w:r>
      <w:r>
        <w:rPr/>
        <w:t>temos</w:t>
      </w:r>
      <w:r>
        <w:rPr>
          <w:spacing w:val="38"/>
        </w:rPr>
        <w:t> </w:t>
      </w:r>
      <w:r>
        <w:rPr/>
        <w:t>hoje,</w:t>
      </w:r>
      <w:r>
        <w:rPr>
          <w:spacing w:val="39"/>
        </w:rPr>
        <w:t> </w:t>
      </w:r>
      <w:r>
        <w:rPr/>
        <w:t>superior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onze</w:t>
      </w:r>
      <w:r>
        <w:rPr>
          <w:spacing w:val="40"/>
        </w:rPr>
        <w:t> </w:t>
      </w:r>
      <w:r>
        <w:rPr/>
        <w:t>milhões</w:t>
      </w:r>
      <w:r>
        <w:rPr>
          <w:spacing w:val="38"/>
        </w:rPr>
        <w:t> </w:t>
      </w:r>
      <w:r>
        <w:rPr/>
        <w:t>de reais, paga, com tranqüilidade, a próxima folha de pagamento. O Presidente do Instituto</w:t>
      </w:r>
      <w:r>
        <w:rPr>
          <w:spacing w:val="40"/>
        </w:rPr>
        <w:t> </w:t>
      </w:r>
      <w:r>
        <w:rPr/>
        <w:t>determinou que lhe fosse entregue um relatório do fluxo de caixa da conta previdenciária a partir</w:t>
      </w:r>
      <w:r>
        <w:rPr>
          <w:spacing w:val="40"/>
        </w:rPr>
        <w:t> </w:t>
      </w:r>
      <w:r>
        <w:rPr/>
        <w:t>do mês de julho até a presente data, com destaque para a folha de pagamento. No que tange a</w:t>
      </w:r>
      <w:r>
        <w:rPr>
          <w:spacing w:val="40"/>
        </w:rPr>
        <w:t> </w:t>
      </w:r>
      <w:r>
        <w:rPr/>
        <w:t>novos investimentos, o Presidente do Comitê sugeriu aguardarmos as eleições e, se necessário, convocar uma reunião extraordinária logo após o resultados das eleições, proposta esta que foi aceita por todos. Em assuntos gerais, o Presidente do INPAS solicitou que a reunião do Comitê fosse transferida para o oitavo dia útil de cada mês, tendo todos aceitado essa proposta. Por fim, o Diretor-Presidente do INPAS solicitou que fosse formalizado um convite para a apresentação do novo</w:t>
      </w:r>
      <w:r>
        <w:rPr>
          <w:spacing w:val="40"/>
        </w:rPr>
        <w:t> </w:t>
      </w:r>
      <w:r>
        <w:rPr/>
        <w:t>gerente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nova</w:t>
      </w:r>
      <w:r>
        <w:rPr>
          <w:spacing w:val="40"/>
        </w:rPr>
        <w:t> </w:t>
      </w:r>
      <w:r>
        <w:rPr/>
        <w:t>equipe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Caixa</w:t>
      </w:r>
      <w:r>
        <w:rPr>
          <w:spacing w:val="40"/>
        </w:rPr>
        <w:t> </w:t>
      </w:r>
      <w:r>
        <w:rPr/>
        <w:t>Econômica</w:t>
      </w:r>
      <w:r>
        <w:rPr>
          <w:spacing w:val="40"/>
        </w:rPr>
        <w:t> </w:t>
      </w:r>
      <w:r>
        <w:rPr/>
        <w:t>Federal.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Presidente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Conselho esclareceu que isso já foi feito e que eles estarão presentes aqui no INPAS na próxima quarta-</w:t>
      </w:r>
      <w:r>
        <w:rPr>
          <w:spacing w:val="40"/>
        </w:rPr>
        <w:t> </w:t>
      </w:r>
      <w:r>
        <w:rPr/>
        <w:t>feira, às 15:00 horas, estando todos os membros do Comitê convocados para participarem dessa apresentação. Nada mais havendo a tratar, o senhor Presidente deu por encerrada a presente</w:t>
      </w:r>
      <w:r>
        <w:rPr>
          <w:spacing w:val="40"/>
        </w:rPr>
        <w:t> </w:t>
      </w:r>
      <w:r>
        <w:rPr/>
        <w:t>reunião às onze horas e cinco minutos, cuja Ata segue lavrada por mim, Carla Maduro Vogas Tavares, Secretária deste Comitê, que a submeterei à 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94"/>
        <w:ind w:left="795" w:right="38"/>
        <w:jc w:val="center"/>
      </w:pPr>
      <w:r>
        <w:rPr/>
        <w:t>Daniel Luiz Simões Campos</w:t>
      </w:r>
      <w:r>
        <w:rPr>
          <w:spacing w:val="80"/>
        </w:rPr>
        <w:t> </w:t>
      </w:r>
      <w:r>
        <w:rPr/>
        <w:t>Diretor Administrativo e Financeiro Presidente do Comitê</w:t>
      </w:r>
    </w:p>
    <w:p>
      <w:pPr>
        <w:pStyle w:val="BodyText"/>
        <w:spacing w:line="364" w:lineRule="auto" w:before="94"/>
        <w:ind w:left="795" w:right="1620" w:firstLine="105"/>
      </w:pPr>
      <w:r>
        <w:rPr/>
        <w:br w:type="column"/>
      </w:r>
      <w:r>
        <w:rPr/>
        <w:t>Marcus Curvelo </w:t>
      </w:r>
      <w:r>
        <w:rPr>
          <w:spacing w:val="-2"/>
        </w:rPr>
        <w:t>Diretor-Presidente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380" w:bottom="280" w:left="1559" w:right="992"/>
          <w:cols w:num="2" w:equalWidth="0">
            <w:col w:w="4202" w:space="1006"/>
            <w:col w:w="4141"/>
          </w:cols>
        </w:sectPr>
      </w:pPr>
    </w:p>
    <w:p>
      <w:pPr>
        <w:pStyle w:val="BodyText"/>
        <w:spacing w:before="8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94"/>
        <w:ind w:left="848" w:right="38" w:hanging="128"/>
      </w:pPr>
      <w:r>
        <w:rPr/>
        <w:t>Carla Cristina. C. Maduro V. Tavares Gestora Previdenciária - Secretária</w:t>
      </w:r>
    </w:p>
    <w:p>
      <w:pPr>
        <w:pStyle w:val="BodyText"/>
        <w:spacing w:line="364" w:lineRule="auto" w:before="94"/>
        <w:ind w:left="720" w:right="1005" w:firstLine="242"/>
      </w:pPr>
      <w:r>
        <w:rPr/>
        <w:br w:type="column"/>
      </w:r>
      <w:r>
        <w:rPr/>
        <w:t>Adriana Catarina da Costa Chefe da Divisão de Tesouraria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380" w:bottom="280" w:left="1559" w:right="992"/>
          <w:cols w:num="2" w:equalWidth="0">
            <w:col w:w="4277" w:space="389"/>
            <w:col w:w="46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93"/>
        <w:ind w:left="896" w:right="38" w:firstLine="360"/>
      </w:pPr>
      <w:r>
        <w:rPr/>
        <w:t>Lucimar da Glória Gomes Chef da Divisão de Contabilidade</w:t>
      </w:r>
    </w:p>
    <w:p>
      <w:pPr>
        <w:pStyle w:val="BodyText"/>
        <w:spacing w:line="364" w:lineRule="auto" w:before="93"/>
        <w:ind w:left="896" w:right="1318" w:firstLine="187"/>
      </w:pPr>
      <w:r>
        <w:rPr/>
        <w:br w:type="column"/>
      </w:r>
      <w:r>
        <w:rPr/>
        <w:t>Vanessa</w:t>
      </w:r>
      <w:r>
        <w:rPr>
          <w:spacing w:val="-5"/>
        </w:rPr>
        <w:t> </w:t>
      </w:r>
      <w:r>
        <w:rPr/>
        <w:t>Maria</w:t>
      </w:r>
      <w:r>
        <w:rPr>
          <w:spacing w:val="-7"/>
        </w:rPr>
        <w:t> </w:t>
      </w:r>
      <w:r>
        <w:rPr/>
        <w:t>Bull servidora convidada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380" w:bottom="280" w:left="1559" w:right="992"/>
          <w:cols w:num="2" w:equalWidth="0">
            <w:col w:w="4102" w:space="990"/>
            <w:col w:w="4257"/>
          </w:cols>
        </w:sectPr>
      </w:pPr>
    </w:p>
    <w:p>
      <w:pPr>
        <w:pStyle w:val="BodyText"/>
        <w:spacing w:before="139"/>
      </w:pPr>
    </w:p>
    <w:p>
      <w:pPr>
        <w:pStyle w:val="BodyText"/>
        <w:spacing w:line="367" w:lineRule="auto"/>
        <w:ind w:left="1592" w:right="4796" w:hanging="118"/>
      </w:pPr>
      <w:r>
        <w:rPr/>
        <w:t>Michele</w:t>
      </w:r>
      <w:r>
        <w:rPr>
          <w:spacing w:val="-5"/>
        </w:rPr>
        <w:t> </w:t>
      </w:r>
      <w:r>
        <w:rPr/>
        <w:t>Schifler Forster servidora convidada</w:t>
      </w:r>
    </w:p>
    <w:sectPr>
      <w:type w:val="continuous"/>
      <w:pgSz w:w="11900" w:h="16840"/>
      <w:pgMar w:top="138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2025-05-19T16:00:58Z</dcterms:created>
  <dcterms:modified xsi:type="dcterms:W3CDTF">2025-05-19T16:00:58Z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