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1"/>
        <w:rPr>
          <w:rFonts w:ascii="Times New Roman"/>
          <w:sz w:val="20"/>
        </w:rPr>
      </w:pPr>
    </w:p>
    <w:p>
      <w:pPr>
        <w:pStyle w:val="BodyText"/>
        <w:ind w:left="2597"/>
        <w:rPr>
          <w:rFonts w:ascii="Times New Roman"/>
          <w:sz w:val="20"/>
        </w:rPr>
      </w:pPr>
      <w:r>
        <w:rPr>
          <w:rFonts w:ascii="Times New Roman"/>
          <w:sz w:val="20"/>
        </w:rPr>
        <w:drawing>
          <wp:inline distT="0" distB="0" distL="0" distR="0">
            <wp:extent cx="2757318" cy="121815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57318" cy="1218152"/>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1"/>
        <w:rPr>
          <w:rFonts w:ascii="Times New Roman"/>
        </w:rPr>
      </w:pPr>
    </w:p>
    <w:p>
      <w:pPr>
        <w:pStyle w:val="BodyText"/>
        <w:spacing w:line="364" w:lineRule="auto"/>
        <w:ind w:left="96" w:right="95"/>
        <w:jc w:val="both"/>
      </w:pPr>
      <w:r>
        <w:rPr/>
        <w:t>Ata</w:t>
      </w:r>
      <w:r>
        <w:rPr>
          <w:spacing w:val="20"/>
        </w:rPr>
        <w:t> </w:t>
      </w:r>
      <w:r>
        <w:rPr/>
        <w:t>da</w:t>
      </w:r>
      <w:r>
        <w:rPr>
          <w:spacing w:val="20"/>
        </w:rPr>
        <w:t> </w:t>
      </w:r>
      <w:r>
        <w:rPr/>
        <w:t>quinta</w:t>
      </w:r>
      <w:r>
        <w:rPr>
          <w:spacing w:val="23"/>
        </w:rPr>
        <w:t> </w:t>
      </w:r>
      <w:r>
        <w:rPr/>
        <w:t>reunião</w:t>
      </w:r>
      <w:r>
        <w:rPr>
          <w:spacing w:val="23"/>
        </w:rPr>
        <w:t> </w:t>
      </w:r>
      <w:r>
        <w:rPr/>
        <w:t>ordinária</w:t>
      </w:r>
      <w:r>
        <w:rPr>
          <w:spacing w:val="26"/>
        </w:rPr>
        <w:t> </w:t>
      </w:r>
      <w:r>
        <w:rPr/>
        <w:t>do</w:t>
      </w:r>
      <w:r>
        <w:rPr>
          <w:spacing w:val="20"/>
        </w:rPr>
        <w:t> </w:t>
      </w:r>
      <w:r>
        <w:rPr/>
        <w:t>Comitê</w:t>
      </w:r>
      <w:r>
        <w:rPr>
          <w:spacing w:val="23"/>
        </w:rPr>
        <w:t> </w:t>
      </w:r>
      <w:r>
        <w:rPr/>
        <w:t>de</w:t>
      </w:r>
      <w:r>
        <w:rPr>
          <w:spacing w:val="23"/>
        </w:rPr>
        <w:t> </w:t>
      </w:r>
      <w:r>
        <w:rPr/>
        <w:t>Investimentos</w:t>
      </w:r>
      <w:r>
        <w:rPr>
          <w:spacing w:val="27"/>
        </w:rPr>
        <w:t> </w:t>
      </w:r>
      <w:r>
        <w:rPr/>
        <w:t>do</w:t>
      </w:r>
      <w:r>
        <w:rPr>
          <w:spacing w:val="26"/>
        </w:rPr>
        <w:t> </w:t>
      </w:r>
      <w:r>
        <w:rPr/>
        <w:t>Instituto</w:t>
      </w:r>
      <w:r>
        <w:rPr>
          <w:spacing w:val="20"/>
        </w:rPr>
        <w:t> </w:t>
      </w:r>
      <w:r>
        <w:rPr/>
        <w:t>de</w:t>
      </w:r>
      <w:r>
        <w:rPr>
          <w:spacing w:val="26"/>
        </w:rPr>
        <w:t> </w:t>
      </w:r>
      <w:r>
        <w:rPr/>
        <w:t>Previdência e Assistência Social do Servidor Público do Município de Petrópolis – INPAS.</w:t>
      </w:r>
    </w:p>
    <w:p>
      <w:pPr>
        <w:pStyle w:val="BodyText"/>
        <w:spacing w:before="138"/>
      </w:pPr>
    </w:p>
    <w:p>
      <w:pPr>
        <w:pStyle w:val="BodyText"/>
        <w:spacing w:line="364" w:lineRule="auto" w:before="1"/>
        <w:ind w:left="96" w:right="93"/>
        <w:jc w:val="both"/>
      </w:pPr>
      <w:r>
        <w:rPr/>
        <w:t>Aos vinte e hum dias do mês de março do ano de dois mil e treze, às nove horas e trinta minutos, na sala do Diretor-Presidente</w:t>
      </w:r>
      <w:r>
        <w:rPr>
          <w:spacing w:val="32"/>
        </w:rPr>
        <w:t> </w:t>
      </w:r>
      <w:r>
        <w:rPr/>
        <w:t>do Instituto de Previdência e Assistência Social</w:t>
      </w:r>
      <w:r>
        <w:rPr>
          <w:spacing w:val="40"/>
        </w:rPr>
        <w:t> </w:t>
      </w:r>
      <w:r>
        <w:rPr/>
        <w:t>do Servidor</w:t>
      </w:r>
      <w:r>
        <w:rPr>
          <w:spacing w:val="40"/>
        </w:rPr>
        <w:t> </w:t>
      </w:r>
      <w:r>
        <w:rPr/>
        <w:t>Público</w:t>
      </w:r>
      <w:r>
        <w:rPr>
          <w:spacing w:val="40"/>
        </w:rPr>
        <w:t> </w:t>
      </w:r>
      <w:r>
        <w:rPr/>
        <w:t>do</w:t>
      </w:r>
      <w:r>
        <w:rPr>
          <w:spacing w:val="40"/>
        </w:rPr>
        <w:t> </w:t>
      </w:r>
      <w:r>
        <w:rPr/>
        <w:t>Município de Petrópolis</w:t>
      </w:r>
      <w:r>
        <w:rPr>
          <w:spacing w:val="40"/>
        </w:rPr>
        <w:t> </w:t>
      </w:r>
      <w:r>
        <w:rPr/>
        <w:t>– INPAS, sito</w:t>
      </w:r>
      <w:r>
        <w:rPr>
          <w:spacing w:val="40"/>
        </w:rPr>
        <w:t> </w:t>
      </w:r>
      <w:r>
        <w:rPr/>
        <w:t>à Rua Doutor</w:t>
      </w:r>
      <w:r>
        <w:rPr>
          <w:spacing w:val="40"/>
        </w:rPr>
        <w:t> </w:t>
      </w:r>
      <w:r>
        <w:rPr/>
        <w:t>Alencar Lima, número trinta e cinco, grupo 101 a 115, Centro, Petrópolis/RJ, reuniram-se os</w:t>
      </w:r>
      <w:r>
        <w:rPr>
          <w:spacing w:val="80"/>
        </w:rPr>
        <w:t> </w:t>
      </w:r>
      <w:r>
        <w:rPr/>
        <w:t>cinco membros do Comitê de Investimentos deste Regime Próprio de Previdência, conforme Decreto</w:t>
      </w:r>
      <w:r>
        <w:rPr>
          <w:spacing w:val="16"/>
        </w:rPr>
        <w:t> </w:t>
      </w:r>
      <w:r>
        <w:rPr/>
        <w:t>Municipal</w:t>
      </w:r>
      <w:r>
        <w:rPr>
          <w:spacing w:val="17"/>
        </w:rPr>
        <w:t> </w:t>
      </w:r>
      <w:r>
        <w:rPr/>
        <w:t>que criou</w:t>
      </w:r>
      <w:r>
        <w:rPr>
          <w:spacing w:val="16"/>
        </w:rPr>
        <w:t> </w:t>
      </w:r>
      <w:r>
        <w:rPr/>
        <w:t>o citado</w:t>
      </w:r>
      <w:r>
        <w:rPr>
          <w:spacing w:val="16"/>
        </w:rPr>
        <w:t> </w:t>
      </w:r>
      <w:r>
        <w:rPr/>
        <w:t>Comitê,</w:t>
      </w:r>
      <w:r>
        <w:rPr>
          <w:spacing w:val="16"/>
        </w:rPr>
        <w:t> </w:t>
      </w:r>
      <w:r>
        <w:rPr/>
        <w:t>número</w:t>
      </w:r>
      <w:r>
        <w:rPr>
          <w:spacing w:val="16"/>
        </w:rPr>
        <w:t> </w:t>
      </w:r>
      <w:r>
        <w:rPr/>
        <w:t>hum</w:t>
      </w:r>
      <w:r>
        <w:rPr>
          <w:spacing w:val="16"/>
        </w:rPr>
        <w:t> </w:t>
      </w:r>
      <w:r>
        <w:rPr/>
        <w:t>mil</w:t>
      </w:r>
      <w:r>
        <w:rPr>
          <w:spacing w:val="17"/>
        </w:rPr>
        <w:t> </w:t>
      </w:r>
      <w:r>
        <w:rPr/>
        <w:t>e dez,</w:t>
      </w:r>
      <w:r>
        <w:rPr>
          <w:spacing w:val="16"/>
        </w:rPr>
        <w:t> </w:t>
      </w:r>
      <w:r>
        <w:rPr/>
        <w:t>de</w:t>
      </w:r>
      <w:r>
        <w:rPr>
          <w:spacing w:val="16"/>
        </w:rPr>
        <w:t> </w:t>
      </w:r>
      <w:r>
        <w:rPr/>
        <w:t>trinta e hum de outubro de dois mil e doze, publicado no Diário Oficial do Município de Petrópolis de hum de novembro de dois mil e doze, além da senhora Vanessa Maria</w:t>
      </w:r>
      <w:r>
        <w:rPr>
          <w:spacing w:val="80"/>
        </w:rPr>
        <w:t> </w:t>
      </w:r>
      <w:r>
        <w:rPr/>
        <w:t>Bull, Chefe de Gabinete da Presidência, convidada para inteirar-se dos assuntos a</w:t>
      </w:r>
      <w:r>
        <w:rPr>
          <w:spacing w:val="80"/>
        </w:rPr>
        <w:t> </w:t>
      </w:r>
      <w:r>
        <w:rPr/>
        <w:t>serem tratados. Iniciou-se, com esta composição, a referida reunião para atendimento à pauta do dia,</w:t>
      </w:r>
      <w:r>
        <w:rPr>
          <w:spacing w:val="40"/>
        </w:rPr>
        <w:t> </w:t>
      </w:r>
      <w:r>
        <w:rPr/>
        <w:t>que teve a seguinte ordem:</w:t>
      </w:r>
      <w:r>
        <w:rPr>
          <w:spacing w:val="40"/>
        </w:rPr>
        <w:t> </w:t>
      </w:r>
      <w:r>
        <w:rPr/>
        <w:t>a) Análise do cenário</w:t>
      </w:r>
      <w:r>
        <w:rPr>
          <w:spacing w:val="40"/>
        </w:rPr>
        <w:t> </w:t>
      </w:r>
      <w:r>
        <w:rPr/>
        <w:t>macroeconômico</w:t>
      </w:r>
      <w:r>
        <w:rPr>
          <w:spacing w:val="40"/>
        </w:rPr>
        <w:t> </w:t>
      </w:r>
      <w:r>
        <w:rPr/>
        <w:t>de curto</w:t>
      </w:r>
      <w:r>
        <w:rPr>
          <w:spacing w:val="40"/>
        </w:rPr>
        <w:t> </w:t>
      </w:r>
      <w:r>
        <w:rPr/>
        <w:t>prazo,</w:t>
      </w:r>
      <w:r>
        <w:rPr>
          <w:spacing w:val="40"/>
        </w:rPr>
        <w:t> </w:t>
      </w:r>
      <w:r>
        <w:rPr/>
        <w:t>bem</w:t>
      </w:r>
      <w:r>
        <w:rPr>
          <w:spacing w:val="40"/>
        </w:rPr>
        <w:t> </w:t>
      </w:r>
      <w:r>
        <w:rPr/>
        <w:t>como</w:t>
      </w:r>
      <w:r>
        <w:rPr>
          <w:spacing w:val="40"/>
        </w:rPr>
        <w:t> </w:t>
      </w:r>
      <w:r>
        <w:rPr/>
        <w:t>as</w:t>
      </w:r>
      <w:r>
        <w:rPr>
          <w:spacing w:val="40"/>
        </w:rPr>
        <w:t> </w:t>
      </w:r>
      <w:r>
        <w:rPr/>
        <w:t>expectativas</w:t>
      </w:r>
      <w:r>
        <w:rPr>
          <w:spacing w:val="40"/>
        </w:rPr>
        <w:t> </w:t>
      </w:r>
      <w:r>
        <w:rPr/>
        <w:t>de</w:t>
      </w:r>
      <w:r>
        <w:rPr>
          <w:spacing w:val="40"/>
        </w:rPr>
        <w:t> </w:t>
      </w:r>
      <w:r>
        <w:rPr/>
        <w:t>mercado;</w:t>
      </w:r>
      <w:r>
        <w:rPr>
          <w:spacing w:val="40"/>
        </w:rPr>
        <w:t> </w:t>
      </w:r>
      <w:r>
        <w:rPr/>
        <w:t>b)</w:t>
      </w:r>
      <w:r>
        <w:rPr>
          <w:spacing w:val="40"/>
        </w:rPr>
        <w:t> </w:t>
      </w:r>
      <w:r>
        <w:rPr/>
        <w:t>Avaliação</w:t>
      </w:r>
      <w:r>
        <w:rPr>
          <w:spacing w:val="40"/>
        </w:rPr>
        <w:t> </w:t>
      </w:r>
      <w:r>
        <w:rPr/>
        <w:t>dos</w:t>
      </w:r>
      <w:r>
        <w:rPr>
          <w:spacing w:val="40"/>
        </w:rPr>
        <w:t> </w:t>
      </w:r>
      <w:r>
        <w:rPr/>
        <w:t>investimentos que</w:t>
      </w:r>
      <w:r>
        <w:rPr>
          <w:spacing w:val="35"/>
        </w:rPr>
        <w:t> </w:t>
      </w:r>
      <w:r>
        <w:rPr/>
        <w:t>compõem</w:t>
      </w:r>
      <w:r>
        <w:rPr>
          <w:spacing w:val="37"/>
        </w:rPr>
        <w:t> </w:t>
      </w:r>
      <w:r>
        <w:rPr/>
        <w:t>o</w:t>
      </w:r>
      <w:r>
        <w:rPr>
          <w:spacing w:val="35"/>
        </w:rPr>
        <w:t> </w:t>
      </w:r>
      <w:r>
        <w:rPr/>
        <w:t>patrimônio</w:t>
      </w:r>
      <w:r>
        <w:rPr>
          <w:spacing w:val="35"/>
        </w:rPr>
        <w:t> </w:t>
      </w:r>
      <w:r>
        <w:rPr/>
        <w:t>dos</w:t>
      </w:r>
      <w:r>
        <w:rPr>
          <w:spacing w:val="36"/>
        </w:rPr>
        <w:t> </w:t>
      </w:r>
      <w:r>
        <w:rPr/>
        <w:t>diversos</w:t>
      </w:r>
      <w:r>
        <w:rPr>
          <w:spacing w:val="36"/>
        </w:rPr>
        <w:t> </w:t>
      </w:r>
      <w:r>
        <w:rPr/>
        <w:t>segmentos</w:t>
      </w:r>
      <w:r>
        <w:rPr>
          <w:spacing w:val="36"/>
        </w:rPr>
        <w:t> </w:t>
      </w:r>
      <w:r>
        <w:rPr/>
        <w:t>de</w:t>
      </w:r>
      <w:r>
        <w:rPr>
          <w:spacing w:val="34"/>
        </w:rPr>
        <w:t> </w:t>
      </w:r>
      <w:r>
        <w:rPr/>
        <w:t>aplicação;</w:t>
      </w:r>
      <w:r>
        <w:rPr>
          <w:spacing w:val="35"/>
        </w:rPr>
        <w:t> </w:t>
      </w:r>
      <w:r>
        <w:rPr/>
        <w:t>c)</w:t>
      </w:r>
      <w:r>
        <w:rPr>
          <w:spacing w:val="34"/>
        </w:rPr>
        <w:t> </w:t>
      </w:r>
      <w:r>
        <w:rPr/>
        <w:t>Análise</w:t>
      </w:r>
      <w:r>
        <w:rPr>
          <w:spacing w:val="32"/>
        </w:rPr>
        <w:t> </w:t>
      </w:r>
      <w:r>
        <w:rPr/>
        <w:t>do</w:t>
      </w:r>
      <w:r>
        <w:rPr>
          <w:spacing w:val="32"/>
        </w:rPr>
        <w:t> </w:t>
      </w:r>
      <w:r>
        <w:rPr/>
        <w:t>fluxo de caixa, considerando as obrigações previdenciárias e administrativas para o mês em curso; d) Proposições de investimentos/ desinvestimentos, considerando avaliações técnicas</w:t>
      </w:r>
      <w:r>
        <w:rPr>
          <w:spacing w:val="80"/>
        </w:rPr>
        <w:t> </w:t>
      </w:r>
      <w:r>
        <w:rPr/>
        <w:t>com</w:t>
      </w:r>
      <w:r>
        <w:rPr>
          <w:spacing w:val="80"/>
        </w:rPr>
        <w:t> </w:t>
      </w:r>
      <w:r>
        <w:rPr/>
        <w:t>relação</w:t>
      </w:r>
      <w:r>
        <w:rPr>
          <w:spacing w:val="80"/>
        </w:rPr>
        <w:t> </w:t>
      </w:r>
      <w:r>
        <w:rPr/>
        <w:t>aos</w:t>
      </w:r>
      <w:r>
        <w:rPr>
          <w:spacing w:val="80"/>
        </w:rPr>
        <w:t> </w:t>
      </w:r>
      <w:r>
        <w:rPr/>
        <w:t>ativos</w:t>
      </w:r>
      <w:r>
        <w:rPr>
          <w:spacing w:val="80"/>
        </w:rPr>
        <w:t> </w:t>
      </w:r>
      <w:r>
        <w:rPr/>
        <w:t>objetos</w:t>
      </w:r>
      <w:r>
        <w:rPr>
          <w:spacing w:val="80"/>
        </w:rPr>
        <w:t> </w:t>
      </w:r>
      <w:r>
        <w:rPr/>
        <w:t>da</w:t>
      </w:r>
      <w:r>
        <w:rPr>
          <w:spacing w:val="80"/>
        </w:rPr>
        <w:t> </w:t>
      </w:r>
      <w:r>
        <w:rPr/>
        <w:t>proposta,</w:t>
      </w:r>
      <w:r>
        <w:rPr>
          <w:spacing w:val="80"/>
        </w:rPr>
        <w:t> </w:t>
      </w:r>
      <w:r>
        <w:rPr/>
        <w:t>que</w:t>
      </w:r>
      <w:r>
        <w:rPr>
          <w:spacing w:val="80"/>
        </w:rPr>
        <w:t> </w:t>
      </w:r>
      <w:r>
        <w:rPr/>
        <w:t>justifique</w:t>
      </w:r>
      <w:r>
        <w:rPr>
          <w:spacing w:val="80"/>
        </w:rPr>
        <w:t> </w:t>
      </w:r>
      <w:r>
        <w:rPr/>
        <w:t>o</w:t>
      </w:r>
      <w:r>
        <w:rPr>
          <w:spacing w:val="80"/>
        </w:rPr>
        <w:t> </w:t>
      </w:r>
      <w:r>
        <w:rPr/>
        <w:t>movimento</w:t>
      </w:r>
    </w:p>
    <w:p>
      <w:pPr>
        <w:pStyle w:val="BodyText"/>
        <w:spacing w:after="0" w:line="364" w:lineRule="auto"/>
        <w:jc w:val="both"/>
        <w:sectPr>
          <w:type w:val="continuous"/>
          <w:pgSz w:w="11900" w:h="16840"/>
          <w:pgMar w:top="1940" w:bottom="280" w:left="1559" w:right="992"/>
        </w:sectPr>
      </w:pPr>
    </w:p>
    <w:p>
      <w:pPr>
        <w:pStyle w:val="BodyText"/>
        <w:spacing w:before="169"/>
      </w:pPr>
    </w:p>
    <w:p>
      <w:pPr>
        <w:pStyle w:val="BodyText"/>
        <w:spacing w:line="364" w:lineRule="auto"/>
        <w:ind w:left="96" w:right="92"/>
        <w:jc w:val="both"/>
      </w:pPr>
      <w:r>
        <w:rPr/>
        <w:t>proposto; e) Assuntos gerais. A senhora Presidente, Michele Forster apresentou a variação do mês de março, até a presente data, do IRF-M e IMA segundo informações disponibilizadas pela ANBIMA, nos quais este Instituto faz suas aplicações. Apresentou, também, o IRF-M 1, outra possibilidade de investimento, que vem ao longo das últimas semanas apresentando baixa volatilidade, ficando definido que os recursos que serão utilizados para fluxo de caixa deverão ser aplicados neste índice. Logo a seguir, apresentou o Mapa de Disponibilidade Bancária, informando que os gastos do Instituto, cujo maior volume será utilizado</w:t>
      </w:r>
      <w:r>
        <w:rPr>
          <w:spacing w:val="20"/>
        </w:rPr>
        <w:t> </w:t>
      </w:r>
      <w:r>
        <w:rPr/>
        <w:t>para</w:t>
      </w:r>
      <w:r>
        <w:rPr>
          <w:spacing w:val="20"/>
        </w:rPr>
        <w:t> </w:t>
      </w:r>
      <w:r>
        <w:rPr/>
        <w:t>pagamento dos servidores</w:t>
      </w:r>
      <w:r>
        <w:rPr>
          <w:spacing w:val="21"/>
        </w:rPr>
        <w:t> </w:t>
      </w:r>
      <w:r>
        <w:rPr/>
        <w:t>ativos desta Autarquia</w:t>
      </w:r>
      <w:r>
        <w:rPr>
          <w:spacing w:val="40"/>
        </w:rPr>
        <w:t> </w:t>
      </w:r>
      <w:r>
        <w:rPr/>
        <w:t>e a folha dos inativos até a próxima semana, será honrado com o resgate de parte dos valores investidos em IMA-Geral. Com relação aos dois Fundos de Investimento em Renda Variável que estavam sendo pesquisados, o BB Consumo FIC Ações e o BB Small Caps FIC Ações, verificou-se que ambos podem ser adquiridos pelo RPPS, mas deliberou-se que enquanto o cenário macroeconômico estiver se apresentando tão instável, a estratégia de investimentos desta Autarquia permanecerá no perfil conservador, ou seja, investimentos em renda variável não comporão a carteira de investimentos. A senhora Presidente falou ainda que, em contato com a empresa de consultoria</w:t>
      </w:r>
      <w:r>
        <w:rPr>
          <w:spacing w:val="40"/>
        </w:rPr>
        <w:t> </w:t>
      </w:r>
      <w:r>
        <w:rPr/>
        <w:t>Crédito&amp;Mercado,</w:t>
      </w:r>
      <w:r>
        <w:rPr>
          <w:spacing w:val="40"/>
        </w:rPr>
        <w:t> </w:t>
      </w:r>
      <w:r>
        <w:rPr/>
        <w:t>questionou</w:t>
      </w:r>
      <w:r>
        <w:rPr>
          <w:spacing w:val="40"/>
        </w:rPr>
        <w:t> </w:t>
      </w:r>
      <w:r>
        <w:rPr/>
        <w:t>sobre</w:t>
      </w:r>
      <w:r>
        <w:rPr>
          <w:spacing w:val="40"/>
        </w:rPr>
        <w:t> </w:t>
      </w:r>
      <w:r>
        <w:rPr/>
        <w:t>a</w:t>
      </w:r>
      <w:r>
        <w:rPr>
          <w:spacing w:val="40"/>
        </w:rPr>
        <w:t> </w:t>
      </w:r>
      <w:r>
        <w:rPr/>
        <w:t>possibilidade</w:t>
      </w:r>
      <w:r>
        <w:rPr>
          <w:spacing w:val="40"/>
        </w:rPr>
        <w:t> </w:t>
      </w:r>
      <w:r>
        <w:rPr/>
        <w:t>da</w:t>
      </w:r>
      <w:r>
        <w:rPr>
          <w:spacing w:val="40"/>
        </w:rPr>
        <w:t> </w:t>
      </w:r>
      <w:r>
        <w:rPr/>
        <w:t>aplicação</w:t>
      </w:r>
      <w:r>
        <w:rPr>
          <w:spacing w:val="40"/>
        </w:rPr>
        <w:t> </w:t>
      </w:r>
      <w:r>
        <w:rPr/>
        <w:t>em Fundos Imobiliários, o que não fora aconselhado tendo em vista a baixa liquidez destes ativos, o valor do patrimônio financeiro do INPAS e, ainda, as necessidades de fluxo de caixa deste. No item “Assuntos Gerais”, o senhor Marcus Curvelo fez menção aos assuntos tratados no vigésimo quinto Seminário Nacional de Previdência Social da ABIPEM, do qual participou, realizado em Brasília/ DF nos dias quatorze e quinze deste mês de março, onde foram tratados diversos assuntos relacionados a RPPS e, entre</w:t>
      </w:r>
      <w:r>
        <w:rPr>
          <w:spacing w:val="40"/>
        </w:rPr>
        <w:t> </w:t>
      </w:r>
      <w:r>
        <w:rPr/>
        <w:t>eles, assuntos ligados a iniciativas que tendem a melhorar a expectativa quanto à questão do déficit atuarial que é a grande preocupação dos Regimes Próprios de Previdência no país, entre elas projetos que criem novas formas de aporte de capital, como percentuais sobre a arrecadação</w:t>
      </w:r>
      <w:r>
        <w:rPr>
          <w:spacing w:val="19"/>
        </w:rPr>
        <w:t> </w:t>
      </w:r>
      <w:r>
        <w:rPr/>
        <w:t>da loteria federal, do seguro DPVAT,</w:t>
      </w:r>
      <w:r>
        <w:rPr>
          <w:spacing w:val="19"/>
        </w:rPr>
        <w:t> </w:t>
      </w:r>
      <w:r>
        <w:rPr/>
        <w:t>royalties e</w:t>
      </w:r>
      <w:r>
        <w:rPr>
          <w:spacing w:val="80"/>
        </w:rPr>
        <w:t> </w:t>
      </w:r>
      <w:r>
        <w:rPr/>
        <w:t>a criação de uma Câmara de Compensação entre os regimes próprios e o regime geral, que hoje ocorre através do COMPREV. Por fim, ficara definido que a próxima reunião ordinária ocorrerá dentro do programado no calendário anual, ou seja, dia doze de abril do</w:t>
      </w:r>
      <w:r>
        <w:rPr>
          <w:spacing w:val="37"/>
        </w:rPr>
        <w:t> </w:t>
      </w:r>
      <w:r>
        <w:rPr/>
        <w:t>corrente.</w:t>
      </w:r>
      <w:r>
        <w:rPr>
          <w:spacing w:val="40"/>
        </w:rPr>
        <w:t> </w:t>
      </w:r>
      <w:r>
        <w:rPr/>
        <w:t>Nada</w:t>
      </w:r>
      <w:r>
        <w:rPr>
          <w:spacing w:val="37"/>
        </w:rPr>
        <w:t> </w:t>
      </w:r>
      <w:r>
        <w:rPr/>
        <w:t>mais</w:t>
      </w:r>
      <w:r>
        <w:rPr>
          <w:spacing w:val="37"/>
        </w:rPr>
        <w:t> </w:t>
      </w:r>
      <w:r>
        <w:rPr/>
        <w:t>havendo</w:t>
      </w:r>
      <w:r>
        <w:rPr>
          <w:spacing w:val="39"/>
        </w:rPr>
        <w:t> </w:t>
      </w:r>
      <w:r>
        <w:rPr/>
        <w:t>a</w:t>
      </w:r>
      <w:r>
        <w:rPr>
          <w:spacing w:val="36"/>
        </w:rPr>
        <w:t> </w:t>
      </w:r>
      <w:r>
        <w:rPr/>
        <w:t>tratar,</w:t>
      </w:r>
      <w:r>
        <w:rPr>
          <w:spacing w:val="39"/>
        </w:rPr>
        <w:t> </w:t>
      </w:r>
      <w:r>
        <w:rPr/>
        <w:t>a</w:t>
      </w:r>
      <w:r>
        <w:rPr>
          <w:spacing w:val="38"/>
        </w:rPr>
        <w:t> </w:t>
      </w:r>
      <w:r>
        <w:rPr/>
        <w:t>senhora</w:t>
      </w:r>
      <w:r>
        <w:rPr>
          <w:spacing w:val="36"/>
        </w:rPr>
        <w:t> </w:t>
      </w:r>
      <w:r>
        <w:rPr/>
        <w:t>Presidente</w:t>
      </w:r>
      <w:r>
        <w:rPr>
          <w:spacing w:val="40"/>
        </w:rPr>
        <w:t> </w:t>
      </w:r>
      <w:r>
        <w:rPr/>
        <w:t>deu</w:t>
      </w:r>
      <w:r>
        <w:rPr>
          <w:spacing w:val="38"/>
        </w:rPr>
        <w:t> </w:t>
      </w:r>
      <w:r>
        <w:rPr/>
        <w:t>por</w:t>
      </w:r>
      <w:r>
        <w:rPr>
          <w:spacing w:val="39"/>
        </w:rPr>
        <w:t> </w:t>
      </w:r>
      <w:r>
        <w:rPr/>
        <w:t>encerrada</w:t>
      </w:r>
      <w:r>
        <w:rPr>
          <w:spacing w:val="38"/>
        </w:rPr>
        <w:t> </w:t>
      </w:r>
      <w:r>
        <w:rPr>
          <w:spacing w:val="-10"/>
        </w:rPr>
        <w:t>a</w:t>
      </w:r>
    </w:p>
    <w:p>
      <w:pPr>
        <w:pStyle w:val="BodyText"/>
        <w:spacing w:after="0" w:line="364" w:lineRule="auto"/>
        <w:jc w:val="both"/>
        <w:sectPr>
          <w:pgSz w:w="11900" w:h="16840"/>
          <w:pgMar w:top="1940" w:bottom="280" w:left="1559" w:right="992"/>
        </w:sectPr>
      </w:pPr>
    </w:p>
    <w:p>
      <w:pPr>
        <w:pStyle w:val="BodyText"/>
        <w:spacing w:before="169"/>
      </w:pPr>
    </w:p>
    <w:p>
      <w:pPr>
        <w:pStyle w:val="BodyText"/>
        <w:spacing w:line="364" w:lineRule="auto"/>
        <w:ind w:left="96" w:right="93"/>
        <w:jc w:val="both"/>
      </w:pPr>
      <w:r>
        <w:rPr/>
        <w:t>presente reunião às dez horas e vinte minutos, cuja Ata segue lavrada por mim, Secretária deste Comitê, que a submeterei à aprovação dos demais membros e devidamente colherei suas assinaturas.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p>
    <w:p>
      <w:pPr>
        <w:spacing w:line="28" w:lineRule="exact"/>
        <w:ind w:left="382" w:right="0" w:firstLine="0"/>
        <w:jc w:val="left"/>
        <w:rPr>
          <w:position w:val="0"/>
          <w:sz w:val="2"/>
        </w:rPr>
      </w:pPr>
      <w:r>
        <w:rPr>
          <w:position w:val="0"/>
          <w:sz w:val="2"/>
        </w:rPr>
        <mc:AlternateContent>
          <mc:Choice Requires="wps">
            <w:drawing>
              <wp:inline distT="0" distB="0" distL="0" distR="0">
                <wp:extent cx="2676525" cy="18415"/>
                <wp:effectExtent l="0" t="0" r="0" b="0"/>
                <wp:docPr id="2" name="Group 2"/>
                <wp:cNvGraphicFramePr>
                  <a:graphicFrameLocks/>
                </wp:cNvGraphicFramePr>
                <a:graphic>
                  <a:graphicData uri="http://schemas.microsoft.com/office/word/2010/wordprocessingGroup">
                    <wpg:wgp>
                      <wpg:cNvPr id="2" name="Group 2"/>
                      <wpg:cNvGrpSpPr/>
                      <wpg:grpSpPr>
                        <a:xfrm>
                          <a:off x="0" y="0"/>
                          <a:ext cx="2676525" cy="18415"/>
                          <a:chExt cx="2676525" cy="18415"/>
                        </a:xfrm>
                      </wpg:grpSpPr>
                      <wps:wsp>
                        <wps:cNvPr id="3" name="Graphic 3"/>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1" coordorigin="0,0" coordsize="4215,29">
                <v:rect style="position:absolute;left:0;top:0;width:4215;height:29" id="docshape2" filled="true" fillcolor="#000000" stroked="false">
                  <v:fill type="solid"/>
                </v:rect>
              </v:group>
            </w:pict>
          </mc:Fallback>
        </mc:AlternateContent>
      </w:r>
      <w:r>
        <w:rPr>
          <w:position w:val="0"/>
          <w:sz w:val="2"/>
        </w:rPr>
      </w:r>
      <w:r>
        <w:rPr>
          <w:rFonts w:ascii="Times New Roman"/>
          <w:spacing w:val="138"/>
          <w:position w:val="0"/>
          <w:sz w:val="2"/>
        </w:rPr>
        <w:t> </w:t>
      </w:r>
      <w:r>
        <w:rPr>
          <w:spacing w:val="138"/>
          <w:position w:val="0"/>
          <w:sz w:val="2"/>
        </w:rPr>
        <mc:AlternateContent>
          <mc:Choice Requires="wps">
            <w:drawing>
              <wp:inline distT="0" distB="0" distL="0" distR="0">
                <wp:extent cx="2676525" cy="18415"/>
                <wp:effectExtent l="0" t="0" r="0" b="0"/>
                <wp:docPr id="4" name="Group 4"/>
                <wp:cNvGraphicFramePr>
                  <a:graphicFrameLocks/>
                </wp:cNvGraphicFramePr>
                <a:graphic>
                  <a:graphicData uri="http://schemas.microsoft.com/office/word/2010/wordprocessingGroup">
                    <wpg:wgp>
                      <wpg:cNvPr id="4" name="Group 4"/>
                      <wpg:cNvGrpSpPr/>
                      <wpg:grpSpPr>
                        <a:xfrm>
                          <a:off x="0" y="0"/>
                          <a:ext cx="2676525" cy="18415"/>
                          <a:chExt cx="2676525" cy="18415"/>
                        </a:xfrm>
                      </wpg:grpSpPr>
                      <wps:wsp>
                        <wps:cNvPr id="5" name="Graphic 5"/>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3" coordorigin="0,0" coordsize="4215,29">
                <v:rect style="position:absolute;left:0;top:0;width:4215;height:29" id="docshape4" filled="true" fillcolor="#000000" stroked="false">
                  <v:fill type="solid"/>
                </v:rect>
              </v:group>
            </w:pict>
          </mc:Fallback>
        </mc:AlternateContent>
      </w:r>
      <w:r>
        <w:rPr>
          <w:spacing w:val="138"/>
          <w:position w:val="0"/>
          <w:sz w:val="2"/>
        </w:rPr>
      </w:r>
    </w:p>
    <w:p>
      <w:pPr>
        <w:spacing w:after="0" w:line="28" w:lineRule="exact"/>
        <w:jc w:val="left"/>
        <w:rPr>
          <w:position w:val="0"/>
          <w:sz w:val="2"/>
        </w:rPr>
        <w:sectPr>
          <w:pgSz w:w="11900" w:h="16840"/>
          <w:pgMar w:top="1940" w:bottom="280" w:left="1559" w:right="992"/>
        </w:sectPr>
      </w:pPr>
    </w:p>
    <w:p>
      <w:pPr>
        <w:pStyle w:val="BodyText"/>
        <w:spacing w:line="364" w:lineRule="auto" w:before="3"/>
        <w:ind w:left="848" w:firstLine="381"/>
      </w:pPr>
      <w:r>
        <w:rPr/>
        <w:t>Michele Schiffler Forster Chefe da Divisão de Tesouraria</w:t>
      </w:r>
    </w:p>
    <w:p>
      <w:pPr>
        <w:pStyle w:val="BodyText"/>
        <w:ind w:left="1930"/>
      </w:pPr>
      <w:r>
        <w:rPr>
          <w:spacing w:val="-2"/>
        </w:rPr>
        <w:t>Presidente</w:t>
      </w:r>
    </w:p>
    <w:p>
      <w:pPr>
        <w:pStyle w:val="BodyText"/>
        <w:spacing w:line="364" w:lineRule="auto" w:before="3"/>
        <w:ind w:left="848" w:right="1111"/>
        <w:jc w:val="center"/>
      </w:pPr>
      <w:r>
        <w:rPr/>
        <w:br w:type="column"/>
      </w:r>
      <w:r>
        <w:rPr/>
        <w:t>Adriana Catarina da Costa Gestora Previdenciária </w:t>
      </w:r>
      <w:r>
        <w:rPr>
          <w:spacing w:val="-2"/>
        </w:rPr>
        <w:t>Secretária</w:t>
      </w:r>
    </w:p>
    <w:p>
      <w:pPr>
        <w:pStyle w:val="BodyText"/>
        <w:spacing w:after="0" w:line="364" w:lineRule="auto"/>
        <w:jc w:val="center"/>
        <w:sectPr>
          <w:type w:val="continuous"/>
          <w:pgSz w:w="11900" w:h="16840"/>
          <w:pgMar w:top="1940" w:bottom="280" w:left="1559" w:right="992"/>
          <w:cols w:num="2" w:equalWidth="0">
            <w:col w:w="4173" w:space="462"/>
            <w:col w:w="4714"/>
          </w:cols>
        </w:sectPr>
      </w:pPr>
    </w:p>
    <w:p>
      <w:pPr>
        <w:pStyle w:val="BodyText"/>
        <w:rPr>
          <w:sz w:val="20"/>
        </w:rPr>
      </w:pPr>
    </w:p>
    <w:p>
      <w:pPr>
        <w:pStyle w:val="BodyText"/>
        <w:rPr>
          <w:sz w:val="20"/>
        </w:rPr>
      </w:pPr>
    </w:p>
    <w:p>
      <w:pPr>
        <w:pStyle w:val="BodyText"/>
        <w:spacing w:before="139"/>
        <w:rPr>
          <w:sz w:val="20"/>
        </w:rPr>
      </w:pPr>
    </w:p>
    <w:p>
      <w:pPr>
        <w:spacing w:line="26" w:lineRule="exact"/>
        <w:ind w:left="382" w:right="0" w:firstLine="0"/>
        <w:jc w:val="left"/>
        <w:rPr>
          <w:position w:val="0"/>
          <w:sz w:val="2"/>
        </w:rPr>
      </w:pPr>
      <w:r>
        <w:rPr>
          <w:position w:val="0"/>
          <w:sz w:val="2"/>
        </w:rPr>
        <mc:AlternateContent>
          <mc:Choice Requires="wps">
            <w:drawing>
              <wp:inline distT="0" distB="0" distL="0" distR="0">
                <wp:extent cx="2676525" cy="17145"/>
                <wp:effectExtent l="0" t="0" r="0" b="0"/>
                <wp:docPr id="6" name="Group 6"/>
                <wp:cNvGraphicFramePr>
                  <a:graphicFrameLocks/>
                </wp:cNvGraphicFramePr>
                <a:graphic>
                  <a:graphicData uri="http://schemas.microsoft.com/office/word/2010/wordprocessingGroup">
                    <wpg:wgp>
                      <wpg:cNvPr id="6" name="Group 6"/>
                      <wpg:cNvGrpSpPr/>
                      <wpg:grpSpPr>
                        <a:xfrm>
                          <a:off x="0" y="0"/>
                          <a:ext cx="2676525" cy="17145"/>
                          <a:chExt cx="2676525" cy="17145"/>
                        </a:xfrm>
                      </wpg:grpSpPr>
                      <wps:wsp>
                        <wps:cNvPr id="7" name="Graphic 7"/>
                        <wps:cNvSpPr/>
                        <wps:spPr>
                          <a:xfrm>
                            <a:off x="0" y="0"/>
                            <a:ext cx="2676525" cy="17145"/>
                          </a:xfrm>
                          <a:custGeom>
                            <a:avLst/>
                            <a:gdLst/>
                            <a:ahLst/>
                            <a:cxnLst/>
                            <a:rect l="l" t="t" r="r" b="b"/>
                            <a:pathLst>
                              <a:path w="2676525" h="17145">
                                <a:moveTo>
                                  <a:pt x="2676143" y="0"/>
                                </a:moveTo>
                                <a:lnTo>
                                  <a:pt x="0" y="0"/>
                                </a:lnTo>
                                <a:lnTo>
                                  <a:pt x="0" y="16763"/>
                                </a:lnTo>
                                <a:lnTo>
                                  <a:pt x="2676143" y="16763"/>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35pt;mso-position-horizontal-relative:char;mso-position-vertical-relative:line" id="docshapegroup5" coordorigin="0,0" coordsize="4215,27">
                <v:rect style="position:absolute;left:0;top:0;width:4215;height:27" id="docshape6" filled="true" fillcolor="#000000" stroked="false">
                  <v:fill type="solid"/>
                </v:rect>
              </v:group>
            </w:pict>
          </mc:Fallback>
        </mc:AlternateContent>
      </w:r>
      <w:r>
        <w:rPr>
          <w:position w:val="0"/>
          <w:sz w:val="2"/>
        </w:rPr>
      </w:r>
      <w:r>
        <w:rPr>
          <w:rFonts w:ascii="Times New Roman"/>
          <w:spacing w:val="138"/>
          <w:position w:val="0"/>
          <w:sz w:val="2"/>
        </w:rPr>
        <w:t> </w:t>
      </w:r>
      <w:r>
        <w:rPr>
          <w:spacing w:val="138"/>
          <w:position w:val="0"/>
          <w:sz w:val="2"/>
        </w:rPr>
        <mc:AlternateContent>
          <mc:Choice Requires="wps">
            <w:drawing>
              <wp:inline distT="0" distB="0" distL="0" distR="0">
                <wp:extent cx="2676525" cy="17145"/>
                <wp:effectExtent l="0" t="0" r="0" b="0"/>
                <wp:docPr id="8" name="Group 8"/>
                <wp:cNvGraphicFramePr>
                  <a:graphicFrameLocks/>
                </wp:cNvGraphicFramePr>
                <a:graphic>
                  <a:graphicData uri="http://schemas.microsoft.com/office/word/2010/wordprocessingGroup">
                    <wpg:wgp>
                      <wpg:cNvPr id="8" name="Group 8"/>
                      <wpg:cNvGrpSpPr/>
                      <wpg:grpSpPr>
                        <a:xfrm>
                          <a:off x="0" y="0"/>
                          <a:ext cx="2676525" cy="17145"/>
                          <a:chExt cx="2676525" cy="17145"/>
                        </a:xfrm>
                      </wpg:grpSpPr>
                      <wps:wsp>
                        <wps:cNvPr id="9" name="Graphic 9"/>
                        <wps:cNvSpPr/>
                        <wps:spPr>
                          <a:xfrm>
                            <a:off x="0" y="0"/>
                            <a:ext cx="2676525" cy="17145"/>
                          </a:xfrm>
                          <a:custGeom>
                            <a:avLst/>
                            <a:gdLst/>
                            <a:ahLst/>
                            <a:cxnLst/>
                            <a:rect l="l" t="t" r="r" b="b"/>
                            <a:pathLst>
                              <a:path w="2676525" h="17145">
                                <a:moveTo>
                                  <a:pt x="2676143" y="0"/>
                                </a:moveTo>
                                <a:lnTo>
                                  <a:pt x="0" y="0"/>
                                </a:lnTo>
                                <a:lnTo>
                                  <a:pt x="0" y="16763"/>
                                </a:lnTo>
                                <a:lnTo>
                                  <a:pt x="2676143" y="16763"/>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35pt;mso-position-horizontal-relative:char;mso-position-vertical-relative:line" id="docshapegroup7" coordorigin="0,0" coordsize="4215,27">
                <v:rect style="position:absolute;left:0;top:0;width:4215;height:27" id="docshape8" filled="true" fillcolor="#000000" stroked="false">
                  <v:fill type="solid"/>
                </v:rect>
              </v:group>
            </w:pict>
          </mc:Fallback>
        </mc:AlternateContent>
      </w:r>
      <w:r>
        <w:rPr>
          <w:spacing w:val="138"/>
          <w:position w:val="0"/>
          <w:sz w:val="2"/>
        </w:rPr>
      </w:r>
    </w:p>
    <w:p>
      <w:pPr>
        <w:spacing w:after="0" w:line="26" w:lineRule="exact"/>
        <w:jc w:val="left"/>
        <w:rPr>
          <w:position w:val="0"/>
          <w:sz w:val="2"/>
        </w:rPr>
        <w:sectPr>
          <w:type w:val="continuous"/>
          <w:pgSz w:w="11900" w:h="16840"/>
          <w:pgMar w:top="1940" w:bottom="280" w:left="1559" w:right="992"/>
        </w:sectPr>
      </w:pPr>
    </w:p>
    <w:p>
      <w:pPr>
        <w:pStyle w:val="BodyText"/>
        <w:spacing w:line="364" w:lineRule="auto" w:before="3"/>
        <w:ind w:left="1544" w:firstLine="127"/>
      </w:pPr>
      <w:r>
        <w:rPr/>
        <w:t>Marcus Curvelo </w:t>
      </w:r>
      <w:r>
        <w:rPr>
          <w:spacing w:val="-2"/>
        </w:rPr>
        <w:t>Diretor-</w:t>
      </w:r>
      <w:r>
        <w:rPr>
          <w:spacing w:val="-2"/>
        </w:rPr>
        <w:t>Presidente</w:t>
      </w:r>
    </w:p>
    <w:p>
      <w:pPr>
        <w:pStyle w:val="BodyText"/>
        <w:spacing w:line="364" w:lineRule="auto" w:before="3"/>
        <w:ind w:left="1521" w:right="633" w:firstLine="33"/>
      </w:pPr>
      <w:r>
        <w:rPr/>
        <w:br w:type="column"/>
      </w:r>
      <w:r>
        <w:rPr/>
        <w:t>Carla C. C. Maduro Vogas Tavares Diretora</w:t>
      </w:r>
      <w:r>
        <w:rPr>
          <w:spacing w:val="7"/>
        </w:rPr>
        <w:t> </w:t>
      </w:r>
      <w:r>
        <w:rPr/>
        <w:t>Administrativa</w:t>
      </w:r>
      <w:r>
        <w:rPr>
          <w:spacing w:val="4"/>
        </w:rPr>
        <w:t> </w:t>
      </w:r>
      <w:r>
        <w:rPr/>
        <w:t>e</w:t>
      </w:r>
      <w:r>
        <w:rPr>
          <w:spacing w:val="7"/>
        </w:rPr>
        <w:t> </w:t>
      </w:r>
      <w:r>
        <w:rPr>
          <w:spacing w:val="-2"/>
        </w:rPr>
        <w:t>Financeira</w:t>
      </w:r>
    </w:p>
    <w:p>
      <w:pPr>
        <w:pStyle w:val="BodyText"/>
        <w:spacing w:after="0" w:line="364" w:lineRule="auto"/>
        <w:sectPr>
          <w:type w:val="continuous"/>
          <w:pgSz w:w="11900" w:h="16840"/>
          <w:pgMar w:top="1940" w:bottom="280" w:left="1559" w:right="992"/>
          <w:cols w:num="2" w:equalWidth="0">
            <w:col w:w="3439" w:space="40"/>
            <w:col w:w="5870"/>
          </w:cols>
        </w:sectPr>
      </w:pPr>
    </w:p>
    <w:p>
      <w:pPr>
        <w:pStyle w:val="BodyText"/>
        <w:rPr>
          <w:sz w:val="20"/>
        </w:rPr>
      </w:pPr>
    </w:p>
    <w:p>
      <w:pPr>
        <w:pStyle w:val="BodyText"/>
        <w:rPr>
          <w:sz w:val="20"/>
        </w:rPr>
      </w:pPr>
    </w:p>
    <w:p>
      <w:pPr>
        <w:pStyle w:val="BodyText"/>
        <w:spacing w:before="137" w:after="1"/>
        <w:rPr>
          <w:sz w:val="20"/>
        </w:rPr>
      </w:pPr>
    </w:p>
    <w:p>
      <w:pPr>
        <w:pStyle w:val="BodyText"/>
        <w:spacing w:line="26" w:lineRule="exact"/>
        <w:ind w:left="382"/>
        <w:rPr>
          <w:position w:val="0"/>
          <w:sz w:val="2"/>
        </w:rPr>
      </w:pPr>
      <w:r>
        <w:rPr>
          <w:position w:val="0"/>
          <w:sz w:val="2"/>
        </w:rPr>
        <mc:AlternateContent>
          <mc:Choice Requires="wps">
            <w:drawing>
              <wp:inline distT="0" distB="0" distL="0" distR="0">
                <wp:extent cx="2676525" cy="1714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676525" cy="17145"/>
                          <a:chExt cx="2676525" cy="17145"/>
                        </a:xfrm>
                      </wpg:grpSpPr>
                      <wps:wsp>
                        <wps:cNvPr id="11" name="Graphic 11"/>
                        <wps:cNvSpPr/>
                        <wps:spPr>
                          <a:xfrm>
                            <a:off x="0" y="0"/>
                            <a:ext cx="2676525" cy="17145"/>
                          </a:xfrm>
                          <a:custGeom>
                            <a:avLst/>
                            <a:gdLst/>
                            <a:ahLst/>
                            <a:cxnLst/>
                            <a:rect l="l" t="t" r="r" b="b"/>
                            <a:pathLst>
                              <a:path w="2676525" h="17145">
                                <a:moveTo>
                                  <a:pt x="2676143" y="0"/>
                                </a:moveTo>
                                <a:lnTo>
                                  <a:pt x="0" y="0"/>
                                </a:lnTo>
                                <a:lnTo>
                                  <a:pt x="0" y="16763"/>
                                </a:lnTo>
                                <a:lnTo>
                                  <a:pt x="2676143" y="16763"/>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35pt;mso-position-horizontal-relative:char;mso-position-vertical-relative:line" id="docshapegroup9" coordorigin="0,0" coordsize="4215,27">
                <v:rect style="position:absolute;left:0;top:0;width:4215;height:27" id="docshape10" filled="true" fillcolor="#000000" stroked="false">
                  <v:fill type="solid"/>
                </v:rect>
              </v:group>
            </w:pict>
          </mc:Fallback>
        </mc:AlternateContent>
      </w:r>
      <w:r>
        <w:rPr>
          <w:position w:val="0"/>
          <w:sz w:val="2"/>
        </w:rPr>
      </w:r>
    </w:p>
    <w:p>
      <w:pPr>
        <w:pStyle w:val="BodyText"/>
        <w:spacing w:line="364" w:lineRule="auto" w:before="3"/>
        <w:ind w:left="689" w:right="4977" w:firstLine="468"/>
      </w:pPr>
      <w:r>
        <w:rPr/>
        <w:t>Lucimar da Glória Gomes Chefe da Divisão de Contabilidade</w:t>
      </w:r>
    </w:p>
    <w:sectPr>
      <w:type w:val="continuous"/>
      <w:pgSz w:w="11900" w:h="16840"/>
      <w:pgMar w:top="194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2025-05-19T16:25:04Z</dcterms:created>
  <dcterms:modified xsi:type="dcterms:W3CDTF">2025-05-19T16:25:04Z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