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5"/>
      </w:pPr>
    </w:p>
    <w:p>
      <w:pPr>
        <w:pStyle w:val="BodyText"/>
        <w:ind w:left="188" w:right="173"/>
        <w:jc w:val="both"/>
      </w:pPr>
      <w:r>
        <w:rPr/>
        <w:t>Ata da sexagésima reunião ordinária do Comitê de Investimentos do Instituto de Previdência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Petrópolis</w:t>
      </w:r>
      <w:r>
        <w:rPr>
          <w:spacing w:val="-1"/>
        </w:rPr>
        <w:t> </w:t>
      </w:r>
      <w:r>
        <w:rPr/>
        <w:t>– INPAS. Aos vinte e dois dias do mês de novembro do ano de dois mil e dezessete, às dez horas e dez minutos, no Auditório do Instituto de Previdência e Assistência Social do Servidor Público do Município de Petrópolis, reuniram-se os seguintes membros do Comitê de Investimentos deste Regime Próprio de Previdência</w:t>
      </w:r>
      <w:r>
        <w:rPr>
          <w:spacing w:val="40"/>
        </w:rPr>
        <w:t> </w:t>
      </w:r>
      <w:r>
        <w:rPr/>
        <w:t>Social: a) Diretor Financeiro do INPAS, senhor Robson Carneiro da Cruz; b) Chefe da Divisão de Contabilidade, senhora Lucimar da Glória Gomes, Presidente eleita deste Comitê c) Gestora Previdenciária, senhora Adriana Catarina da Costa;</w:t>
      </w:r>
    </w:p>
    <w:p>
      <w:pPr>
        <w:pStyle w:val="BodyText"/>
        <w:ind w:left="188" w:right="173"/>
        <w:jc w:val="both"/>
      </w:pPr>
      <w:r>
        <w:rPr/>
        <w:t>d) Gestora de Investimentos, senhora Michele Schiffler Forster; e) Chefe da Divisão de Tesouraria, senhora Claudia Miranda do Nascimento. Registra-se a ausência da senhora Carla Cristina Correa Maduro Vogas Tavares, por motivo de férias, e do Sr. Fernando Leite Fortes. Antes de iniciar, a presidente informa a necessidade de substituição da secretária que está de férias nesta reunião. A Gestora Previdenciária Adriana se oferece, o que é aceito por todos. Com esta composição</w:t>
      </w:r>
      <w:r>
        <w:rPr>
          <w:spacing w:val="-2"/>
        </w:rPr>
        <w:t> </w:t>
      </w:r>
      <w:r>
        <w:rPr/>
        <w:t>iniciou-se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reunião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pauta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dia,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teve a seguinte ordem: 1)- Leitura da ata da 17ª reunião extraordinária do Comitê de Investimentos; 2)- Análise da nova minuta da Política de Investimentos, de acordo com a Resolução do Conselho Monetário Nacional – CMN nº 4.604, de 19 de outubro de 2017, publicada em 20 de outubro de 2017, com a presença da Consultoria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Blasi;</w:t>
      </w:r>
      <w:r>
        <w:rPr>
          <w:spacing w:val="-3"/>
        </w:rPr>
        <w:t> </w:t>
      </w:r>
      <w:r>
        <w:rPr/>
        <w:t>3)-</w:t>
      </w:r>
      <w:r>
        <w:rPr>
          <w:spacing w:val="-4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processos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credenciamento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instituições financeiras, com a presença da Consultoria Di Blasi; 4)-Análise do cenário macroeconômico, bem como as expectativas de mercado; 5)- Análise do fluxo de caixa, considerando</w:t>
      </w:r>
      <w:r>
        <w:rPr>
          <w:spacing w:val="-1"/>
        </w:rPr>
        <w:t> </w:t>
      </w:r>
      <w:r>
        <w:rPr/>
        <w:t>as obrigações previdenciárias e administrativas para o</w:t>
      </w:r>
      <w:r>
        <w:rPr>
          <w:spacing w:val="-1"/>
        </w:rPr>
        <w:t> </w:t>
      </w:r>
      <w:r>
        <w:rPr/>
        <w:t>mês em curso; 6)- Avaliação dos investimentos que compõem o patrimônio dos diversos segmentos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aplicação;</w:t>
      </w:r>
      <w:r>
        <w:rPr>
          <w:spacing w:val="40"/>
        </w:rPr>
        <w:t> </w:t>
      </w:r>
      <w:r>
        <w:rPr/>
        <w:t>7)-</w:t>
      </w:r>
      <w:r>
        <w:rPr>
          <w:spacing w:val="40"/>
        </w:rPr>
        <w:t> </w:t>
      </w:r>
      <w:r>
        <w:rPr/>
        <w:t>Proposições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investimentos/desinvestimentos;</w:t>
      </w:r>
      <w:r>
        <w:rPr>
          <w:spacing w:val="40"/>
        </w:rPr>
        <w:t> </w:t>
      </w:r>
      <w:r>
        <w:rPr/>
        <w:t>8)</w:t>
      </w:r>
    </w:p>
    <w:p>
      <w:pPr>
        <w:pStyle w:val="BodyText"/>
        <w:spacing w:before="1"/>
        <w:ind w:left="188" w:right="172"/>
        <w:jc w:val="both"/>
      </w:pPr>
      <w:r>
        <w:rPr/>
        <w:t>-Análise do fluxograma do credenciamento de instituições financeiras; 9)- Assuntos Gerais. A Presidente do Comitê iniciou a reunião agradecendo a</w:t>
      </w:r>
      <w:r>
        <w:rPr>
          <w:spacing w:val="40"/>
        </w:rPr>
        <w:t> </w:t>
      </w:r>
      <w:r>
        <w:rPr/>
        <w:t>presença de todos. Em seguida, perguntou se todos haviam lido a ata da décima sétima reunião extraordinária do Comitê de Investimentos, que foi encaminhada por email e se havia alguma retificação a ser feita. Como não houve, a referida ata foi aprovada. O Sr. Robson pediu a palavra para avisar que o consultor Paulo Di Blasi telefonou avisando que estava a caminho. No intuito de agilizar a reunião, a senhora presidente solicitou inversão de pauta, e já que os itens dois e três seriam analisados juntamente ao consultor, passamos para o item 4. A senhora Michele destacou que em sua última reunião ocorrida em 25/10, o Copon reduziu a taxa Selic em 0,75, que agora está em 7,50%. Próxima reunião em 06 de dezembro. O relatório aponta que se o cenário econômico evoluir em linha com o esperado,</w:t>
      </w:r>
      <w:r>
        <w:rPr>
          <w:spacing w:val="80"/>
        </w:rPr>
        <w:t> </w:t>
      </w:r>
      <w:r>
        <w:rPr/>
        <w:t>será</w:t>
      </w:r>
      <w:r>
        <w:rPr>
          <w:spacing w:val="10"/>
        </w:rPr>
        <w:t> </w:t>
      </w:r>
      <w:r>
        <w:rPr/>
        <w:t>adequado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redução</w:t>
      </w:r>
      <w:r>
        <w:rPr>
          <w:spacing w:val="13"/>
        </w:rPr>
        <w:t> </w:t>
      </w:r>
      <w:r>
        <w:rPr/>
        <w:t>da</w:t>
      </w:r>
      <w:r>
        <w:rPr>
          <w:spacing w:val="12"/>
        </w:rPr>
        <w:t> </w:t>
      </w:r>
      <w:r>
        <w:rPr/>
        <w:t>taxa</w:t>
      </w:r>
      <w:r>
        <w:rPr>
          <w:spacing w:val="14"/>
        </w:rPr>
        <w:t> </w:t>
      </w:r>
      <w:r>
        <w:rPr/>
        <w:t>básica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juros</w:t>
      </w:r>
      <w:r>
        <w:rPr>
          <w:spacing w:val="14"/>
        </w:rPr>
        <w:t> </w:t>
      </w:r>
      <w:r>
        <w:rPr/>
        <w:t>mais</w:t>
      </w:r>
      <w:r>
        <w:rPr>
          <w:spacing w:val="14"/>
        </w:rPr>
        <w:t> </w:t>
      </w:r>
      <w:r>
        <w:rPr/>
        <w:t>moderada.</w:t>
      </w:r>
      <w:r>
        <w:rPr>
          <w:spacing w:val="14"/>
        </w:rPr>
        <w:t> </w:t>
      </w:r>
      <w:r>
        <w:rPr/>
        <w:t>Com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queda</w:t>
      </w:r>
      <w:r>
        <w:rPr>
          <w:spacing w:val="13"/>
        </w:rPr>
        <w:t> </w:t>
      </w:r>
      <w:r>
        <w:rPr>
          <w:spacing w:val="-5"/>
        </w:rPr>
        <w:t>da</w:t>
      </w:r>
    </w:p>
    <w:p>
      <w:pPr>
        <w:pStyle w:val="BodyText"/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952" w:footer="1554" w:top="1880" w:bottom="1740" w:left="1800" w:right="1440"/>
          <w:pgNumType w:start="1"/>
        </w:sectPr>
      </w:pPr>
    </w:p>
    <w:p>
      <w:pPr>
        <w:pStyle w:val="BodyText"/>
        <w:spacing w:before="155"/>
      </w:pPr>
    </w:p>
    <w:p>
      <w:pPr>
        <w:pStyle w:val="BodyText"/>
        <w:ind w:left="188" w:right="172"/>
        <w:jc w:val="both"/>
      </w:pPr>
      <w:r>
        <w:rPr/>
        <w:t>Selic, a rentabilidade da renda fixa também diminuiu. Dos benchmarks que utilizamos na carteira do Instituto, o IRFM1, que em julho apresentava 1,0494 de rentabilidade passou para 0,6202 em outubro. O IRFM, no mesmo período foi de 2,3067 para 0,1025. A rentabilidade acumulada em 2017 foi de 23,38% para o Ibovespa, 15,09% para o IRFM1+, 13,68% para o IRFM, 13,46% para o IMA B5+, 12,73% para o IMA B, 11,83% para o IMA Geral, 11,48% para o IMA B5, 9,81% para o IRFM1 e 8,07% para o DI, até o momento. No câmbio, este mês, o dólar comercial de mercado teve valorização de 3,36%, fechando outubro a R$3,27. O Ibovespa fechou outubro aos 74.308 pontos, com uma valorização de 0,02%, conforme dados do jornal Valor Econômico. Em análise ao Relatório</w:t>
      </w:r>
      <w:r>
        <w:rPr>
          <w:spacing w:val="40"/>
        </w:rPr>
        <w:t> </w:t>
      </w:r>
      <w:r>
        <w:rPr/>
        <w:t>Focus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novembro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2017,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expectativa</w:t>
      </w:r>
      <w:r>
        <w:rPr>
          <w:spacing w:val="-2"/>
        </w:rPr>
        <w:t> </w:t>
      </w:r>
      <w:r>
        <w:rPr/>
        <w:t>quanto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IPCA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crescimento (3,09), do PIB é estável há três semanas (0,73) e dos Preços Administrados de alta há seis semanas (7,50). Quanto às movimentações financeiras do Inpas, até</w:t>
      </w:r>
      <w:r>
        <w:rPr>
          <w:spacing w:val="40"/>
        </w:rPr>
        <w:t> </w:t>
      </w:r>
      <w:r>
        <w:rPr/>
        <w:t>outubro as aplicações somaram R$7.186.000,00; os resgates R$7.189.345,10; o retorno</w:t>
      </w:r>
      <w:r>
        <w:rPr>
          <w:spacing w:val="-5"/>
        </w:rPr>
        <w:t> </w:t>
      </w:r>
      <w:r>
        <w:rPr/>
        <w:t>financeiro</w:t>
      </w:r>
      <w:r>
        <w:rPr>
          <w:spacing w:val="-5"/>
        </w:rPr>
        <w:t> </w:t>
      </w:r>
      <w:r>
        <w:rPr/>
        <w:t>foi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R$129.329,97,</w:t>
      </w:r>
      <w:r>
        <w:rPr>
          <w:spacing w:val="-6"/>
        </w:rPr>
        <w:t> </w:t>
      </w:r>
      <w:r>
        <w:rPr/>
        <w:t>equivalente</w:t>
      </w:r>
      <w:r>
        <w:rPr>
          <w:spacing w:val="-4"/>
        </w:rPr>
        <w:t> </w:t>
      </w:r>
      <w:r>
        <w:rPr/>
        <w:t>à</w:t>
      </w:r>
      <w:r>
        <w:rPr>
          <w:spacing w:val="-6"/>
        </w:rPr>
        <w:t> </w:t>
      </w:r>
      <w:r>
        <w:rPr/>
        <w:t>9,67%.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meta</w:t>
      </w:r>
      <w:r>
        <w:rPr>
          <w:spacing w:val="-6"/>
        </w:rPr>
        <w:t> </w:t>
      </w:r>
      <w:r>
        <w:rPr/>
        <w:t>atuarial</w:t>
      </w:r>
      <w:r>
        <w:rPr>
          <w:spacing w:val="-7"/>
        </w:rPr>
        <w:t> </w:t>
      </w:r>
      <w:r>
        <w:rPr/>
        <w:t>ficou em 7,30%, o que até outubro nos garantiu um atingimento de 132,57% da meta atuarial. </w:t>
      </w:r>
      <w:r>
        <w:rPr>
          <w:sz w:val="24"/>
        </w:rPr>
        <w:t>A senhora Michele ainda apresentou o relatório de rentabilidade e risco dos ativos que compõem a carteira do Instituto. A volatilidade apresentada em 12 meses foi a seguinte: IRFM do Banco do Brasil: 2,56%; IRFM1 da CEF: 0,47%; IRFM1 do BB: 0,47%; CDI do Banco do Brasil: 0,48%..</w:t>
      </w:r>
      <w:r>
        <w:rPr>
          <w:spacing w:val="40"/>
          <w:sz w:val="24"/>
        </w:rPr>
        <w:t> </w:t>
      </w:r>
      <w:r>
        <w:rPr/>
        <w:t>A recomendação da Consultoria Di Brasi é centrar em Renda Fixa, nos Títulos Públicos Federais. Quanto ao FASSE, o saldo de fechamento de outubro foi de R$293.144,78, após rendimento de 1.574,10 e resgates que totalizaram 3,500,00. Após, a senhora Cláudia fez a apresentação do Fluxo de Caixa Previdenciário, onde se destaca a previsão de aporte da prefeitura no valor de R$4.500.000,00 e a previsão da Folha de Pagamento dos inativos no valor de R$9.215.000,00. No Fluxo de Caixa Administrativo, destaca-se a Folha</w:t>
      </w:r>
      <w:r>
        <w:rPr>
          <w:spacing w:val="40"/>
        </w:rPr>
        <w:t> </w:t>
      </w:r>
      <w:r>
        <w:rPr/>
        <w:t>de Pagamentos dos Cargos em Comissão, no valor de R$36.670,43 e a Folha de Pagamento dos Ativos, no valor de R$240.000,00. Após estas considerações, o Comitê optou pela manutenção das aplicações que estão firmadas até esta data. Satisfeitos os itens 4 a 7 da pauta, chegou o Consultor Paulo Di Blasi, e desta forma a senhora presidente voltou aos itens 2 e 3, passando para ele a palavra. Quanto ao item 2 ele ressalta que, para nós, em nossa realidade financeira, na verdade</w:t>
      </w:r>
      <w:r>
        <w:rPr>
          <w:spacing w:val="-3"/>
        </w:rPr>
        <w:t> </w:t>
      </w:r>
      <w:r>
        <w:rPr/>
        <w:t>nada</w:t>
      </w:r>
      <w:r>
        <w:rPr>
          <w:spacing w:val="-3"/>
        </w:rPr>
        <w:t> </w:t>
      </w:r>
      <w:r>
        <w:rPr/>
        <w:t>muda</w:t>
      </w:r>
      <w:r>
        <w:rPr>
          <w:spacing w:val="-3"/>
        </w:rPr>
        <w:t> </w:t>
      </w:r>
      <w:r>
        <w:rPr/>
        <w:t>nesse</w:t>
      </w:r>
      <w:r>
        <w:rPr>
          <w:spacing w:val="-3"/>
        </w:rPr>
        <w:t> </w:t>
      </w:r>
      <w:r>
        <w:rPr/>
        <w:t>momento.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DPIN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enviado</w:t>
      </w:r>
      <w:r>
        <w:rPr>
          <w:spacing w:val="-4"/>
        </w:rPr>
        <w:t> </w:t>
      </w:r>
      <w:r>
        <w:rPr/>
        <w:t>ainda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modelo</w:t>
      </w:r>
      <w:r>
        <w:rPr>
          <w:spacing w:val="-4"/>
        </w:rPr>
        <w:t> </w:t>
      </w:r>
      <w:r>
        <w:rPr/>
        <w:t>antigo, tendo em vista que o Ministério não conseguiu adequar o sistema a tempo para a nova resolução do Conselho Monetário Nacional. As maiores alterações tratadas pela Resolução encontram-se na renda variável, que não faz parte de nossa estratégia de investimento devido ao curto horizonte de aplicação do Inpas. Ele ressaltou que, no entanto, com a inflação que deverá ficar em 7% em 2018, nossa política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privilegiar</w:t>
      </w:r>
      <w:r>
        <w:rPr>
          <w:spacing w:val="31"/>
        </w:rPr>
        <w:t> </w:t>
      </w:r>
      <w:r>
        <w:rPr/>
        <w:t>liquidez</w:t>
      </w:r>
      <w:r>
        <w:rPr>
          <w:spacing w:val="32"/>
        </w:rPr>
        <w:t> </w:t>
      </w:r>
      <w:r>
        <w:rPr/>
        <w:t>não</w:t>
      </w:r>
      <w:r>
        <w:rPr>
          <w:spacing w:val="30"/>
        </w:rPr>
        <w:t> </w:t>
      </w:r>
      <w:r>
        <w:rPr/>
        <w:t>permitirá</w:t>
      </w:r>
      <w:r>
        <w:rPr>
          <w:spacing w:val="32"/>
        </w:rPr>
        <w:t> </w:t>
      </w:r>
      <w:r>
        <w:rPr/>
        <w:t>o</w:t>
      </w:r>
      <w:r>
        <w:rPr>
          <w:spacing w:val="30"/>
        </w:rPr>
        <w:t> </w:t>
      </w:r>
      <w:r>
        <w:rPr/>
        <w:t>atingimento</w:t>
      </w:r>
      <w:r>
        <w:rPr>
          <w:spacing w:val="30"/>
        </w:rPr>
        <w:t> </w:t>
      </w:r>
      <w:r>
        <w:rPr/>
        <w:t>da</w:t>
      </w:r>
      <w:r>
        <w:rPr>
          <w:spacing w:val="32"/>
        </w:rPr>
        <w:t> </w:t>
      </w:r>
      <w:r>
        <w:rPr/>
        <w:t>Meta</w:t>
      </w:r>
      <w:r>
        <w:rPr>
          <w:spacing w:val="30"/>
        </w:rPr>
        <w:t> </w:t>
      </w:r>
      <w:r>
        <w:rPr/>
        <w:t>Atuarial</w:t>
      </w:r>
      <w:r>
        <w:rPr>
          <w:spacing w:val="30"/>
        </w:rPr>
        <w:t> </w:t>
      </w:r>
      <w:r>
        <w:rPr/>
        <w:t>no</w:t>
      </w:r>
    </w:p>
    <w:p>
      <w:pPr>
        <w:pStyle w:val="BodyText"/>
        <w:spacing w:after="0"/>
        <w:jc w:val="both"/>
        <w:sectPr>
          <w:pgSz w:w="12240" w:h="15840"/>
          <w:pgMar w:header="952" w:footer="1554" w:top="1880" w:bottom="1760" w:left="1800" w:right="1440"/>
        </w:sectPr>
      </w:pPr>
    </w:p>
    <w:p>
      <w:pPr>
        <w:pStyle w:val="BodyText"/>
        <w:spacing w:before="155"/>
      </w:pPr>
    </w:p>
    <w:p>
      <w:pPr>
        <w:pStyle w:val="BodyText"/>
        <w:ind w:left="188" w:right="166"/>
        <w:jc w:val="both"/>
      </w:pPr>
      <w:r>
        <w:rPr/>
        <w:t>próximo exercic</w:t>
      </w:r>
      <w:bookmarkStart w:name="Instituto de Previdência e Assistência S" w:id="1"/>
      <w:bookmarkEnd w:id="1"/>
      <w:r>
        <w:rPr/>
        <w:t>io.</w:t>
      </w:r>
      <w:r>
        <w:rPr/>
        <w:t> Quanto ao item 3, ele sugere que solicitemos às Instituições Financeiras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Questionário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Diligência</w:t>
      </w:r>
      <w:r>
        <w:rPr>
          <w:spacing w:val="-3"/>
        </w:rPr>
        <w:t> </w:t>
      </w:r>
      <w:r>
        <w:rPr/>
        <w:t>Devida,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QDD,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trará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informações dais quais necessitamos. Disse, também, que podemos registrar até 10 fundos credenciados na plataforma da consultoria, o que deverá ser feito de acordo com a Política de Investimentos. Terminada a sua participação, os membros do Comitê agradeceram seu pronto atendimento à solicitação formulada, com a presença em nossa reunião. Ele se retirou e deu-se prosseguimento à reunião, com a análise do fluxograma, item 8, onde foi sugerido pela servidora Adriana que o encaminhamento para a aprovação pelo CMPP fosse físico, o que foi acolhido pelos demais membros. Em análise à quem seria responsável pelo despacho no processo</w:t>
      </w:r>
      <w:r>
        <w:rPr>
          <w:spacing w:val="-2"/>
        </w:rPr>
        <w:t> </w:t>
      </w:r>
      <w:r>
        <w:rPr/>
        <w:t>físico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virtual, pela</w:t>
      </w:r>
      <w:r>
        <w:rPr>
          <w:spacing w:val="-1"/>
        </w:rPr>
        <w:t> </w:t>
      </w:r>
      <w:r>
        <w:rPr/>
        <w:t>aprovação ou</w:t>
      </w:r>
      <w:r>
        <w:rPr>
          <w:spacing w:val="-2"/>
        </w:rPr>
        <w:t> </w:t>
      </w:r>
      <w:r>
        <w:rPr/>
        <w:t>reprovação</w:t>
      </w:r>
      <w:r>
        <w:rPr>
          <w:spacing w:val="-2"/>
        </w:rPr>
        <w:t> </w:t>
      </w:r>
      <w:r>
        <w:rPr/>
        <w:t>do credenciamento de cada Instituição Financeira, analisou-se a Lei do Inpas e ficou determinado que seria realizado pelas Gestoras Previdenciárias. Nada a mais havendo a tratar, a sra. Presidente encerrou a reunião às 12 horas e 55 minutos, e a presente Ata segue lavrada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mim,</w:t>
      </w:r>
      <w:r>
        <w:rPr>
          <w:spacing w:val="-3"/>
        </w:rPr>
        <w:t> </w:t>
      </w:r>
      <w:r>
        <w:rPr/>
        <w:t>Adriana</w:t>
      </w:r>
      <w:r>
        <w:rPr>
          <w:spacing w:val="-3"/>
        </w:rPr>
        <w:t> </w:t>
      </w:r>
      <w:r>
        <w:rPr/>
        <w:t>Catarina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Costa,</w:t>
      </w:r>
      <w:r>
        <w:rPr>
          <w:spacing w:val="-3"/>
        </w:rPr>
        <w:t> </w:t>
      </w:r>
      <w:r>
        <w:rPr/>
        <w:t>Secretária </w:t>
      </w:r>
      <w:r>
        <w:rPr>
          <w:i/>
        </w:rPr>
        <w:t>ad</w:t>
      </w:r>
      <w:r>
        <w:rPr>
          <w:i/>
          <w:spacing w:val="-6"/>
        </w:rPr>
        <w:t> </w:t>
      </w:r>
      <w:r>
        <w:rPr>
          <w:i/>
        </w:rPr>
        <w:t>hoc</w:t>
      </w:r>
      <w:r>
        <w:rPr>
          <w:i/>
          <w:spacing w:val="-4"/>
        </w:rPr>
        <w:t> </w:t>
      </w:r>
      <w:r>
        <w:rPr/>
        <w:t>deste</w:t>
      </w:r>
      <w:r>
        <w:rPr>
          <w:spacing w:val="-3"/>
        </w:rPr>
        <w:t> </w:t>
      </w:r>
      <w:r>
        <w:rPr/>
        <w:t>Comitê,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a submeterei à aprovação dos demais membros e devidamente colherei suas </w:t>
      </w:r>
      <w:r>
        <w:rPr>
          <w:spacing w:val="-2"/>
        </w:rPr>
        <w:t>assinaturas.</w:t>
      </w: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header="952" w:footer="1554" w:top="1880" w:bottom="1760" w:left="1800" w:right="1440"/>
        </w:sectPr>
      </w:pPr>
    </w:p>
    <w:p>
      <w:pPr>
        <w:pStyle w:val="BodyText"/>
        <w:spacing w:before="89"/>
        <w:ind w:left="410" w:right="38" w:firstLine="614"/>
      </w:pPr>
      <w:r>
        <w:rPr/>
        <w:t>Lucimar Glória Gomes Chefe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Divisão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Contabilidade</w:t>
      </w:r>
    </w:p>
    <w:p>
      <w:pPr>
        <w:pStyle w:val="BodyText"/>
        <w:ind w:left="1688"/>
      </w:pPr>
      <w:r>
        <w:rPr>
          <w:spacing w:val="-2"/>
        </w:rPr>
        <w:t>Presidente</w:t>
      </w:r>
    </w:p>
    <w:p>
      <w:pPr>
        <w:pStyle w:val="BodyText"/>
        <w:spacing w:before="89"/>
        <w:ind w:left="410" w:right="631"/>
        <w:jc w:val="center"/>
        <w:rPr>
          <w:i/>
        </w:rPr>
      </w:pPr>
      <w:r>
        <w:rPr/>
        <w:br w:type="column"/>
      </w:r>
      <w:r>
        <w:rPr/>
        <w:t>Adrina</w:t>
      </w:r>
      <w:r>
        <w:rPr>
          <w:spacing w:val="-13"/>
        </w:rPr>
        <w:t> </w:t>
      </w:r>
      <w:r>
        <w:rPr/>
        <w:t>Catarina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Costa Gestora Previdenciária Secretária </w:t>
      </w:r>
      <w:r>
        <w:rPr>
          <w:i/>
        </w:rPr>
        <w:t>Ad Hoc</w:t>
      </w:r>
    </w:p>
    <w:p>
      <w:pPr>
        <w:pStyle w:val="BodyText"/>
        <w:spacing w:after="0"/>
        <w:jc w:val="center"/>
        <w:rPr>
          <w:i/>
        </w:rPr>
        <w:sectPr>
          <w:type w:val="continuous"/>
          <w:pgSz w:w="12240" w:h="15840"/>
          <w:pgMar w:header="952" w:footer="1554" w:top="1880" w:bottom="1740" w:left="1800" w:right="1440"/>
          <w:cols w:num="2" w:equalWidth="0">
            <w:col w:w="4083" w:space="1241"/>
            <w:col w:w="367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8"/>
        <w:rPr>
          <w:i/>
          <w:sz w:val="20"/>
        </w:rPr>
      </w:pP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header="952" w:footer="1554" w:top="1880" w:bottom="1740" w:left="1800" w:right="1440"/>
        </w:sectPr>
      </w:pPr>
    </w:p>
    <w:p>
      <w:pPr>
        <w:pStyle w:val="BodyText"/>
        <w:spacing w:before="89"/>
        <w:ind w:left="1266" w:right="38" w:hanging="331"/>
      </w:pPr>
      <w:r>
        <w:rPr/>
        <w:t>Robson</w:t>
      </w:r>
      <w:r>
        <w:rPr>
          <w:spacing w:val="-15"/>
        </w:rPr>
        <w:t> </w:t>
      </w:r>
      <w:r>
        <w:rPr/>
        <w:t>Carneiro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Cruz Diretor Financeiro</w:t>
      </w:r>
    </w:p>
    <w:p>
      <w:pPr>
        <w:pStyle w:val="BodyText"/>
        <w:spacing w:before="89"/>
        <w:ind w:left="953" w:right="629" w:hanging="18"/>
      </w:pPr>
      <w:r>
        <w:rPr/>
        <w:br w:type="column"/>
      </w:r>
      <w:r>
        <w:rPr/>
        <w:t>Michele Schifller Forster Gestora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Investimentos</w:t>
      </w:r>
    </w:p>
    <w:p>
      <w:pPr>
        <w:pStyle w:val="BodyText"/>
        <w:spacing w:after="0"/>
        <w:sectPr>
          <w:type w:val="continuous"/>
          <w:pgSz w:w="12240" w:h="15840"/>
          <w:pgMar w:header="952" w:footer="1554" w:top="1880" w:bottom="1740" w:left="1800" w:right="1440"/>
          <w:cols w:num="2" w:equalWidth="0">
            <w:col w:w="3623" w:space="1153"/>
            <w:col w:w="422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551" w:right="4519" w:hanging="16"/>
      </w:pPr>
      <w:r>
        <w:rPr/>
        <w:t>Claudia</w:t>
      </w:r>
      <w:r>
        <w:rPr>
          <w:spacing w:val="-14"/>
        </w:rPr>
        <w:t> </w:t>
      </w:r>
      <w:r>
        <w:rPr/>
        <w:t>Miranda</w:t>
      </w:r>
      <w:r>
        <w:rPr>
          <w:spacing w:val="-13"/>
        </w:rPr>
        <w:t> </w:t>
      </w:r>
      <w:r>
        <w:rPr/>
        <w:t>do</w:t>
      </w:r>
      <w:r>
        <w:rPr>
          <w:spacing w:val="-15"/>
        </w:rPr>
        <w:t> </w:t>
      </w:r>
      <w:r>
        <w:rPr/>
        <w:t>Nascimento Chefe da Divisão de Tesouraria</w:t>
      </w:r>
    </w:p>
    <w:sectPr>
      <w:type w:val="continuous"/>
      <w:pgSz w:w="12240" w:h="15840"/>
      <w:pgMar w:header="952" w:footer="1554" w:top="1880" w:bottom="174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1652270</wp:posOffset>
              </wp:positionH>
              <wp:positionV relativeFrom="page">
                <wp:posOffset>8925150</wp:posOffset>
              </wp:positionV>
              <wp:extent cx="3363595" cy="3962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63595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Lima,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salas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101/115 -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tel.: (24) 2220-9200</w:t>
                          </w:r>
                        </w:p>
                        <w:p>
                          <w:pPr>
                            <w:spacing w:before="0"/>
                            <w:ind w:left="352" w:right="347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DAF-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Diretoria</w:t>
                          </w:r>
                          <w:r>
                            <w:rPr>
                              <w:rFonts w:ascii="Verdana" w:hAnsi="Verdana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Administração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Finanças.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daf@inpas.rj.gov.br</w:t>
                            </w:r>
                          </w:hyperlink>
                          <w:r>
                            <w:rPr>
                              <w:rFonts w:ascii="Verdana" w:hAnsi="Verdana"/>
                              <w:color w:val="0000FF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Site: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color w:val="0000FF"/>
                                <w:sz w:val="12"/>
                                <w:u w:val="single" w:color="0000FF"/>
                              </w:rPr>
                              <w:t>www.inpas.rj.gov.br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100006pt;margin-top:702.767761pt;width:264.850pt;height:31.2pt;mso-position-horizontal-relative:page;mso-position-vertical-relative:page;z-index:-157665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Lima,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salas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101/115 -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tel.: (24) 2220-9200</w:t>
                    </w:r>
                  </w:p>
                  <w:p>
                    <w:pPr>
                      <w:spacing w:before="0"/>
                      <w:ind w:left="352" w:right="347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DAF-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Diretoria</w:t>
                    </w:r>
                    <w:r>
                      <w:rPr>
                        <w:rFonts w:ascii="Verdana" w:hAnsi="Verdana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de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Administração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Finanças.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E-mail: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daf@inpas.rj.gov.br</w:t>
                      </w:r>
                    </w:hyperlink>
                    <w:r>
                      <w:rPr>
                        <w:rFonts w:ascii="Verdana" w:hAnsi="Verdana"/>
                        <w:color w:val="0000FF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Site: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hyperlink r:id="rId2">
                      <w:r>
                        <w:rPr>
                          <w:rFonts w:ascii="Verdana" w:hAnsi="Verdana"/>
                          <w:color w:val="0000FF"/>
                          <w:sz w:val="12"/>
                          <w:u w:val="single" w:color="0000FF"/>
                        </w:rPr>
                        <w:t>www.inpas.rj.gov.br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1108710</wp:posOffset>
          </wp:positionH>
          <wp:positionV relativeFrom="page">
            <wp:posOffset>604519</wp:posOffset>
          </wp:positionV>
          <wp:extent cx="1337310" cy="5041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7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2508250</wp:posOffset>
              </wp:positionH>
              <wp:positionV relativeFrom="page">
                <wp:posOffset>596096</wp:posOffset>
              </wp:positionV>
              <wp:extent cx="3477260" cy="3714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7726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18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 Servidor Público do Município de Petrópolis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7.5pt;margin-top:46.936718pt;width:273.8pt;height:29.25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18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Social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 Servidor Público do Município de Petrópolis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daf@inpas.rj.gov.br" TargetMode="External"/><Relationship Id="rId2" Type="http://schemas.openxmlformats.org/officeDocument/2006/relationships/hyperlink" Target="http://www.inpas.rj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2025-05-16T19:01:15Z</dcterms:created>
  <dcterms:modified xsi:type="dcterms:W3CDTF">2025-05-16T19:01:15Z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