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1"/>
        <w:rPr>
          <w:rFonts w:ascii="Times New Roman"/>
          <w:sz w:val="20"/>
        </w:rPr>
      </w:pPr>
    </w:p>
    <w:p>
      <w:pPr>
        <w:pStyle w:val="BodyText"/>
        <w:ind w:left="25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7318" cy="12181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318" cy="121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7"/>
        <w:rPr>
          <w:rFonts w:ascii="Times New Roman"/>
        </w:rPr>
      </w:pPr>
    </w:p>
    <w:p>
      <w:pPr>
        <w:pStyle w:val="BodyText"/>
        <w:spacing w:line="364" w:lineRule="auto"/>
        <w:ind w:left="96" w:right="93"/>
        <w:jc w:val="both"/>
      </w:pPr>
      <w:r>
        <w:rPr/>
        <w:t>Ata da segunda reunião extraordinária do Comitê de Investimentos do Instituto de Previdência e Assistência Social do Servidor Público do Município de Petrópolis –</w:t>
      </w:r>
      <w:r>
        <w:rPr>
          <w:spacing w:val="80"/>
        </w:rPr>
        <w:t> </w:t>
      </w:r>
      <w:r>
        <w:rPr>
          <w:spacing w:val="-2"/>
        </w:rPr>
        <w:t>INPAS.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spacing w:line="364" w:lineRule="auto"/>
        <w:ind w:left="96" w:right="93"/>
        <w:jc w:val="both"/>
      </w:pPr>
      <w:r>
        <w:rPr/>
        <w:t>Aos trinta e hum dias do mês de outubro do ano de dois mil e treze, às onze horas, na sala do Diretor-Presidente, reuniram-se os cinco membros do Comitê de Investimentos deste Regime Próprio de Previdência Social, conforme Decreto Municipal que criou o citado Comitê, número hum mil e dez, de trinta e hum de outubro de dois mil e doze, publicado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Diário</w:t>
      </w:r>
      <w:r>
        <w:rPr>
          <w:spacing w:val="18"/>
        </w:rPr>
        <w:t> </w:t>
      </w:r>
      <w:r>
        <w:rPr/>
        <w:t>Oficial</w:t>
      </w:r>
      <w:r>
        <w:rPr>
          <w:spacing w:val="22"/>
        </w:rPr>
        <w:t> </w:t>
      </w:r>
      <w:r>
        <w:rPr/>
        <w:t>do</w:t>
      </w:r>
      <w:r>
        <w:rPr>
          <w:spacing w:val="18"/>
        </w:rPr>
        <w:t> </w:t>
      </w:r>
      <w:r>
        <w:rPr/>
        <w:t>Município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Petrópolis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hum</w:t>
      </w:r>
      <w:r>
        <w:rPr>
          <w:spacing w:val="21"/>
        </w:rPr>
        <w:t> </w:t>
      </w:r>
      <w:r>
        <w:rPr/>
        <w:t>de</w:t>
      </w:r>
      <w:r>
        <w:rPr>
          <w:spacing w:val="16"/>
        </w:rPr>
        <w:t> </w:t>
      </w:r>
      <w:r>
        <w:rPr/>
        <w:t>novembro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dois</w:t>
      </w:r>
      <w:r>
        <w:rPr>
          <w:spacing w:val="19"/>
        </w:rPr>
        <w:t> </w:t>
      </w:r>
      <w:r>
        <w:rPr/>
        <w:t>mil e doze, com a seguinte composição: a) Diretor-Presidente do Regime Próprio de Previdência Social - RPPS, senhor Marcus Antonio Curvelo da Silva; b) Diretor Administrativo-Financeiro do Regime Próprio de Previdência Social - RPPS, senhor Daniel Luiz Simões Campos, Presidente eleito deste Comitê; c) Chefe da Divisão de Tesouraria,</w:t>
      </w:r>
      <w:r>
        <w:rPr>
          <w:spacing w:val="40"/>
        </w:rPr>
        <w:t> </w:t>
      </w:r>
      <w:r>
        <w:rPr/>
        <w:t>senhora</w:t>
      </w:r>
      <w:r>
        <w:rPr>
          <w:spacing w:val="40"/>
        </w:rPr>
        <w:t> </w:t>
      </w:r>
      <w:r>
        <w:rPr/>
        <w:t>Adriana</w:t>
      </w:r>
      <w:r>
        <w:rPr>
          <w:spacing w:val="40"/>
        </w:rPr>
        <w:t> </w:t>
      </w:r>
      <w:r>
        <w:rPr/>
        <w:t>Catarina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Costa,</w:t>
      </w:r>
      <w:r>
        <w:rPr>
          <w:spacing w:val="40"/>
        </w:rPr>
        <w:t> </w:t>
      </w:r>
      <w:r>
        <w:rPr/>
        <w:t>Secretária</w:t>
      </w:r>
      <w:r>
        <w:rPr>
          <w:spacing w:val="40"/>
        </w:rPr>
        <w:t> </w:t>
      </w:r>
      <w:r>
        <w:rPr/>
        <w:t>eleita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Comitê;</w:t>
      </w:r>
      <w:r>
        <w:rPr>
          <w:spacing w:val="40"/>
        </w:rPr>
        <w:t> </w:t>
      </w:r>
      <w:r>
        <w:rPr/>
        <w:t>d) Chefe</w:t>
      </w:r>
      <w:r>
        <w:rPr>
          <w:spacing w:val="67"/>
        </w:rPr>
        <w:t> </w:t>
      </w:r>
      <w:r>
        <w:rPr/>
        <w:t>da</w:t>
      </w:r>
      <w:r>
        <w:rPr>
          <w:spacing w:val="62"/>
        </w:rPr>
        <w:t> </w:t>
      </w:r>
      <w:r>
        <w:rPr/>
        <w:t>Divisão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Contabilidade,</w:t>
      </w:r>
      <w:r>
        <w:rPr>
          <w:spacing w:val="65"/>
        </w:rPr>
        <w:t> </w:t>
      </w:r>
      <w:r>
        <w:rPr/>
        <w:t>senhora</w:t>
      </w:r>
      <w:r>
        <w:rPr>
          <w:spacing w:val="65"/>
        </w:rPr>
        <w:t> </w:t>
      </w:r>
      <w:r>
        <w:rPr/>
        <w:t>Lucimar</w:t>
      </w:r>
      <w:r>
        <w:rPr>
          <w:spacing w:val="61"/>
        </w:rPr>
        <w:t> </w:t>
      </w:r>
      <w:r>
        <w:rPr/>
        <w:t>da</w:t>
      </w:r>
      <w:r>
        <w:rPr>
          <w:spacing w:val="65"/>
        </w:rPr>
        <w:t> </w:t>
      </w:r>
      <w:r>
        <w:rPr/>
        <w:t>Glória</w:t>
      </w:r>
      <w:r>
        <w:rPr>
          <w:spacing w:val="67"/>
        </w:rPr>
        <w:t> </w:t>
      </w:r>
      <w:r>
        <w:rPr/>
        <w:t>Gomes;</w:t>
      </w:r>
      <w:r>
        <w:rPr>
          <w:spacing w:val="67"/>
        </w:rPr>
        <w:t> </w:t>
      </w:r>
      <w:r>
        <w:rPr/>
        <w:t>e)</w:t>
      </w:r>
      <w:r>
        <w:rPr>
          <w:spacing w:val="67"/>
        </w:rPr>
        <w:t> </w:t>
      </w:r>
      <w:r>
        <w:rPr/>
        <w:t>Gestora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3"/>
        <w:jc w:val="both"/>
      </w:pPr>
      <w:r>
        <w:rPr/>
        <w:t>Previdenciária do Regime Próprio de Previdência Social - RPPS, senhora Carla Cristina Correia Maduro Vogas Tavares, além da senhora Michele Schiffler Forster, convidada a participar das reuniões com direito à voz e sem direito a voto. Iniciou-se, com esta composição, a referida reunião para atendimento à pauta do dia, que teve a seguinte ordem:</w:t>
      </w:r>
      <w:r>
        <w:rPr>
          <w:spacing w:val="20"/>
        </w:rPr>
        <w:t> </w:t>
      </w:r>
      <w:r>
        <w:rPr/>
        <w:t>a)</w:t>
      </w:r>
      <w:r>
        <w:rPr>
          <w:spacing w:val="22"/>
        </w:rPr>
        <w:t> </w:t>
      </w:r>
      <w:r>
        <w:rPr/>
        <w:t>Análise</w:t>
      </w:r>
      <w:r>
        <w:rPr>
          <w:spacing w:val="20"/>
        </w:rPr>
        <w:t> </w:t>
      </w:r>
      <w:r>
        <w:rPr/>
        <w:t>da</w:t>
      </w:r>
      <w:r>
        <w:rPr>
          <w:spacing w:val="23"/>
        </w:rPr>
        <w:t> </w:t>
      </w:r>
      <w:r>
        <w:rPr/>
        <w:t>Portaria</w:t>
      </w:r>
      <w:r>
        <w:rPr>
          <w:spacing w:val="23"/>
        </w:rPr>
        <w:t> </w:t>
      </w:r>
      <w:r>
        <w:rPr/>
        <w:t>do</w:t>
      </w:r>
      <w:r>
        <w:rPr>
          <w:spacing w:val="20"/>
        </w:rPr>
        <w:t> </w:t>
      </w:r>
      <w:r>
        <w:rPr/>
        <w:t>Ministério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/>
        <w:t>Previdência</w:t>
      </w:r>
      <w:r>
        <w:rPr>
          <w:spacing w:val="20"/>
        </w:rPr>
        <w:t> </w:t>
      </w:r>
      <w:r>
        <w:rPr/>
        <w:t>Social</w:t>
      </w:r>
      <w:r>
        <w:rPr>
          <w:spacing w:val="24"/>
        </w:rPr>
        <w:t> </w:t>
      </w:r>
      <w:r>
        <w:rPr/>
        <w:t>número</w:t>
      </w:r>
      <w:r>
        <w:rPr>
          <w:spacing w:val="23"/>
        </w:rPr>
        <w:t> </w:t>
      </w:r>
      <w:r>
        <w:rPr/>
        <w:t>quatrocentos e</w:t>
      </w:r>
      <w:r>
        <w:rPr>
          <w:spacing w:val="40"/>
        </w:rPr>
        <w:t> </w:t>
      </w:r>
      <w:r>
        <w:rPr/>
        <w:t>quarenta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ano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dois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treze.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senhora</w:t>
      </w:r>
      <w:r>
        <w:rPr>
          <w:spacing w:val="40"/>
        </w:rPr>
        <w:t> </w:t>
      </w:r>
      <w:r>
        <w:rPr/>
        <w:t>Carla,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responsável</w:t>
      </w:r>
      <w:r>
        <w:rPr>
          <w:spacing w:val="40"/>
        </w:rPr>
        <w:t> </w:t>
      </w:r>
      <w:r>
        <w:rPr/>
        <w:t>pelo estudo das Portarias editadas por este Ministério no INPAS, iniciou a reunião,</w:t>
      </w:r>
      <w:r>
        <w:rPr>
          <w:spacing w:val="80"/>
        </w:rPr>
        <w:t> </w:t>
      </w:r>
      <w:r>
        <w:rPr/>
        <w:t>informando que muitas das exigências da referida Portaria já são procedimentos do INPAS. A seguir, procede à leitura do resumo por ela elaborado: “Esta Portaria altera a Portaria quinhentos e dezenove, de vinte e quatro de agosto de dois mil e onze, que dispõe sobre as aplicações dos recursos financeiros pela União, Estados, Distrito</w:t>
      </w:r>
      <w:r>
        <w:rPr>
          <w:spacing w:val="80"/>
        </w:rPr>
        <w:t> </w:t>
      </w:r>
      <w:r>
        <w:rPr/>
        <w:t>Federal e Municípios. As alterações são, basicamente, as seguintes: Inserção de um parágrafo quarto ao artigo primeiro: O DPIN deverá conter as assinaturas dos responsáveis legais pelo ente federativo e pela unidade gestora do RPPS e dos responsáveis</w:t>
      </w:r>
      <w:r>
        <w:rPr>
          <w:spacing w:val="40"/>
        </w:rPr>
        <w:t> </w:t>
      </w:r>
      <w:r>
        <w:rPr/>
        <w:t>pela</w:t>
      </w:r>
      <w:r>
        <w:rPr>
          <w:spacing w:val="40"/>
        </w:rPr>
        <w:t> </w:t>
      </w:r>
      <w:r>
        <w:rPr/>
        <w:t>elaboração,</w:t>
      </w:r>
      <w:r>
        <w:rPr>
          <w:spacing w:val="40"/>
        </w:rPr>
        <w:t> </w:t>
      </w:r>
      <w:r>
        <w:rPr/>
        <w:t>aprovação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execução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política</w:t>
      </w:r>
      <w:r>
        <w:rPr>
          <w:spacing w:val="40"/>
        </w:rPr>
        <w:t> </w:t>
      </w:r>
      <w:r>
        <w:rPr/>
        <w:t>anual</w:t>
      </w:r>
      <w:r>
        <w:rPr>
          <w:spacing w:val="40"/>
        </w:rPr>
        <w:t> </w:t>
      </w:r>
      <w:r>
        <w:rPr/>
        <w:t>de investimentos do RPPS; alteração do parágrafo primeiro do artigo segundo: A comprovação de que o gestor de recursos foi aprovado em exame de certificação será realizada conforme divulgado no site do MPS; alteração do inciso VI do artigo terceiro:</w:t>
      </w:r>
      <w:r>
        <w:rPr>
          <w:spacing w:val="80"/>
        </w:rPr>
        <w:t> </w:t>
      </w:r>
      <w:r>
        <w:rPr/>
        <w:t>As empresas prestadoras de serviços ou consultoria nas operações de aplicação de recursos do RPPS deverão ser monitoradas quanto ao seu desempenho positivo (já estava</w:t>
      </w:r>
      <w:r>
        <w:rPr>
          <w:spacing w:val="40"/>
        </w:rPr>
        <w:t> </w:t>
      </w:r>
      <w:r>
        <w:rPr/>
        <w:t>previsto)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quanto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regularidade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registro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CVM</w:t>
      </w:r>
      <w:r>
        <w:rPr>
          <w:spacing w:val="40"/>
        </w:rPr>
        <w:t> </w:t>
      </w:r>
      <w:r>
        <w:rPr/>
        <w:t>(obrigação</w:t>
      </w:r>
      <w:r>
        <w:rPr>
          <w:spacing w:val="40"/>
        </w:rPr>
        <w:t> </w:t>
      </w:r>
      <w:r>
        <w:rPr/>
        <w:t>nova); alteração do inciso VIII do artigo terceiro: É obrigatória a divulgação aos pensionistas e segurados: a)- da política anual de investimentos e alterações em até 30 dias da sua aprovação; b)- das informações contidas nos formulários APR em até 30 dias da respectiva aplicação e resgate; c)- da composição da carteira de investimentos em até</w:t>
      </w:r>
      <w:r>
        <w:rPr>
          <w:spacing w:val="80"/>
        </w:rPr>
        <w:t> </w:t>
      </w:r>
      <w:r>
        <w:rPr/>
        <w:t>30 dias após o encerramento do mês; d)- dos procedimentos de seleção das entidades autorizadas e credenciadas; e)- do processo de credenciamento das instituições que receberão</w:t>
      </w:r>
      <w:r>
        <w:rPr>
          <w:spacing w:val="20"/>
        </w:rPr>
        <w:t> </w:t>
      </w:r>
      <w:r>
        <w:rPr/>
        <w:t>aplicação</w:t>
      </w:r>
      <w:r>
        <w:rPr>
          <w:spacing w:val="23"/>
        </w:rPr>
        <w:t> </w:t>
      </w:r>
      <w:r>
        <w:rPr/>
        <w:t>dos</w:t>
      </w:r>
      <w:r>
        <w:rPr>
          <w:spacing w:val="21"/>
        </w:rPr>
        <w:t> </w:t>
      </w:r>
      <w:r>
        <w:rPr/>
        <w:t>recursos</w:t>
      </w:r>
      <w:r>
        <w:rPr>
          <w:spacing w:val="24"/>
        </w:rPr>
        <w:t> </w:t>
      </w:r>
      <w:r>
        <w:rPr/>
        <w:t>do</w:t>
      </w:r>
      <w:r>
        <w:rPr>
          <w:spacing w:val="23"/>
        </w:rPr>
        <w:t> </w:t>
      </w:r>
      <w:r>
        <w:rPr/>
        <w:t>RPPS;</w:t>
      </w:r>
      <w:r>
        <w:rPr>
          <w:spacing w:val="18"/>
        </w:rPr>
        <w:t> </w:t>
      </w:r>
      <w:r>
        <w:rPr/>
        <w:t>f)-</w:t>
      </w:r>
      <w:r>
        <w:rPr>
          <w:spacing w:val="22"/>
        </w:rPr>
        <w:t> </w:t>
      </w:r>
      <w:r>
        <w:rPr/>
        <w:t>da</w:t>
      </w:r>
      <w:r>
        <w:rPr>
          <w:spacing w:val="23"/>
        </w:rPr>
        <w:t> </w:t>
      </w:r>
      <w:r>
        <w:rPr/>
        <w:t>relação</w:t>
      </w:r>
      <w:r>
        <w:rPr>
          <w:spacing w:val="20"/>
        </w:rPr>
        <w:t> </w:t>
      </w:r>
      <w:r>
        <w:rPr/>
        <w:t>das</w:t>
      </w:r>
      <w:r>
        <w:rPr>
          <w:spacing w:val="24"/>
        </w:rPr>
        <w:t> </w:t>
      </w:r>
      <w:r>
        <w:rPr/>
        <w:t>entidades</w:t>
      </w:r>
      <w:r>
        <w:rPr>
          <w:spacing w:val="24"/>
        </w:rPr>
        <w:t> </w:t>
      </w:r>
      <w:r>
        <w:rPr/>
        <w:t>credenciadas e</w:t>
      </w:r>
      <w:r>
        <w:rPr>
          <w:spacing w:val="40"/>
        </w:rPr>
        <w:t> </w:t>
      </w:r>
      <w:r>
        <w:rPr/>
        <w:t>respectiva</w:t>
      </w:r>
      <w:r>
        <w:rPr>
          <w:spacing w:val="40"/>
        </w:rPr>
        <w:t> </w:t>
      </w:r>
      <w:r>
        <w:rPr/>
        <w:t>data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atualização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credenciamento;</w:t>
      </w:r>
      <w:r>
        <w:rPr>
          <w:spacing w:val="40"/>
        </w:rPr>
        <w:t> </w:t>
      </w:r>
      <w:r>
        <w:rPr/>
        <w:t>g)-</w:t>
      </w:r>
      <w:r>
        <w:rPr>
          <w:spacing w:val="40"/>
        </w:rPr>
        <w:t> </w:t>
      </w:r>
      <w:r>
        <w:rPr/>
        <w:t>das</w:t>
      </w:r>
      <w:r>
        <w:rPr>
          <w:spacing w:val="40"/>
        </w:rPr>
        <w:t> </w:t>
      </w:r>
      <w:r>
        <w:rPr/>
        <w:t>datas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locais</w:t>
      </w:r>
      <w:r>
        <w:rPr>
          <w:spacing w:val="40"/>
        </w:rPr>
        <w:t> </w:t>
      </w:r>
      <w:r>
        <w:rPr/>
        <w:t>das reuniões do Comitê de Investimentos; h)- do relatório trimestral sobre a rentabilidade e riscos</w:t>
      </w:r>
      <w:r>
        <w:rPr>
          <w:spacing w:val="40"/>
        </w:rPr>
        <w:t> </w:t>
      </w:r>
      <w:r>
        <w:rPr/>
        <w:t>das</w:t>
      </w:r>
      <w:r>
        <w:rPr>
          <w:spacing w:val="40"/>
        </w:rPr>
        <w:t> </w:t>
      </w:r>
      <w:r>
        <w:rPr/>
        <w:t>operações</w:t>
      </w:r>
      <w:r>
        <w:rPr>
          <w:spacing w:val="40"/>
        </w:rPr>
        <w:t> </w:t>
      </w:r>
      <w:r>
        <w:rPr/>
        <w:t>realizadas</w:t>
      </w:r>
      <w:r>
        <w:rPr>
          <w:spacing w:val="40"/>
        </w:rPr>
        <w:t> </w:t>
      </w:r>
      <w:r>
        <w:rPr/>
        <w:t>nas</w:t>
      </w:r>
      <w:r>
        <w:rPr>
          <w:spacing w:val="40"/>
        </w:rPr>
        <w:t> </w:t>
      </w:r>
      <w:r>
        <w:rPr/>
        <w:t>aplicações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recursos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aderência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política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1"/>
        <w:jc w:val="both"/>
      </w:pPr>
      <w:r>
        <w:rPr/>
        <w:t>anual de investimentos. Alterou no inciso IX do artigo terceiro: As instituições escolhidas para receber as aplicações devem ser objeto de prévio credenciamento, retirando-se assim, a palavra “cadastramento”;</w:t>
      </w:r>
      <w:r>
        <w:rPr>
          <w:spacing w:val="80"/>
        </w:rPr>
        <w:t> </w:t>
      </w:r>
      <w:r>
        <w:rPr/>
        <w:t>o parágrafo primeiro do artigo terceiro trata de como</w:t>
      </w:r>
      <w:r>
        <w:rPr>
          <w:spacing w:val="80"/>
        </w:rPr>
        <w:t> </w:t>
      </w:r>
      <w:r>
        <w:rPr/>
        <w:t>é feito o credenciamento. Foi inserida uma nova alínea. Assim, exige-se: a)-atos de registro ou autorização para funcionamento expedido pelo Banco Central ou CVM; b)- observação de elevado padrão ético; c)- ausência de restrições; d)- regularidade fiscal e previdenciária. O parágrafo segundo do</w:t>
      </w:r>
      <w:r>
        <w:rPr>
          <w:spacing w:val="20"/>
        </w:rPr>
        <w:t> </w:t>
      </w:r>
      <w:r>
        <w:rPr/>
        <w:t>artigo terceiro foi</w:t>
      </w:r>
      <w:r>
        <w:rPr>
          <w:spacing w:val="22"/>
        </w:rPr>
        <w:t> </w:t>
      </w:r>
      <w:r>
        <w:rPr/>
        <w:t>desdobrado,</w:t>
      </w:r>
      <w:r>
        <w:rPr>
          <w:spacing w:val="20"/>
        </w:rPr>
        <w:t> </w:t>
      </w:r>
      <w:r>
        <w:rPr/>
        <w:t>exigindo-se para</w:t>
      </w:r>
      <w:r>
        <w:rPr>
          <w:spacing w:val="40"/>
        </w:rPr>
        <w:t> </w:t>
      </w:r>
      <w:r>
        <w:rPr/>
        <w:t>o gestor e o administrador do fundo, a cada seis meses (parágrafo terceiro, novo), o seguinte: a)- análise do histórico e experiência do gestor e do administrador do fundo e seus controladores; b)- análise do volume de recursos sob sua gestão e administração, bem como qualificação do corpo técnico e segregação de atividades; c)- avaliação da aderência da rentabilidade no período mínimo de 2 anos anteriores ao credenciamento. Foi</w:t>
      </w:r>
      <w:r>
        <w:rPr>
          <w:spacing w:val="40"/>
        </w:rPr>
        <w:t> </w:t>
      </w:r>
      <w:r>
        <w:rPr/>
        <w:t>inserido</w:t>
      </w:r>
      <w:r>
        <w:rPr>
          <w:spacing w:val="40"/>
        </w:rPr>
        <w:t> </w:t>
      </w:r>
      <w:r>
        <w:rPr/>
        <w:t>um</w:t>
      </w:r>
      <w:r>
        <w:rPr>
          <w:spacing w:val="40"/>
        </w:rPr>
        <w:t> </w:t>
      </w:r>
      <w:r>
        <w:rPr/>
        <w:t>parágrafo</w:t>
      </w:r>
      <w:r>
        <w:rPr>
          <w:spacing w:val="38"/>
        </w:rPr>
        <w:t> </w:t>
      </w:r>
      <w:r>
        <w:rPr/>
        <w:t>quarto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artigo</w:t>
      </w:r>
      <w:r>
        <w:rPr>
          <w:spacing w:val="38"/>
        </w:rPr>
        <w:t> </w:t>
      </w:r>
      <w:r>
        <w:rPr/>
        <w:t>terceiro,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determina</w:t>
      </w:r>
      <w:r>
        <w:rPr>
          <w:spacing w:val="40"/>
        </w:rPr>
        <w:t> </w:t>
      </w:r>
      <w:r>
        <w:rPr/>
        <w:t>que</w:t>
      </w:r>
      <w:r>
        <w:rPr>
          <w:spacing w:val="38"/>
        </w:rPr>
        <w:t> </w:t>
      </w:r>
      <w:r>
        <w:rPr/>
        <w:t>as</w:t>
      </w:r>
      <w:r>
        <w:rPr>
          <w:spacing w:val="40"/>
        </w:rPr>
        <w:t> </w:t>
      </w:r>
      <w:r>
        <w:rPr/>
        <w:t>aplicações que apresentam prazos para desinvestimento, deverão ser precedidas de atestado do responsável legal pelo RPPS, evidenciando a sua compatibilidade com as obrigações presentes e futuras do regime. O parágrafo primeiro do artigo terceiro-A, trata do ato normativo de criação do Comitê de Investimentos. Foram acrescidos mais alguns itens, quais sejam: a)- os membros do Comitê de Investimentos devem ter vínculo com o ente federativo ou com o RPPS (cargo efetivo ou comissionado). b)- previsão de</w:t>
      </w:r>
      <w:r>
        <w:rPr>
          <w:spacing w:val="80"/>
        </w:rPr>
        <w:t> </w:t>
      </w:r>
      <w:r>
        <w:rPr/>
        <w:t>periodicidade das reuniões ordinárias e forma de convocação das extraordinárias; c)- previsão da acessibilidade das informações quanto ao investimento e desinvestimento; d)- exigência de registro em ata; e)- exigência de certificação da maioria dos seus membros</w:t>
      </w:r>
      <w:r>
        <w:rPr>
          <w:spacing w:val="40"/>
        </w:rPr>
        <w:t> </w:t>
      </w:r>
      <w:r>
        <w:rPr/>
        <w:t>até</w:t>
      </w:r>
      <w:r>
        <w:rPr>
          <w:spacing w:val="37"/>
        </w:rPr>
        <w:t> </w:t>
      </w:r>
      <w:r>
        <w:rPr/>
        <w:t>31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julho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2014.</w:t>
      </w:r>
      <w:r>
        <w:rPr>
          <w:spacing w:val="37"/>
        </w:rPr>
        <w:t> </w:t>
      </w:r>
      <w:r>
        <w:rPr/>
        <w:t>Por</w:t>
      </w:r>
      <w:r>
        <w:rPr>
          <w:spacing w:val="37"/>
        </w:rPr>
        <w:t> </w:t>
      </w:r>
      <w:r>
        <w:rPr/>
        <w:t>fim,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partir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janeiro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2015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certificação será exigida de todos os entes federativos instituidores de RPPS, que será exigida em 180 dias contados da vigência da lei de instituição.” O senhor Marcus diz estar satisfeito com o trabalho executado por este Colegiado, tendo em vista que poucas serão as adaptações necessárias já que, voluntariamente, muitas das disposições contidas nesta Portaria</w:t>
      </w:r>
      <w:r>
        <w:rPr>
          <w:spacing w:val="40"/>
        </w:rPr>
        <w:t> </w:t>
      </w:r>
      <w:r>
        <w:rPr/>
        <w:t>já são</w:t>
      </w:r>
      <w:r>
        <w:rPr>
          <w:spacing w:val="40"/>
        </w:rPr>
        <w:t> </w:t>
      </w:r>
      <w:r>
        <w:rPr/>
        <w:t>cumpridas.</w:t>
      </w:r>
      <w:r>
        <w:rPr>
          <w:spacing w:val="40"/>
        </w:rPr>
        <w:t> </w:t>
      </w:r>
      <w:r>
        <w:rPr/>
        <w:t>Pede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adaptações</w:t>
      </w:r>
      <w:r>
        <w:rPr>
          <w:spacing w:val="40"/>
        </w:rPr>
        <w:t> </w:t>
      </w:r>
      <w:r>
        <w:rPr/>
        <w:t>necessárias</w:t>
      </w:r>
      <w:r>
        <w:rPr>
          <w:spacing w:val="40"/>
        </w:rPr>
        <w:t> </w:t>
      </w:r>
      <w:r>
        <w:rPr/>
        <w:t>sejam</w:t>
      </w:r>
      <w:r>
        <w:rPr>
          <w:spacing w:val="40"/>
        </w:rPr>
        <w:t> </w:t>
      </w:r>
      <w:r>
        <w:rPr/>
        <w:t>feitas.</w:t>
      </w:r>
      <w:r>
        <w:rPr>
          <w:spacing w:val="40"/>
        </w:rPr>
        <w:t> </w:t>
      </w:r>
      <w:r>
        <w:rPr/>
        <w:t>Nada mais</w:t>
      </w:r>
      <w:r>
        <w:rPr>
          <w:spacing w:val="35"/>
        </w:rPr>
        <w:t> </w:t>
      </w:r>
      <w:r>
        <w:rPr/>
        <w:t>havendo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tratar,</w:t>
      </w:r>
      <w:r>
        <w:rPr>
          <w:spacing w:val="38"/>
        </w:rPr>
        <w:t> </w:t>
      </w:r>
      <w:r>
        <w:rPr/>
        <w:t>o</w:t>
      </w:r>
      <w:r>
        <w:rPr>
          <w:spacing w:val="34"/>
        </w:rPr>
        <w:t> </w:t>
      </w:r>
      <w:r>
        <w:rPr/>
        <w:t>senhor</w:t>
      </w:r>
      <w:r>
        <w:rPr>
          <w:spacing w:val="35"/>
        </w:rPr>
        <w:t> </w:t>
      </w:r>
      <w:r>
        <w:rPr/>
        <w:t>Presidente</w:t>
      </w:r>
      <w:r>
        <w:rPr>
          <w:spacing w:val="38"/>
        </w:rPr>
        <w:t> </w:t>
      </w:r>
      <w:r>
        <w:rPr/>
        <w:t>deu</w:t>
      </w:r>
      <w:r>
        <w:rPr>
          <w:spacing w:val="36"/>
        </w:rPr>
        <w:t> </w:t>
      </w:r>
      <w:r>
        <w:rPr/>
        <w:t>por</w:t>
      </w:r>
      <w:r>
        <w:rPr>
          <w:spacing w:val="35"/>
        </w:rPr>
        <w:t> </w:t>
      </w:r>
      <w:r>
        <w:rPr/>
        <w:t>encerrada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presente</w:t>
      </w:r>
      <w:r>
        <w:rPr>
          <w:spacing w:val="36"/>
        </w:rPr>
        <w:t> </w:t>
      </w:r>
      <w:r>
        <w:rPr/>
        <w:t>reunião</w:t>
      </w:r>
      <w:r>
        <w:rPr>
          <w:spacing w:val="36"/>
        </w:rPr>
        <w:t> </w:t>
      </w:r>
      <w:r>
        <w:rPr/>
        <w:t>às dez</w:t>
      </w:r>
      <w:r>
        <w:rPr>
          <w:spacing w:val="68"/>
        </w:rPr>
        <w:t> </w:t>
      </w:r>
      <w:r>
        <w:rPr/>
        <w:t>horas</w:t>
      </w:r>
      <w:r>
        <w:rPr>
          <w:spacing w:val="68"/>
        </w:rPr>
        <w:t> </w:t>
      </w:r>
      <w:r>
        <w:rPr/>
        <w:t>e</w:t>
      </w:r>
      <w:r>
        <w:rPr>
          <w:spacing w:val="67"/>
        </w:rPr>
        <w:t> </w:t>
      </w:r>
      <w:r>
        <w:rPr/>
        <w:t>cinquenta</w:t>
      </w:r>
      <w:r>
        <w:rPr>
          <w:spacing w:val="67"/>
        </w:rPr>
        <w:t> </w:t>
      </w:r>
      <w:r>
        <w:rPr/>
        <w:t>minutos,</w:t>
      </w:r>
      <w:r>
        <w:rPr>
          <w:spacing w:val="70"/>
        </w:rPr>
        <w:t> </w:t>
      </w:r>
      <w:r>
        <w:rPr/>
        <w:t>cuja</w:t>
      </w:r>
      <w:r>
        <w:rPr>
          <w:spacing w:val="70"/>
        </w:rPr>
        <w:t> </w:t>
      </w:r>
      <w:r>
        <w:rPr/>
        <w:t>Ata</w:t>
      </w:r>
      <w:r>
        <w:rPr>
          <w:spacing w:val="67"/>
        </w:rPr>
        <w:t> </w:t>
      </w:r>
      <w:r>
        <w:rPr/>
        <w:t>segue</w:t>
      </w:r>
      <w:r>
        <w:rPr>
          <w:spacing w:val="67"/>
        </w:rPr>
        <w:t> </w:t>
      </w:r>
      <w:r>
        <w:rPr/>
        <w:t>lavrada</w:t>
      </w:r>
      <w:r>
        <w:rPr>
          <w:spacing w:val="70"/>
        </w:rPr>
        <w:t> </w:t>
      </w:r>
      <w:r>
        <w:rPr/>
        <w:t>por</w:t>
      </w:r>
      <w:r>
        <w:rPr>
          <w:spacing w:val="69"/>
        </w:rPr>
        <w:t> </w:t>
      </w:r>
      <w:r>
        <w:rPr/>
        <w:t>mim,</w:t>
      </w:r>
      <w:r>
        <w:rPr>
          <w:spacing w:val="70"/>
        </w:rPr>
        <w:t> </w:t>
      </w:r>
      <w:r>
        <w:rPr/>
        <w:t>Secretária</w:t>
      </w:r>
      <w:r>
        <w:rPr>
          <w:spacing w:val="67"/>
        </w:rPr>
        <w:t> </w:t>
      </w:r>
      <w:r>
        <w:rPr/>
        <w:t>deste</w:t>
      </w:r>
    </w:p>
    <w:p>
      <w:pPr>
        <w:pStyle w:val="BodyText"/>
        <w:spacing w:after="0" w:line="364" w:lineRule="auto"/>
        <w:jc w:val="both"/>
        <w:sectPr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9"/>
      </w:pPr>
      <w:r>
        <w:rPr/>
        <w:t>Comitê,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submeterei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aprovação</w:t>
      </w:r>
      <w:r>
        <w:rPr>
          <w:spacing w:val="39"/>
        </w:rPr>
        <w:t> </w:t>
      </w:r>
      <w:r>
        <w:rPr/>
        <w:t>dos</w:t>
      </w:r>
      <w:r>
        <w:rPr>
          <w:spacing w:val="40"/>
        </w:rPr>
        <w:t> </w:t>
      </w:r>
      <w:r>
        <w:rPr/>
        <w:t>demais</w:t>
      </w:r>
      <w:r>
        <w:rPr>
          <w:spacing w:val="38"/>
        </w:rPr>
        <w:t> </w:t>
      </w:r>
      <w:r>
        <w:rPr/>
        <w:t>membros</w:t>
      </w:r>
      <w:r>
        <w:rPr>
          <w:spacing w:val="40"/>
        </w:rPr>
        <w:t> </w:t>
      </w:r>
      <w:r>
        <w:rPr/>
        <w:t>e</w:t>
      </w:r>
      <w:r>
        <w:rPr>
          <w:spacing w:val="39"/>
        </w:rPr>
        <w:t> </w:t>
      </w:r>
      <w:r>
        <w:rPr/>
        <w:t>devidamente</w:t>
      </w:r>
      <w:r>
        <w:rPr>
          <w:spacing w:val="37"/>
        </w:rPr>
        <w:t> </w:t>
      </w:r>
      <w:r>
        <w:rPr/>
        <w:t>colherei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" w:after="1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1" coordorigin="0,0" coordsize="4215,29">
                <v:rect style="position:absolute;left:0;top:0;width:4215;height:29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3" coordorigin="0,0" coordsize="4215,29">
                <v:rect style="position:absolute;left:0;top:0;width:4215;height:29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3"/>
        <w:ind w:left="696" w:right="38" w:firstLine="1"/>
        <w:jc w:val="center"/>
      </w:pPr>
      <w:r>
        <w:rPr/>
        <w:t>Daniel Luiz Simões Campos Diretor Administrativo e Financeiro </w:t>
      </w:r>
      <w:r>
        <w:rPr>
          <w:spacing w:val="-2"/>
        </w:rPr>
        <w:t>Presidente</w:t>
      </w:r>
    </w:p>
    <w:p>
      <w:pPr>
        <w:pStyle w:val="BodyText"/>
        <w:spacing w:line="364" w:lineRule="auto" w:before="3"/>
        <w:ind w:left="696" w:right="846" w:firstLine="2"/>
        <w:jc w:val="center"/>
      </w:pPr>
      <w:r>
        <w:rPr/>
        <w:br w:type="column"/>
      </w:r>
      <w:r>
        <w:rPr/>
        <w:t>Adriana Catarina da Costa Chefe da Divisão de Tesouraria </w:t>
      </w:r>
      <w:r>
        <w:rPr>
          <w:spacing w:val="-2"/>
        </w:rPr>
        <w:t>Secretária</w:t>
      </w:r>
    </w:p>
    <w:p>
      <w:pPr>
        <w:pStyle w:val="BodyText"/>
        <w:spacing w:after="0" w:line="364" w:lineRule="auto"/>
        <w:jc w:val="center"/>
        <w:sectPr>
          <w:type w:val="continuous"/>
          <w:pgSz w:w="11900" w:h="16840"/>
          <w:pgMar w:top="1940" w:bottom="280" w:left="1559" w:right="992"/>
          <w:cols w:num="2" w:equalWidth="0">
            <w:col w:w="4321" w:space="198"/>
            <w:col w:w="48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rPr>
          <w:sz w:val="20"/>
        </w:rPr>
      </w:pPr>
    </w:p>
    <w:p>
      <w:pPr>
        <w:spacing w:line="26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5" coordorigin="0,0" coordsize="4215,27">
                <v:rect style="position:absolute;left:0;top:0;width:4215;height:27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7" coordorigin="0,0" coordsize="4215,27">
                <v:rect style="position:absolute;left:0;top:0;width:4215;height:27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6" w:lineRule="exact"/>
        <w:jc w:val="left"/>
        <w:rPr>
          <w:position w:val="0"/>
          <w:sz w:val="2"/>
        </w:rPr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3"/>
        <w:ind w:left="1544" w:firstLine="127"/>
      </w:pPr>
      <w:r>
        <w:rPr/>
        <w:t>Marcus Curvelo </w:t>
      </w:r>
      <w:r>
        <w:rPr>
          <w:spacing w:val="-2"/>
        </w:rPr>
        <w:t>Diretor-</w:t>
      </w:r>
      <w:r>
        <w:rPr>
          <w:spacing w:val="-2"/>
        </w:rPr>
        <w:t>Presidente</w:t>
      </w:r>
    </w:p>
    <w:p>
      <w:pPr>
        <w:pStyle w:val="BodyText"/>
        <w:spacing w:line="364" w:lineRule="auto" w:before="3"/>
        <w:ind w:left="1544" w:right="690" w:firstLine="468"/>
      </w:pPr>
      <w:r>
        <w:rPr/>
        <w:br w:type="column"/>
      </w:r>
      <w:r>
        <w:rPr/>
        <w:t>Lucimar da Glória Gomes Chefe da Divisão de Contabilidade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940" w:bottom="280" w:left="1559" w:right="992"/>
          <w:cols w:num="2" w:equalWidth="0">
            <w:col w:w="3439" w:space="75"/>
            <w:col w:w="58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7" w:after="1"/>
        <w:rPr>
          <w:sz w:val="20"/>
        </w:rPr>
      </w:pPr>
    </w:p>
    <w:p>
      <w:pPr>
        <w:pStyle w:val="BodyText"/>
        <w:spacing w:line="26" w:lineRule="exact"/>
        <w:ind w:left="382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714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676525" cy="17145"/>
                          <a:chExt cx="2676525" cy="171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676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714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2676143" y="16763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35pt;mso-position-horizontal-relative:char;mso-position-vertical-relative:line" id="docshapegroup9" coordorigin="0,0" coordsize="4215,27">
                <v:rect style="position:absolute;left:0;top:0;width:4215;height:27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line="364" w:lineRule="auto" w:before="3"/>
        <w:ind w:left="1299" w:right="4293" w:hanging="634"/>
      </w:pPr>
      <w:r>
        <w:rPr/>
        <w:t>Carla C. C. Maduro Vogas Tavares Gestora Previdenciária</w:t>
      </w:r>
    </w:p>
    <w:sectPr>
      <w:type w:val="continuous"/>
      <w:pgSz w:w="11900" w:h="16840"/>
      <w:pgMar w:top="194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2025-05-19T16:25:04Z</dcterms:created>
  <dcterms:modified xsi:type="dcterms:W3CDTF">2025-05-19T16:25:04Z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