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28"/>
        <w:rPr>
          <w:rFonts w:ascii="Times New Roman"/>
          <w:sz w:val="20"/>
        </w:rPr>
      </w:pPr>
      <w:r>
        <w:rPr>
          <w:rFonts w:ascii="Times New Roman"/>
          <w:sz w:val="20"/>
        </w:rPr>
        <w:drawing>
          <wp:inline distT="0" distB="0" distL="0" distR="0">
            <wp:extent cx="3125689" cy="132587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25689" cy="1325879"/>
                    </a:xfrm>
                    <a:prstGeom prst="rect">
                      <a:avLst/>
                    </a:prstGeom>
                  </pic:spPr>
                </pic:pic>
              </a:graphicData>
            </a:graphic>
          </wp:inline>
        </w:drawing>
      </w:r>
      <w:r>
        <w:rPr>
          <w:rFonts w:ascii="Times New Roman"/>
          <w:sz w:val="20"/>
        </w:rPr>
      </w:r>
    </w:p>
    <w:p>
      <w:pPr>
        <w:pStyle w:val="BodyText"/>
        <w:spacing w:line="360" w:lineRule="auto" w:before="193"/>
        <w:ind w:left="624" w:right="245"/>
        <w:jc w:val="both"/>
      </w:pPr>
      <w:r>
        <w:rPr/>
        <w:t>Ata da quadragésima sexta reunião ordinária do Comitê de Investimentos do Instituto de Previdência e Assistência Social do Servidor Público do Município de Petrópolis – INPAS. Aos onze dias do mês de agosto do ano de dois mil e dezesseis, às dez horas e trinta minutos, no</w:t>
      </w:r>
      <w:r>
        <w:rPr>
          <w:spacing w:val="-8"/>
        </w:rPr>
        <w:t> </w:t>
      </w:r>
      <w:r>
        <w:rPr/>
        <w:t>Auditório do Instituto de Previdência e Assistência Social do Servidor Público do Município de Petrópolis, reuniram-se os seguintes membros do Comitê de Investimentos deste Regime Próprio de Previdência Social: a)- Diretor Financeiro do INPAS, senhor Daniel Luiz Simões Campos, b)- Chefe da Divisão de Tesouraria, Senhora Cláudia Miranda do Nascimento Secretária eleita deste Comitê, c) Chefe da Divisão de Contabilidade, senhora Lucimar da Glória Gomes Presidente eleita deste Comitê d) Gestora Previdenciária, senhora Carla Cristina Correia Maduro Vogas Tavares, e)Gestora Previdenciária, senhora Adriana Catarina da Costa; Presentes também, com</w:t>
      </w:r>
      <w:r>
        <w:rPr>
          <w:spacing w:val="40"/>
        </w:rPr>
        <w:t> </w:t>
      </w:r>
      <w:r>
        <w:rPr/>
        <w:t>direito a voz e sem direito a voto, a Diretora de Previdência, a senhora Elizabeth Nottini,</w:t>
      </w:r>
      <w:r>
        <w:rPr>
          <w:spacing w:val="-3"/>
        </w:rPr>
        <w:t> </w:t>
      </w:r>
      <w:r>
        <w:rPr/>
        <w:t>o</w:t>
      </w:r>
      <w:r>
        <w:rPr>
          <w:spacing w:val="-6"/>
        </w:rPr>
        <w:t> </w:t>
      </w:r>
      <w:r>
        <w:rPr/>
        <w:t>servidor</w:t>
      </w:r>
      <w:r>
        <w:rPr>
          <w:spacing w:val="-15"/>
        </w:rPr>
        <w:t> </w:t>
      </w:r>
      <w:r>
        <w:rPr/>
        <w:t>Aluísio</w:t>
      </w:r>
      <w:r>
        <w:rPr>
          <w:spacing w:val="-2"/>
        </w:rPr>
        <w:t> </w:t>
      </w:r>
      <w:r>
        <w:rPr/>
        <w:t>Manzini</w:t>
      </w:r>
      <w:r>
        <w:rPr>
          <w:spacing w:val="-3"/>
        </w:rPr>
        <w:t> </w:t>
      </w:r>
      <w:r>
        <w:rPr/>
        <w:t>e</w:t>
      </w:r>
      <w:r>
        <w:rPr>
          <w:spacing w:val="-4"/>
        </w:rPr>
        <w:t> </w:t>
      </w:r>
      <w:r>
        <w:rPr/>
        <w:t>a</w:t>
      </w:r>
      <w:r>
        <w:rPr>
          <w:spacing w:val="-4"/>
        </w:rPr>
        <w:t> </w:t>
      </w:r>
      <w:r>
        <w:rPr/>
        <w:t>servidora</w:t>
      </w:r>
      <w:r>
        <w:rPr>
          <w:spacing w:val="-4"/>
        </w:rPr>
        <w:t> </w:t>
      </w:r>
      <w:r>
        <w:rPr/>
        <w:t>Michele</w:t>
      </w:r>
      <w:r>
        <w:rPr>
          <w:spacing w:val="-1"/>
        </w:rPr>
        <w:t> </w:t>
      </w:r>
      <w:r>
        <w:rPr/>
        <w:t>Schiffler</w:t>
      </w:r>
      <w:r>
        <w:rPr>
          <w:spacing w:val="-5"/>
        </w:rPr>
        <w:t> </w:t>
      </w:r>
      <w:r>
        <w:rPr/>
        <w:t>Forster.,</w:t>
      </w:r>
      <w:r>
        <w:rPr>
          <w:spacing w:val="-3"/>
        </w:rPr>
        <w:t> </w:t>
      </w:r>
      <w:r>
        <w:rPr/>
        <w:t>Com</w:t>
      </w:r>
      <w:r>
        <w:rPr>
          <w:spacing w:val="-5"/>
        </w:rPr>
        <w:t> </w:t>
      </w:r>
      <w:r>
        <w:rPr/>
        <w:t>esta composição iniciou-se a referida reunião para atendimento à pauta do dia, que</w:t>
      </w:r>
      <w:r>
        <w:rPr>
          <w:spacing w:val="40"/>
        </w:rPr>
        <w:t> </w:t>
      </w:r>
      <w:r>
        <w:rPr/>
        <w:t>teve a seguinte ordem: 1 - Aprovação da Ata da reunião anterior; 2 - Análise do cenário macroeconômico, bem como as expectativas de mercado; Avaliação dos investimentos que compõem o patrimônio dos diversos segmentos de aplicação; Proposições de investimentos/desinvestimentos (com a presença do Consultor Paulo Di Blasi; 3 - Análise do fluxo de caixa, considerando as obrigações previdenciárias e administrativas para o mês em curso; 4 - Assuntos Gerais. A Presidente do Comitê iniciou a reunião submetendo a ata da reunião anterior à apreciação dos membros do Comitê, tendo sido ela aprovada sem ressalvas.</w:t>
      </w:r>
      <w:r>
        <w:rPr>
          <w:spacing w:val="40"/>
        </w:rPr>
        <w:t> </w:t>
      </w:r>
      <w:r>
        <w:rPr/>
        <w:t>Antes de dar início ao primeiro item da pauta, a Presidente passou a palavra para</w:t>
      </w:r>
      <w:r>
        <w:rPr>
          <w:spacing w:val="40"/>
        </w:rPr>
        <w:t> </w:t>
      </w:r>
      <w:r>
        <w:rPr/>
        <w:t>o convidado, o Consultor Di Blasi para que este fizesse uma análise do cenário econômico. Com a palavra, o Consultor iniciou a análise ressaltando que o ânimo de mercado mudou bastante e que praticamente todos os investimentos apresentaram boa rentabilidade, inclusive a Bolsa de Valores e a Renda Fixa, em virtude do “gatilho político” a partir do mês de abril em diante. Acrescentou que</w:t>
      </w:r>
      <w:r>
        <w:rPr>
          <w:spacing w:val="40"/>
        </w:rPr>
        <w:t> </w:t>
      </w:r>
      <w:r>
        <w:rPr/>
        <w:t>com o afastamento da Presidente no mês de maio houve uma mudança de expectativa no mercado financeiro, mas</w:t>
      </w:r>
      <w:r>
        <w:rPr>
          <w:spacing w:val="-1"/>
        </w:rPr>
        <w:t> </w:t>
      </w:r>
      <w:r>
        <w:rPr/>
        <w:t>que de</w:t>
      </w:r>
      <w:r>
        <w:rPr>
          <w:spacing w:val="-1"/>
        </w:rPr>
        <w:t> </w:t>
      </w:r>
      <w:r>
        <w:rPr/>
        <w:t>forma concreta, não teve</w:t>
      </w:r>
      <w:r>
        <w:rPr>
          <w:spacing w:val="-1"/>
        </w:rPr>
        <w:t> </w:t>
      </w:r>
      <w:r>
        <w:rPr/>
        <w:t>alteração</w:t>
      </w:r>
    </w:p>
    <w:p>
      <w:pPr>
        <w:pStyle w:val="BodyText"/>
        <w:spacing w:after="0" w:line="360" w:lineRule="auto"/>
        <w:jc w:val="both"/>
        <w:sectPr>
          <w:type w:val="continuous"/>
          <w:pgSz w:w="12240" w:h="15840"/>
          <w:pgMar w:top="240" w:bottom="280" w:left="1800" w:right="1440"/>
        </w:sectPr>
      </w:pPr>
    </w:p>
    <w:p>
      <w:pPr>
        <w:pStyle w:val="BodyText"/>
        <w:spacing w:line="360" w:lineRule="auto" w:before="73"/>
        <w:ind w:left="624" w:right="258"/>
        <w:jc w:val="both"/>
      </w:pPr>
      <w:r>
        <w:rPr/>
        <w:t>na economia, ou seja, o mercado está ainda no período de espera e aquecimento e que isso só deve mudar quando o governo começar as avaliações no mês de setembro. Ressaltou que o impacto prático disso é que o “dinheiro” de hoje está abaixo da meta atuarial, e que o “gatilho principal” para fazer a economia crescer seria o governo arrumar uma maneira de reduzir a taxa de juros por conta de uma disciplina fiscal e trazer “dinheiro” para as infraestruturas, o que não está sendo possível, tendo em vista que a inflação continua alta. O ideal seria que ela ficasse no centro da meta. Para o RPPS isso implica em menos juros o que faz Renda Fixa render menos e o aconselhável é manter a estratégia, ou seja, manter a posição em Fundos de curto prazo e trabalhar com IRFM1 de 1 ano, e CDI</w:t>
      </w:r>
      <w:r>
        <w:rPr>
          <w:spacing w:val="40"/>
        </w:rPr>
        <w:t> </w:t>
      </w:r>
      <w:r>
        <w:rPr/>
        <w:t>também de curto prazo, tendo em vista que o foco para o Instituto é ter</w:t>
      </w:r>
      <w:r>
        <w:rPr>
          <w:spacing w:val="40"/>
        </w:rPr>
        <w:t> </w:t>
      </w:r>
      <w:r>
        <w:rPr/>
        <w:t>estabilidade por conta das entradas e saídas dos recursos. Após, apresentou o “Liasystem”, que nada mais é do que uma ferramenta online desenvolvida exclusivamente para o segmento de RPPS, com a finalidade de fazer a leitura, interpretação e análise das informações do mercado financeiro, possibilitando o acompanhamento online das Carteiras do Inpas, além facilitar a exportação das informações</w:t>
      </w:r>
      <w:r>
        <w:rPr>
          <w:spacing w:val="-4"/>
        </w:rPr>
        <w:t> </w:t>
      </w:r>
      <w:r>
        <w:rPr/>
        <w:t>para</w:t>
      </w:r>
      <w:r>
        <w:rPr>
          <w:spacing w:val="-8"/>
        </w:rPr>
        <w:t> </w:t>
      </w:r>
      <w:r>
        <w:rPr/>
        <w:t>o</w:t>
      </w:r>
      <w:r>
        <w:rPr>
          <w:spacing w:val="-6"/>
        </w:rPr>
        <w:t> </w:t>
      </w:r>
      <w:r>
        <w:rPr/>
        <w:t>Cadprev,</w:t>
      </w:r>
      <w:r>
        <w:rPr>
          <w:spacing w:val="-5"/>
        </w:rPr>
        <w:t> </w:t>
      </w:r>
      <w:r>
        <w:rPr/>
        <w:t>visando</w:t>
      </w:r>
      <w:r>
        <w:rPr>
          <w:spacing w:val="-6"/>
        </w:rPr>
        <w:t> </w:t>
      </w:r>
      <w:r>
        <w:rPr/>
        <w:t>à</w:t>
      </w:r>
      <w:r>
        <w:rPr>
          <w:spacing w:val="-6"/>
        </w:rPr>
        <w:t> </w:t>
      </w:r>
      <w:r>
        <w:rPr/>
        <w:t>elaboração</w:t>
      </w:r>
      <w:r>
        <w:rPr>
          <w:spacing w:val="-4"/>
        </w:rPr>
        <w:t> </w:t>
      </w:r>
      <w:r>
        <w:rPr/>
        <w:t>do</w:t>
      </w:r>
      <w:r>
        <w:rPr>
          <w:spacing w:val="-6"/>
        </w:rPr>
        <w:t> </w:t>
      </w:r>
      <w:r>
        <w:rPr/>
        <w:t>DAIR.</w:t>
      </w:r>
      <w:r>
        <w:rPr>
          <w:spacing w:val="-16"/>
        </w:rPr>
        <w:t> </w:t>
      </w:r>
      <w:r>
        <w:rPr/>
        <w:t>Após</w:t>
      </w:r>
      <w:r>
        <w:rPr>
          <w:spacing w:val="-5"/>
        </w:rPr>
        <w:t> </w:t>
      </w:r>
      <w:r>
        <w:rPr/>
        <w:t>a</w:t>
      </w:r>
      <w:r>
        <w:rPr>
          <w:spacing w:val="-6"/>
        </w:rPr>
        <w:t> </w:t>
      </w:r>
      <w:r>
        <w:rPr/>
        <w:t>apresentação, a Gestora Previdenciária, senhora Adriana Catarina da Costa, solicitou ao Consultor que seja incluída nesta ferramenta, qual a aderência de determinados Fundos ao seu benchmark O Consultor vai providenciar esta inclusão. Prosseguindo, a Gestora de Investimentos, senhora Michele Schiffler Forster, informou que, com a migração das informações para a nova Plataforma, o acumulado do ano da meta atuarial foi alterado. Em resposta, o Consultor esclareceu que ainda não importou todas as cotas, mas ressaltou que agora, com a nova metodologia, as cotas são puxadas da CVM com quatorze casas decimais, o</w:t>
      </w:r>
      <w:r>
        <w:rPr>
          <w:spacing w:val="-3"/>
        </w:rPr>
        <w:t> </w:t>
      </w:r>
      <w:r>
        <w:rPr/>
        <w:t>que</w:t>
      </w:r>
      <w:r>
        <w:rPr>
          <w:spacing w:val="-2"/>
        </w:rPr>
        <w:t> </w:t>
      </w:r>
      <w:r>
        <w:rPr/>
        <w:t>dá</w:t>
      </w:r>
      <w:r>
        <w:rPr>
          <w:spacing w:val="-3"/>
        </w:rPr>
        <w:t> </w:t>
      </w:r>
      <w:r>
        <w:rPr/>
        <w:t>diferença</w:t>
      </w:r>
      <w:r>
        <w:rPr>
          <w:spacing w:val="-2"/>
        </w:rPr>
        <w:t> </w:t>
      </w:r>
      <w:r>
        <w:rPr/>
        <w:t>no</w:t>
      </w:r>
      <w:r>
        <w:rPr>
          <w:spacing w:val="-3"/>
        </w:rPr>
        <w:t> </w:t>
      </w:r>
      <w:r>
        <w:rPr/>
        <w:t>acumulado.</w:t>
      </w:r>
      <w:r>
        <w:rPr>
          <w:spacing w:val="-1"/>
        </w:rPr>
        <w:t> </w:t>
      </w:r>
      <w:r>
        <w:rPr/>
        <w:t>Ressaltou</w:t>
      </w:r>
      <w:r>
        <w:rPr>
          <w:spacing w:val="-2"/>
        </w:rPr>
        <w:t> </w:t>
      </w:r>
      <w:r>
        <w:rPr/>
        <w:t>ainda</w:t>
      </w:r>
      <w:r>
        <w:rPr>
          <w:spacing w:val="-2"/>
        </w:rPr>
        <w:t> </w:t>
      </w:r>
      <w:r>
        <w:rPr/>
        <w:t>que</w:t>
      </w:r>
      <w:r>
        <w:rPr>
          <w:spacing w:val="-2"/>
        </w:rPr>
        <w:t> </w:t>
      </w:r>
      <w:r>
        <w:rPr/>
        <w:t>antigamente</w:t>
      </w:r>
      <w:r>
        <w:rPr>
          <w:spacing w:val="-3"/>
        </w:rPr>
        <w:t> </w:t>
      </w:r>
      <w:r>
        <w:rPr/>
        <w:t>era</w:t>
      </w:r>
      <w:r>
        <w:rPr>
          <w:spacing w:val="-3"/>
        </w:rPr>
        <w:t> </w:t>
      </w:r>
      <w:r>
        <w:rPr/>
        <w:t>utilizada a rentabilidade média 30 a 30 (mensal), pois o Ministério só aceitava no sistema, o retorno</w:t>
      </w:r>
      <w:r>
        <w:rPr>
          <w:spacing w:val="80"/>
        </w:rPr>
        <w:t> </w:t>
      </w:r>
      <w:r>
        <w:rPr/>
        <w:t>“médio” (incial – final - dividido por dois), mas que agora, com novo sistema</w:t>
      </w:r>
      <w:r>
        <w:rPr>
          <w:spacing w:val="40"/>
        </w:rPr>
        <w:t> </w:t>
      </w:r>
      <w:r>
        <w:rPr/>
        <w:t>a rentabilidade será</w:t>
      </w:r>
      <w:r>
        <w:rPr>
          <w:spacing w:val="40"/>
        </w:rPr>
        <w:t> </w:t>
      </w:r>
      <w:r>
        <w:rPr/>
        <w:t>realizada pela variação diária da cota, ou seja, cota final</w:t>
      </w:r>
      <w:r>
        <w:rPr>
          <w:spacing w:val="-3"/>
        </w:rPr>
        <w:t> </w:t>
      </w:r>
      <w:r>
        <w:rPr/>
        <w:t>pela cota</w:t>
      </w:r>
      <w:r>
        <w:rPr>
          <w:spacing w:val="-2"/>
        </w:rPr>
        <w:t> </w:t>
      </w:r>
      <w:r>
        <w:rPr/>
        <w:t>inicial</w:t>
      </w:r>
      <w:r>
        <w:rPr>
          <w:spacing w:val="-1"/>
        </w:rPr>
        <w:t> </w:t>
      </w:r>
      <w:r>
        <w:rPr/>
        <w:t>sem</w:t>
      </w:r>
      <w:r>
        <w:rPr>
          <w:spacing w:val="-3"/>
        </w:rPr>
        <w:t> </w:t>
      </w:r>
      <w:r>
        <w:rPr/>
        <w:t>movimentação,</w:t>
      </w:r>
      <w:r>
        <w:rPr>
          <w:spacing w:val="-1"/>
        </w:rPr>
        <w:t> </w:t>
      </w:r>
      <w:r>
        <w:rPr/>
        <w:t>e</w:t>
      </w:r>
      <w:r>
        <w:rPr>
          <w:spacing w:val="-4"/>
        </w:rPr>
        <w:t> </w:t>
      </w:r>
      <w:r>
        <w:rPr/>
        <w:t>se</w:t>
      </w:r>
      <w:r>
        <w:rPr>
          <w:spacing w:val="-2"/>
        </w:rPr>
        <w:t> </w:t>
      </w:r>
      <w:r>
        <w:rPr/>
        <w:t>ocorrer</w:t>
      </w:r>
      <w:r>
        <w:rPr>
          <w:spacing w:val="-3"/>
        </w:rPr>
        <w:t> </w:t>
      </w:r>
      <w:r>
        <w:rPr/>
        <w:t>movimentação</w:t>
      </w:r>
      <w:r>
        <w:rPr>
          <w:spacing w:val="-2"/>
        </w:rPr>
        <w:t> </w:t>
      </w:r>
      <w:r>
        <w:rPr/>
        <w:t>será</w:t>
      </w:r>
      <w:r>
        <w:rPr>
          <w:spacing w:val="-2"/>
        </w:rPr>
        <w:t> </w:t>
      </w:r>
      <w:r>
        <w:rPr/>
        <w:t>avaliado no período em que ficou aplicado o recurso. Finalizando, o Consultor</w:t>
      </w:r>
      <w:r>
        <w:rPr>
          <w:spacing w:val="80"/>
        </w:rPr>
        <w:t> </w:t>
      </w:r>
      <w:r>
        <w:rPr/>
        <w:t>informou</w:t>
      </w:r>
      <w:r>
        <w:rPr>
          <w:spacing w:val="40"/>
        </w:rPr>
        <w:t> </w:t>
      </w:r>
      <w:r>
        <w:rPr/>
        <w:t>que as informações serão corrigidas com base na nova metodologia. Diante do exposto, o</w:t>
      </w:r>
      <w:r>
        <w:rPr>
          <w:spacing w:val="-1"/>
        </w:rPr>
        <w:t> </w:t>
      </w:r>
      <w:r>
        <w:rPr/>
        <w:t>Comitê</w:t>
      </w:r>
      <w:r>
        <w:rPr>
          <w:spacing w:val="-1"/>
        </w:rPr>
        <w:t> </w:t>
      </w:r>
      <w:r>
        <w:rPr/>
        <w:t>aprovou</w:t>
      </w:r>
      <w:r>
        <w:rPr>
          <w:spacing w:val="-1"/>
        </w:rPr>
        <w:t> </w:t>
      </w:r>
      <w:r>
        <w:rPr/>
        <w:t>por unanimidade a</w:t>
      </w:r>
      <w:r>
        <w:rPr>
          <w:spacing w:val="-1"/>
        </w:rPr>
        <w:t> </w:t>
      </w:r>
      <w:r>
        <w:rPr/>
        <w:t>nova</w:t>
      </w:r>
      <w:r>
        <w:rPr>
          <w:spacing w:val="-1"/>
        </w:rPr>
        <w:t> </w:t>
      </w:r>
      <w:r>
        <w:rPr/>
        <w:t>metodologia por</w:t>
      </w:r>
      <w:r>
        <w:rPr>
          <w:spacing w:val="-2"/>
        </w:rPr>
        <w:t> </w:t>
      </w:r>
      <w:r>
        <w:rPr/>
        <w:t>cota</w:t>
      </w:r>
      <w:r>
        <w:rPr>
          <w:spacing w:val="-1"/>
        </w:rPr>
        <w:t> </w:t>
      </w:r>
      <w:r>
        <w:rPr/>
        <w:t>que</w:t>
      </w:r>
      <w:r>
        <w:rPr>
          <w:spacing w:val="-1"/>
        </w:rPr>
        <w:t> </w:t>
      </w:r>
      <w:r>
        <w:rPr/>
        <w:t>será</w:t>
      </w:r>
    </w:p>
    <w:p>
      <w:pPr>
        <w:pStyle w:val="BodyText"/>
        <w:spacing w:after="0" w:line="360" w:lineRule="auto"/>
        <w:jc w:val="both"/>
        <w:sectPr>
          <w:pgSz w:w="12240" w:h="15840"/>
          <w:pgMar w:top="1620" w:bottom="280" w:left="1800" w:right="1440"/>
        </w:sectPr>
      </w:pPr>
    </w:p>
    <w:p>
      <w:pPr>
        <w:pStyle w:val="BodyText"/>
        <w:spacing w:line="360" w:lineRule="auto" w:before="73"/>
        <w:ind w:left="624" w:right="258"/>
        <w:jc w:val="both"/>
      </w:pPr>
      <w:r>
        <w:rPr/>
        <w:t>apresentada ao Conselho assim que as correções com base nesta forem realizadas.</w:t>
      </w:r>
      <w:r>
        <w:rPr>
          <w:spacing w:val="40"/>
        </w:rPr>
        <w:t> </w:t>
      </w:r>
      <w:r>
        <w:rPr/>
        <w:t>Em</w:t>
      </w:r>
      <w:r>
        <w:rPr>
          <w:spacing w:val="-5"/>
        </w:rPr>
        <w:t> </w:t>
      </w:r>
      <w:r>
        <w:rPr/>
        <w:t>seguida,</w:t>
      </w:r>
      <w:r>
        <w:rPr>
          <w:spacing w:val="-2"/>
        </w:rPr>
        <w:t> </w:t>
      </w:r>
      <w:r>
        <w:rPr/>
        <w:t>a</w:t>
      </w:r>
      <w:r>
        <w:rPr>
          <w:spacing w:val="-4"/>
        </w:rPr>
        <w:t> </w:t>
      </w:r>
      <w:r>
        <w:rPr/>
        <w:t>Gestora</w:t>
      </w:r>
      <w:r>
        <w:rPr>
          <w:spacing w:val="-6"/>
        </w:rPr>
        <w:t> </w:t>
      </w:r>
      <w:r>
        <w:rPr/>
        <w:t>de</w:t>
      </w:r>
      <w:r>
        <w:rPr>
          <w:spacing w:val="-6"/>
        </w:rPr>
        <w:t> </w:t>
      </w:r>
      <w:r>
        <w:rPr/>
        <w:t>Investimentos,</w:t>
      </w:r>
      <w:r>
        <w:rPr>
          <w:spacing w:val="-5"/>
        </w:rPr>
        <w:t> </w:t>
      </w:r>
      <w:r>
        <w:rPr/>
        <w:t>Sra</w:t>
      </w:r>
      <w:r>
        <w:rPr>
          <w:spacing w:val="-6"/>
        </w:rPr>
        <w:t> </w:t>
      </w:r>
      <w:r>
        <w:rPr/>
        <w:t>Michele</w:t>
      </w:r>
      <w:r>
        <w:rPr>
          <w:spacing w:val="-2"/>
        </w:rPr>
        <w:t> </w:t>
      </w:r>
      <w:r>
        <w:rPr/>
        <w:t>Schiffler</w:t>
      </w:r>
      <w:r>
        <w:rPr>
          <w:spacing w:val="-5"/>
        </w:rPr>
        <w:t> </w:t>
      </w:r>
      <w:r>
        <w:rPr/>
        <w:t>Forster, iniciou o segundo item da pauta destacando os fatos relevantes do mês de julho que impactaram as nossas aplicações. Relatou que no cenário doméstico o Senado nos dias 09/08 e 10/08 pela aprovação do relatório que recomenda que a Presidente Dilma seja levada a julgamento. Tal decisão estava sendo aguardada, para</w:t>
      </w:r>
      <w:r>
        <w:rPr>
          <w:spacing w:val="-2"/>
        </w:rPr>
        <w:t> </w:t>
      </w:r>
      <w:r>
        <w:rPr/>
        <w:t>que fossem</w:t>
      </w:r>
      <w:r>
        <w:rPr>
          <w:spacing w:val="-1"/>
        </w:rPr>
        <w:t> </w:t>
      </w:r>
      <w:r>
        <w:rPr/>
        <w:t>colocadas em prática as</w:t>
      </w:r>
      <w:r>
        <w:rPr>
          <w:spacing w:val="-2"/>
        </w:rPr>
        <w:t> </w:t>
      </w:r>
      <w:r>
        <w:rPr/>
        <w:t>propostas</w:t>
      </w:r>
      <w:r>
        <w:rPr>
          <w:spacing w:val="-2"/>
        </w:rPr>
        <w:t> </w:t>
      </w:r>
      <w:r>
        <w:rPr/>
        <w:t>políticas do</w:t>
      </w:r>
      <w:r>
        <w:rPr>
          <w:spacing w:val="-2"/>
        </w:rPr>
        <w:t> </w:t>
      </w:r>
      <w:r>
        <w:rPr/>
        <w:t>“Governo</w:t>
      </w:r>
      <w:r>
        <w:rPr>
          <w:spacing w:val="-4"/>
        </w:rPr>
        <w:t> </w:t>
      </w:r>
      <w:r>
        <w:rPr/>
        <w:t>Temer”. O Copom manteve por unanimidade a Taxa Selic em 14,25% em sua última reunião dias 19/07 e 20/07/16, sendo a próxima reunião dias 30/08 e 31/08/16. Acrescentou que tendo em vista a inflação, o Presidente do Banco Central, Ilan Goldfajn, manteve o adiamento de perspectiva de corte na taxa selic, de agosto para outubro ou novembro.</w:t>
      </w:r>
      <w:r>
        <w:rPr>
          <w:spacing w:val="40"/>
        </w:rPr>
        <w:t> </w:t>
      </w:r>
      <w:r>
        <w:rPr/>
        <w:t>No seguimento de renda fixa, a senhora Michele S. Forster apresentou um</w:t>
      </w:r>
      <w:r>
        <w:rPr>
          <w:spacing w:val="40"/>
        </w:rPr>
        <w:t> </w:t>
      </w:r>
      <w:r>
        <w:rPr/>
        <w:t>gráfico que apresenta a rentabilidade acumulada no mês julho. Neste, aponta que a melhor rentabilidade apresentada foi novamente para o IMA B5+ com 3,3430 e o pior resultado apresentado foi de 1,0371 para o IRFM1. Na renda variável, o Dólar Comercial Mercado teve valorização de 0,95%, fechando o mês de julho à R$ 3,24. O índice IBOVESPA</w:t>
      </w:r>
      <w:r>
        <w:rPr>
          <w:spacing w:val="-10"/>
        </w:rPr>
        <w:t> </w:t>
      </w:r>
      <w:r>
        <w:rPr/>
        <w:t>fechou em 57.308 pontos com uma valorização de 11,22% (fonte: Valor Econômico). Passando para análise dos investimentos do Instituto, apresentou um relatório apontando que no mês de julho os rendimentos acumulados do Instituto totalizaram o valor de R$ 21.713,95. Finalizando, a recomendação da Consultoria para o mês de junho se manteve a mesma tendo em vista que não houve alteração na taxa de juros, ou seja, posicionar</w:t>
      </w:r>
      <w:r>
        <w:rPr>
          <w:spacing w:val="40"/>
        </w:rPr>
        <w:t> </w:t>
      </w:r>
      <w:r>
        <w:rPr/>
        <w:t>a</w:t>
      </w:r>
      <w:r>
        <w:rPr>
          <w:spacing w:val="40"/>
        </w:rPr>
        <w:t> </w:t>
      </w:r>
      <w:r>
        <w:rPr/>
        <w:t>carteira</w:t>
      </w:r>
      <w:r>
        <w:rPr>
          <w:spacing w:val="40"/>
        </w:rPr>
        <w:t> </w:t>
      </w:r>
      <w:r>
        <w:rPr/>
        <w:t>em</w:t>
      </w:r>
      <w:r>
        <w:rPr>
          <w:spacing w:val="40"/>
        </w:rPr>
        <w:t> </w:t>
      </w:r>
      <w:r>
        <w:rPr/>
        <w:t>Títulos</w:t>
      </w:r>
      <w:r>
        <w:rPr>
          <w:spacing w:val="40"/>
        </w:rPr>
        <w:t> </w:t>
      </w:r>
      <w:r>
        <w:rPr/>
        <w:t>Públicos</w:t>
      </w:r>
      <w:r>
        <w:rPr>
          <w:spacing w:val="40"/>
        </w:rPr>
        <w:t> </w:t>
      </w:r>
      <w:r>
        <w:rPr/>
        <w:t>Federais</w:t>
      </w:r>
      <w:r>
        <w:rPr>
          <w:spacing w:val="40"/>
        </w:rPr>
        <w:t> </w:t>
      </w:r>
      <w:r>
        <w:rPr/>
        <w:t>em</w:t>
      </w:r>
      <w:r>
        <w:rPr>
          <w:spacing w:val="40"/>
        </w:rPr>
        <w:t> </w:t>
      </w:r>
      <w:r>
        <w:rPr/>
        <w:t>três</w:t>
      </w:r>
      <w:r>
        <w:rPr>
          <w:spacing w:val="40"/>
        </w:rPr>
        <w:t> </w:t>
      </w:r>
      <w:r>
        <w:rPr/>
        <w:t>indexadores:</w:t>
      </w:r>
      <w:r>
        <w:rPr>
          <w:spacing w:val="40"/>
        </w:rPr>
        <w:t> </w:t>
      </w:r>
      <w:r>
        <w:rPr/>
        <w:t>IMA- B-/IDKA2/IRFM-1, permanecendo a indicação para a redução da posição em Fundos CDI. Passando para o terceiro item da pauta, o Diretor Financeiro do INPAS, senhor Daniel Luiz Simões Campos, apresentou análise do fluxo de caixa, bem como dos investimentos que compõem o patrimônio dos segmentos de aplicação. No quarto e último item de pauta, a Gestora de Previdência, senhora Adriana Catarina da Costa, reiterou a ressalva feita na reunião realizada em 09/06/16 de que a até a presente data não foi providenciada a publicação do Decreto com a nova composição dos membros do Comitê, com a inclusão da Gestora</w:t>
      </w:r>
      <w:r>
        <w:rPr>
          <w:spacing w:val="-5"/>
        </w:rPr>
        <w:t> </w:t>
      </w:r>
      <w:r>
        <w:rPr/>
        <w:t>de</w:t>
      </w:r>
      <w:r>
        <w:rPr>
          <w:spacing w:val="-3"/>
        </w:rPr>
        <w:t> </w:t>
      </w:r>
      <w:r>
        <w:rPr/>
        <w:t>Investimentos,</w:t>
      </w:r>
      <w:r>
        <w:rPr>
          <w:spacing w:val="-4"/>
        </w:rPr>
        <w:t> </w:t>
      </w:r>
      <w:r>
        <w:rPr/>
        <w:t>bem</w:t>
      </w:r>
      <w:r>
        <w:rPr>
          <w:spacing w:val="-4"/>
        </w:rPr>
        <w:t> </w:t>
      </w:r>
      <w:r>
        <w:rPr/>
        <w:t>como</w:t>
      </w:r>
      <w:r>
        <w:rPr>
          <w:spacing w:val="-5"/>
        </w:rPr>
        <w:t> </w:t>
      </w:r>
      <w:r>
        <w:rPr/>
        <w:t>da</w:t>
      </w:r>
      <w:r>
        <w:rPr>
          <w:spacing w:val="-3"/>
        </w:rPr>
        <w:t> </w:t>
      </w:r>
      <w:r>
        <w:rPr/>
        <w:t>Diretora</w:t>
      </w:r>
      <w:r>
        <w:rPr>
          <w:spacing w:val="-5"/>
        </w:rPr>
        <w:t> </w:t>
      </w:r>
      <w:r>
        <w:rPr/>
        <w:t>de</w:t>
      </w:r>
      <w:r>
        <w:rPr>
          <w:spacing w:val="-16"/>
        </w:rPr>
        <w:t> </w:t>
      </w:r>
      <w:r>
        <w:rPr/>
        <w:t>Administração.</w:t>
      </w:r>
      <w:r>
        <w:rPr>
          <w:spacing w:val="-1"/>
        </w:rPr>
        <w:t> </w:t>
      </w:r>
      <w:r>
        <w:rPr/>
        <w:t>Solicitou</w:t>
      </w:r>
      <w:r>
        <w:rPr>
          <w:spacing w:val="-1"/>
        </w:rPr>
        <w:t> </w:t>
      </w:r>
      <w:r>
        <w:rPr/>
        <w:t>ainda que</w:t>
      </w:r>
      <w:r>
        <w:rPr>
          <w:spacing w:val="-5"/>
        </w:rPr>
        <w:t> </w:t>
      </w:r>
      <w:r>
        <w:rPr/>
        <w:t>os</w:t>
      </w:r>
      <w:r>
        <w:rPr>
          <w:spacing w:val="-1"/>
        </w:rPr>
        <w:t> </w:t>
      </w:r>
      <w:r>
        <w:rPr/>
        <w:t>recursos da</w:t>
      </w:r>
      <w:r>
        <w:rPr>
          <w:spacing w:val="-3"/>
        </w:rPr>
        <w:t> </w:t>
      </w:r>
      <w:r>
        <w:rPr/>
        <w:t>Entidade FASSE sejam</w:t>
      </w:r>
      <w:r>
        <w:rPr>
          <w:spacing w:val="-1"/>
        </w:rPr>
        <w:t> </w:t>
      </w:r>
      <w:r>
        <w:rPr/>
        <w:t>também</w:t>
      </w:r>
      <w:r>
        <w:rPr>
          <w:spacing w:val="-2"/>
        </w:rPr>
        <w:t> </w:t>
      </w:r>
      <w:r>
        <w:rPr/>
        <w:t>inclusos</w:t>
      </w:r>
      <w:r>
        <w:rPr>
          <w:spacing w:val="-1"/>
        </w:rPr>
        <w:t> </w:t>
      </w:r>
      <w:r>
        <w:rPr/>
        <w:t>na análise</w:t>
      </w:r>
      <w:r>
        <w:rPr>
          <w:spacing w:val="-1"/>
        </w:rPr>
        <w:t> </w:t>
      </w:r>
      <w:r>
        <w:rPr/>
        <w:t>do </w:t>
      </w:r>
      <w:r>
        <w:rPr>
          <w:spacing w:val="-2"/>
        </w:rPr>
        <w:t>cenário</w:t>
      </w:r>
    </w:p>
    <w:p>
      <w:pPr>
        <w:pStyle w:val="BodyText"/>
        <w:spacing w:after="0" w:line="360" w:lineRule="auto"/>
        <w:jc w:val="both"/>
        <w:sectPr>
          <w:pgSz w:w="12240" w:h="15840"/>
          <w:pgMar w:top="1620" w:bottom="280" w:left="1800" w:right="1440"/>
        </w:sectPr>
      </w:pPr>
    </w:p>
    <w:p>
      <w:pPr>
        <w:pStyle w:val="BodyText"/>
        <w:spacing w:line="360" w:lineRule="auto" w:before="73"/>
        <w:ind w:left="624" w:right="257"/>
        <w:jc w:val="both"/>
      </w:pPr>
      <w:r>
        <w:rPr/>
        <w:t>econômico. Em resposta, a senhora Michele S. Forster se comprometeu em providenciar essa análise desde janeiro do corrente ano até a presente data, para apresentar</w:t>
      </w:r>
      <w:r>
        <w:rPr>
          <w:spacing w:val="-2"/>
        </w:rPr>
        <w:t> </w:t>
      </w:r>
      <w:r>
        <w:rPr/>
        <w:t>na</w:t>
      </w:r>
      <w:r>
        <w:rPr>
          <w:spacing w:val="-1"/>
        </w:rPr>
        <w:t> </w:t>
      </w:r>
      <w:r>
        <w:rPr/>
        <w:t>próxima reunião.</w:t>
      </w:r>
      <w:r>
        <w:rPr>
          <w:spacing w:val="-12"/>
        </w:rPr>
        <w:t> </w:t>
      </w:r>
      <w:r>
        <w:rPr/>
        <w:t>Ainda no</w:t>
      </w:r>
      <w:r>
        <w:rPr>
          <w:spacing w:val="-1"/>
        </w:rPr>
        <w:t> </w:t>
      </w:r>
      <w:r>
        <w:rPr/>
        <w:t>quarto</w:t>
      </w:r>
      <w:r>
        <w:rPr>
          <w:spacing w:val="-3"/>
        </w:rPr>
        <w:t> </w:t>
      </w:r>
      <w:r>
        <w:rPr/>
        <w:t>item,</w:t>
      </w:r>
      <w:r>
        <w:rPr>
          <w:spacing w:val="-2"/>
        </w:rPr>
        <w:t> </w:t>
      </w:r>
      <w:r>
        <w:rPr/>
        <w:t>a</w:t>
      </w:r>
      <w:r>
        <w:rPr>
          <w:spacing w:val="-1"/>
        </w:rPr>
        <w:t> </w:t>
      </w:r>
      <w:r>
        <w:rPr/>
        <w:t>senhora</w:t>
      </w:r>
      <w:r>
        <w:rPr>
          <w:spacing w:val="-1"/>
        </w:rPr>
        <w:t> </w:t>
      </w:r>
      <w:r>
        <w:rPr/>
        <w:t>Michele S.</w:t>
      </w:r>
      <w:r>
        <w:rPr>
          <w:spacing w:val="-2"/>
        </w:rPr>
        <w:t> </w:t>
      </w:r>
      <w:r>
        <w:rPr/>
        <w:t>Forster solicitou ao Comitê que seja analisada uma questão acordada na reunião</w:t>
      </w:r>
      <w:r>
        <w:rPr>
          <w:spacing w:val="40"/>
        </w:rPr>
        <w:t> </w:t>
      </w:r>
      <w:r>
        <w:rPr/>
        <w:t>realizada em 07/04/16, referente o aporte mensal no valor de R$ 100.000,00 (cem mil reais) dos recursos da taxa de administração, visando o pagamento das parcelas do 13º salário de 2016, valor este que está sendo depositado em uma conta administrativa da Caixa Econômica Federal n.º 06.000154-8. Questionou se haveria a necessidade de continuar com essa prática, tendo em vista que o valor reservado</w:t>
      </w:r>
      <w:r>
        <w:rPr>
          <w:spacing w:val="-1"/>
        </w:rPr>
        <w:t> </w:t>
      </w:r>
      <w:r>
        <w:rPr/>
        <w:t>na</w:t>
      </w:r>
      <w:r>
        <w:rPr>
          <w:spacing w:val="-5"/>
        </w:rPr>
        <w:t> </w:t>
      </w:r>
      <w:r>
        <w:rPr/>
        <w:t>referida</w:t>
      </w:r>
      <w:r>
        <w:rPr>
          <w:spacing w:val="-3"/>
        </w:rPr>
        <w:t> </w:t>
      </w:r>
      <w:r>
        <w:rPr/>
        <w:t>conta</w:t>
      </w:r>
      <w:r>
        <w:rPr>
          <w:spacing w:val="-3"/>
        </w:rPr>
        <w:t> </w:t>
      </w:r>
      <w:r>
        <w:rPr/>
        <w:t>já</w:t>
      </w:r>
      <w:r>
        <w:rPr>
          <w:spacing w:val="-3"/>
        </w:rPr>
        <w:t> </w:t>
      </w:r>
      <w:r>
        <w:rPr/>
        <w:t>é</w:t>
      </w:r>
      <w:r>
        <w:rPr>
          <w:spacing w:val="-3"/>
        </w:rPr>
        <w:t> </w:t>
      </w:r>
      <w:r>
        <w:rPr/>
        <w:t>suficiente</w:t>
      </w:r>
      <w:r>
        <w:rPr>
          <w:spacing w:val="-1"/>
        </w:rPr>
        <w:t> </w:t>
      </w:r>
      <w:r>
        <w:rPr/>
        <w:t>para</w:t>
      </w:r>
      <w:r>
        <w:rPr>
          <w:spacing w:val="-3"/>
        </w:rPr>
        <w:t> </w:t>
      </w:r>
      <w:r>
        <w:rPr/>
        <w:t>arcar</w:t>
      </w:r>
      <w:r>
        <w:rPr>
          <w:spacing w:val="-2"/>
        </w:rPr>
        <w:t> </w:t>
      </w:r>
      <w:r>
        <w:rPr/>
        <w:t>com</w:t>
      </w:r>
      <w:r>
        <w:rPr>
          <w:spacing w:val="-4"/>
        </w:rPr>
        <w:t> </w:t>
      </w:r>
      <w:r>
        <w:rPr/>
        <w:t>essa</w:t>
      </w:r>
      <w:r>
        <w:rPr>
          <w:spacing w:val="-3"/>
        </w:rPr>
        <w:t> </w:t>
      </w:r>
      <w:r>
        <w:rPr/>
        <w:t>despesa.</w:t>
      </w:r>
      <w:r>
        <w:rPr>
          <w:spacing w:val="-2"/>
        </w:rPr>
        <w:t> </w:t>
      </w:r>
      <w:r>
        <w:rPr/>
        <w:t>Colocado em votação, o Comitê decidiu por unanimidade manter o aporte no mesmo valor e na mesma conta e Fundo - IRFM1, com a finalidade de constituir um fundo de reserva. Ficou também decidido que, para as movimentações do mês, serão utilizados os valores dos Fundos IRFM1 e CDI. Nada mais havendo a tratar, a senhora Presidente deu por encerrada a presente reunião às 12:05h, cuja Ata segue lavrada por mim, Cláudia Miranda do Nascimento Secretária deste Comitê, que a submeterei à aprovação dos demais membros e devidamente colherei suas </w:t>
      </w:r>
      <w:r>
        <w:rPr>
          <w:spacing w:val="-2"/>
        </w:rPr>
        <w:t>assinaturas.</w:t>
      </w:r>
    </w:p>
    <w:p>
      <w:pPr>
        <w:pStyle w:val="BodyText"/>
        <w:spacing w:before="117"/>
      </w:pPr>
    </w:p>
    <w:p>
      <w:pPr>
        <w:pStyle w:val="BodyText"/>
        <w:tabs>
          <w:tab w:pos="5585" w:val="left" w:leader="none"/>
          <w:tab w:pos="6111" w:val="left" w:leader="none"/>
        </w:tabs>
        <w:ind w:left="1064" w:right="650" w:firstLine="365"/>
      </w:pPr>
      <w:r>
        <w:rPr/>
        <w:t>Elizabeth Nottini</w:t>
        <w:tab/>
        <w:t>Daniel</w:t>
      </w:r>
      <w:r>
        <w:rPr>
          <w:spacing w:val="-13"/>
        </w:rPr>
        <w:t> </w:t>
      </w:r>
      <w:r>
        <w:rPr/>
        <w:t>Luiz</w:t>
      </w:r>
      <w:r>
        <w:rPr>
          <w:spacing w:val="-14"/>
        </w:rPr>
        <w:t> </w:t>
      </w:r>
      <w:r>
        <w:rPr/>
        <w:t>Simões</w:t>
      </w:r>
      <w:r>
        <w:rPr>
          <w:spacing w:val="-13"/>
        </w:rPr>
        <w:t> </w:t>
      </w:r>
      <w:r>
        <w:rPr/>
        <w:t>Campos Diretora de Previdência</w:t>
        <w:tab/>
        <w:tab/>
        <w:t>Diretor Financeiro</w:t>
      </w:r>
    </w:p>
    <w:p>
      <w:pPr>
        <w:pStyle w:val="BodyText"/>
      </w:pPr>
    </w:p>
    <w:p>
      <w:pPr>
        <w:pStyle w:val="BodyText"/>
      </w:pPr>
    </w:p>
    <w:p>
      <w:pPr>
        <w:pStyle w:val="BodyText"/>
      </w:pPr>
    </w:p>
    <w:p>
      <w:pPr>
        <w:pStyle w:val="BodyText"/>
      </w:pPr>
    </w:p>
    <w:p>
      <w:pPr>
        <w:pStyle w:val="BodyText"/>
        <w:tabs>
          <w:tab w:pos="5441" w:val="left" w:leader="none"/>
        </w:tabs>
        <w:ind w:left="820"/>
      </w:pPr>
      <w:r>
        <w:rPr/>
        <w:t>Michele</w:t>
      </w:r>
      <w:r>
        <w:rPr>
          <w:spacing w:val="-5"/>
        </w:rPr>
        <w:t> </w:t>
      </w:r>
      <w:r>
        <w:rPr/>
        <w:t>Schifller</w:t>
      </w:r>
      <w:r>
        <w:rPr>
          <w:spacing w:val="-4"/>
        </w:rPr>
        <w:t> </w:t>
      </w:r>
      <w:r>
        <w:rPr>
          <w:spacing w:val="-2"/>
        </w:rPr>
        <w:t>Forster</w:t>
      </w:r>
      <w:r>
        <w:rPr/>
        <w:tab/>
        <w:t>Cláudia</w:t>
      </w:r>
      <w:r>
        <w:rPr>
          <w:spacing w:val="-3"/>
        </w:rPr>
        <w:t> </w:t>
      </w:r>
      <w:r>
        <w:rPr/>
        <w:t>Miranda</w:t>
      </w:r>
      <w:r>
        <w:rPr>
          <w:spacing w:val="-2"/>
        </w:rPr>
        <w:t> </w:t>
      </w:r>
      <w:r>
        <w:rPr/>
        <w:t>do</w:t>
      </w:r>
      <w:r>
        <w:rPr>
          <w:spacing w:val="-4"/>
        </w:rPr>
        <w:t> </w:t>
      </w:r>
      <w:r>
        <w:rPr>
          <w:spacing w:val="-2"/>
        </w:rPr>
        <w:t>Nascimento</w:t>
      </w:r>
    </w:p>
    <w:p>
      <w:pPr>
        <w:pStyle w:val="BodyText"/>
        <w:tabs>
          <w:tab w:pos="5405" w:val="left" w:leader="none"/>
        </w:tabs>
        <w:spacing w:before="1"/>
        <w:ind w:left="698"/>
      </w:pPr>
      <w:r>
        <w:rPr/>
        <w:t>Gestora</w:t>
      </w:r>
      <w:r>
        <w:rPr>
          <w:spacing w:val="-3"/>
        </w:rPr>
        <w:t> </w:t>
      </w:r>
      <w:r>
        <w:rPr/>
        <w:t>de</w:t>
      </w:r>
      <w:r>
        <w:rPr>
          <w:spacing w:val="-2"/>
        </w:rPr>
        <w:t> Investimentos</w:t>
      </w:r>
      <w:r>
        <w:rPr/>
        <w:tab/>
        <w:t>Chefe</w:t>
      </w:r>
      <w:r>
        <w:rPr>
          <w:spacing w:val="-5"/>
        </w:rPr>
        <w:t> </w:t>
      </w:r>
      <w:r>
        <w:rPr/>
        <w:t>da</w:t>
      </w:r>
      <w:r>
        <w:rPr>
          <w:spacing w:val="-3"/>
        </w:rPr>
        <w:t> </w:t>
      </w:r>
      <w:r>
        <w:rPr/>
        <w:t>Divisão</w:t>
      </w:r>
      <w:r>
        <w:rPr>
          <w:spacing w:val="-1"/>
        </w:rPr>
        <w:t> </w:t>
      </w:r>
      <w:r>
        <w:rPr/>
        <w:t>de</w:t>
      </w:r>
      <w:r>
        <w:rPr>
          <w:spacing w:val="-6"/>
        </w:rPr>
        <w:t> </w:t>
      </w:r>
      <w:r>
        <w:rPr>
          <w:spacing w:val="-2"/>
        </w:rPr>
        <w:t>Tesouraria</w:t>
      </w:r>
    </w:p>
    <w:p>
      <w:pPr>
        <w:pStyle w:val="BodyText"/>
      </w:pPr>
    </w:p>
    <w:p>
      <w:pPr>
        <w:pStyle w:val="BodyText"/>
      </w:pPr>
    </w:p>
    <w:p>
      <w:pPr>
        <w:pStyle w:val="BodyText"/>
        <w:spacing w:before="252"/>
      </w:pPr>
    </w:p>
    <w:p>
      <w:pPr>
        <w:pStyle w:val="BodyText"/>
        <w:tabs>
          <w:tab w:pos="5710" w:val="left" w:leader="none"/>
          <w:tab w:pos="5806" w:val="left" w:leader="none"/>
        </w:tabs>
        <w:ind w:left="942" w:right="818" w:hanging="612"/>
      </w:pPr>
      <w:r>
        <w:rPr/>
        <w:t>Carla Cristina Correia M. V. Tavares</w:t>
        <w:tab/>
        <w:t>Adrina</w:t>
      </w:r>
      <w:r>
        <w:rPr>
          <w:spacing w:val="-12"/>
        </w:rPr>
        <w:t> </w:t>
      </w:r>
      <w:r>
        <w:rPr/>
        <w:t>Catarina</w:t>
      </w:r>
      <w:r>
        <w:rPr>
          <w:spacing w:val="-14"/>
        </w:rPr>
        <w:t> </w:t>
      </w:r>
      <w:r>
        <w:rPr/>
        <w:t>da</w:t>
      </w:r>
      <w:r>
        <w:rPr>
          <w:spacing w:val="-14"/>
        </w:rPr>
        <w:t> </w:t>
      </w:r>
      <w:r>
        <w:rPr/>
        <w:t>Costa Gestora Previdenciária</w:t>
        <w:tab/>
        <w:tab/>
        <w:t>Gestora Previdenciária</w:t>
      </w:r>
    </w:p>
    <w:p>
      <w:pPr>
        <w:pStyle w:val="BodyText"/>
      </w:pPr>
    </w:p>
    <w:p>
      <w:pPr>
        <w:pStyle w:val="BodyText"/>
      </w:pPr>
    </w:p>
    <w:p>
      <w:pPr>
        <w:pStyle w:val="BodyText"/>
      </w:pPr>
    </w:p>
    <w:p>
      <w:pPr>
        <w:pStyle w:val="BodyText"/>
      </w:pPr>
    </w:p>
    <w:p>
      <w:pPr>
        <w:pStyle w:val="BodyText"/>
        <w:spacing w:before="1"/>
      </w:pPr>
    </w:p>
    <w:p>
      <w:pPr>
        <w:pStyle w:val="BodyText"/>
        <w:ind w:left="1186" w:right="4915" w:hanging="440"/>
      </w:pPr>
      <w:r>
        <w:rPr/>
        <w:t>Aluísio</w:t>
      </w:r>
      <w:r>
        <w:rPr>
          <w:spacing w:val="-16"/>
        </w:rPr>
        <w:t> </w:t>
      </w:r>
      <w:r>
        <w:rPr/>
        <w:t>Martins</w:t>
      </w:r>
      <w:r>
        <w:rPr>
          <w:spacing w:val="-15"/>
        </w:rPr>
        <w:t> </w:t>
      </w:r>
      <w:r>
        <w:rPr/>
        <w:t>Manzini </w:t>
      </w:r>
      <w:r>
        <w:rPr>
          <w:spacing w:val="-2"/>
        </w:rPr>
        <w:t>Controlador</w:t>
      </w:r>
    </w:p>
    <w:p>
      <w:pPr>
        <w:pStyle w:val="BodyText"/>
        <w:spacing w:after="0"/>
        <w:sectPr>
          <w:pgSz w:w="12240" w:h="15840"/>
          <w:pgMar w:top="1620" w:bottom="280" w:left="1800" w:right="1440"/>
        </w:sectPr>
      </w:pPr>
    </w:p>
    <w:p>
      <w:pPr>
        <w:pStyle w:val="BodyText"/>
        <w:spacing w:before="4"/>
        <w:rPr>
          <w:sz w:val="17"/>
        </w:rPr>
      </w:pPr>
    </w:p>
    <w:sectPr>
      <w:pgSz w:w="12240" w:h="15840"/>
      <w:pgMar w:top="182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2025-05-19T14:18:37Z</dcterms:created>
  <dcterms:modified xsi:type="dcterms:W3CDTF">2025-05-19T14:18:37Z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