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5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135600" cy="133416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600" cy="133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line="360" w:lineRule="auto"/>
        <w:ind w:left="624" w:right="257"/>
        <w:jc w:val="both"/>
      </w:pPr>
      <w:r>
        <w:rPr/>
        <w:t>Ata da quadragésima quarta reunião ordinária do Comitê de Investimentos do Instituto de Previdência e Assistência Social do Servidor Público do Município de Petrópolis – INPAS. Aos nove dias do mês de junho do ano de dois mil e dezesseis, às dez horas e trinta minutos, no Auditório do Instituto de Previdência e Assistência Social do Servidor Público do Município de Petrópolis, reuniram-se os seguintes membros do Comitê de</w:t>
      </w:r>
      <w:r>
        <w:rPr>
          <w:spacing w:val="40"/>
        </w:rPr>
        <w:t> </w:t>
      </w:r>
      <w:r>
        <w:rPr/>
        <w:t>Investimentos deste Regime Próprio de Previdência Social: a)- Diretor-Presidente do INPAS, senhor Paulo Marcos dos Reis b)-Diretor Financeiro do INPAS, senhor Daniel Luiz Simões</w:t>
      </w:r>
      <w:r>
        <w:rPr>
          <w:spacing w:val="-3"/>
        </w:rPr>
        <w:t> </w:t>
      </w:r>
      <w:r>
        <w:rPr/>
        <w:t>Campos,</w:t>
      </w:r>
      <w:r>
        <w:rPr>
          <w:spacing w:val="-3"/>
        </w:rPr>
        <w:t> </w:t>
      </w:r>
      <w:r>
        <w:rPr/>
        <w:t>c)-</w:t>
      </w:r>
      <w:r>
        <w:rPr>
          <w:spacing w:val="-4"/>
        </w:rPr>
        <w:t> </w:t>
      </w:r>
      <w:r>
        <w:rPr/>
        <w:t>Chefe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Divisão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Contabilidade,</w:t>
      </w:r>
      <w:r>
        <w:rPr>
          <w:spacing w:val="-3"/>
        </w:rPr>
        <w:t> </w:t>
      </w:r>
      <w:r>
        <w:rPr/>
        <w:t>senhora</w:t>
      </w:r>
      <w:r>
        <w:rPr>
          <w:spacing w:val="-3"/>
        </w:rPr>
        <w:t> </w:t>
      </w:r>
      <w:r>
        <w:rPr/>
        <w:t>Lucimar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Glória</w:t>
      </w:r>
      <w:r>
        <w:rPr>
          <w:spacing w:val="-3"/>
        </w:rPr>
        <w:t> </w:t>
      </w:r>
      <w:r>
        <w:rPr/>
        <w:t>Gomes Presidente eleita deste Comitê, d)- Chefe da Divisão de Tesouraria, Senhora Cláudia Miranda do Nascimento Secretária eleita deste Comitê, e) Gestora Previdenciária, senhora Carla Cristina Correia Maduro Vogas Tavares, Gestora Previdenciária, senhora Adriana Catarina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Costa;</w:t>
      </w:r>
      <w:r>
        <w:rPr>
          <w:spacing w:val="-2"/>
        </w:rPr>
        <w:t> </w:t>
      </w:r>
      <w:r>
        <w:rPr/>
        <w:t>Presentes também,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direito a</w:t>
      </w:r>
      <w:r>
        <w:rPr>
          <w:spacing w:val="-3"/>
        </w:rPr>
        <w:t> </w:t>
      </w:r>
      <w:r>
        <w:rPr/>
        <w:t>voz e</w:t>
      </w:r>
      <w:r>
        <w:rPr>
          <w:spacing w:val="-2"/>
        </w:rPr>
        <w:t> </w:t>
      </w:r>
      <w:r>
        <w:rPr/>
        <w:t>sem</w:t>
      </w:r>
      <w:r>
        <w:rPr>
          <w:spacing w:val="-1"/>
        </w:rPr>
        <w:t> </w:t>
      </w:r>
      <w:r>
        <w:rPr/>
        <w:t>direito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voto, a</w:t>
      </w:r>
      <w:r>
        <w:rPr>
          <w:spacing w:val="-3"/>
        </w:rPr>
        <w:t> </w:t>
      </w:r>
      <w:r>
        <w:rPr/>
        <w:t>Diretora</w:t>
      </w:r>
      <w:r>
        <w:rPr>
          <w:spacing w:val="-2"/>
        </w:rPr>
        <w:t> </w:t>
      </w:r>
      <w:r>
        <w:rPr/>
        <w:t>de Previdência, a senhora Elizabeth Nottini, o servidor Aluísio Manzini, a servidora Isabel Cristina Caldeira Gerônimo e a servidora Michele Schiffler Forster., Com esta composição iniciou-se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referida</w:t>
      </w:r>
      <w:r>
        <w:rPr>
          <w:spacing w:val="-1"/>
        </w:rPr>
        <w:t> </w:t>
      </w:r>
      <w:r>
        <w:rPr/>
        <w:t>reunião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atendimento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pauta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dia,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teve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ordem: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0" w:lineRule="auto" w:before="2"/>
        <w:ind w:left="624" w:right="265"/>
        <w:jc w:val="both"/>
      </w:pPr>
      <w:r>
        <w:rPr/>
        <w:t>-</w:t>
      </w:r>
      <w:r>
        <w:rPr>
          <w:spacing w:val="-13"/>
        </w:rPr>
        <w:t> </w:t>
      </w:r>
      <w:r>
        <w:rPr/>
        <w:t>Aprovação da</w:t>
      </w:r>
      <w:r>
        <w:rPr>
          <w:spacing w:val="-13"/>
        </w:rPr>
        <w:t> </w:t>
      </w:r>
      <w:r>
        <w:rPr/>
        <w:t>Ata da</w:t>
      </w:r>
      <w:r>
        <w:rPr>
          <w:spacing w:val="-2"/>
        </w:rPr>
        <w:t> </w:t>
      </w:r>
      <w:r>
        <w:rPr/>
        <w:t>reunião</w:t>
      </w:r>
      <w:r>
        <w:rPr>
          <w:spacing w:val="-2"/>
        </w:rPr>
        <w:t> </w:t>
      </w:r>
      <w:r>
        <w:rPr/>
        <w:t>anterior; 2</w:t>
      </w:r>
      <w:r>
        <w:rPr>
          <w:spacing w:val="-2"/>
        </w:rPr>
        <w:t> </w:t>
      </w:r>
      <w:r>
        <w:rPr/>
        <w:t>-</w:t>
      </w:r>
      <w:r>
        <w:rPr>
          <w:spacing w:val="-11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cenário macroeconômico, bem</w:t>
      </w:r>
      <w:r>
        <w:rPr>
          <w:spacing w:val="-1"/>
        </w:rPr>
        <w:t> </w:t>
      </w:r>
      <w:r>
        <w:rPr/>
        <w:t>como as expectativas de mercado;</w:t>
      </w:r>
      <w:r>
        <w:rPr>
          <w:spacing w:val="-2"/>
        </w:rPr>
        <w:t> </w:t>
      </w:r>
      <w:r>
        <w:rPr/>
        <w:t>Avaliação dos investimentos que compõem o patrimônio dos diversos segmentos de aplicação; Proposições de investimentos/desinvestimentos; 3 - Análise do fluxo de caixa, considerando as obrigações previdenciárias e administrativas para o mês em curso; 4 - Assuntos Gerais. A Presidente do Comitê iniciou a reunião submetendo ata da reunião anterior à apreciação dos membros do Comitê, tendo sido ela aprovada sem ressalvas. Passando para o segundo item da pauta, a Gestora de Investimentos, Sra Michele Schiffler Forster, procedeu à leitura do “Cenário Macro Econômico”. Iniciando, ressaltou</w:t>
      </w:r>
      <w:r>
        <w:rPr>
          <w:spacing w:val="-2"/>
        </w:rPr>
        <w:t> </w:t>
      </w:r>
      <w:r>
        <w:rPr/>
        <w:t>que dentre os</w:t>
      </w:r>
      <w:r>
        <w:rPr>
          <w:spacing w:val="-2"/>
        </w:rPr>
        <w:t> </w:t>
      </w:r>
      <w:r>
        <w:rPr/>
        <w:t>acontecimentos mais relevantes do</w:t>
      </w:r>
      <w:r>
        <w:rPr>
          <w:spacing w:val="-2"/>
        </w:rPr>
        <w:t> </w:t>
      </w:r>
      <w:r>
        <w:rPr/>
        <w:t>mês de maio que impactaram as nossas aplicações, foi que a expectativa com o novo governo ocasionou uma certa “calma” no mercado. E que este está em compasso de espera, para verificar a viabilidade da aprovação e implementação do novo plano de governo. Prosseguindo,</w:t>
      </w:r>
      <w:r>
        <w:rPr>
          <w:spacing w:val="-1"/>
        </w:rPr>
        <w:t> </w:t>
      </w:r>
      <w:r>
        <w:rPr/>
        <w:t>informou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dia</w:t>
      </w:r>
      <w:r>
        <w:rPr>
          <w:spacing w:val="-1"/>
        </w:rPr>
        <w:t> </w:t>
      </w:r>
      <w:r>
        <w:rPr/>
        <w:t>08/06/2016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Copom manteve a</w:t>
      </w:r>
      <w:r>
        <w:rPr>
          <w:spacing w:val="-3"/>
        </w:rPr>
        <w:t> </w:t>
      </w:r>
      <w:r>
        <w:rPr/>
        <w:t>Taxa</w:t>
      </w:r>
      <w:r>
        <w:rPr>
          <w:spacing w:val="-1"/>
        </w:rPr>
        <w:t> </w:t>
      </w:r>
      <w:r>
        <w:rPr/>
        <w:t>Selic</w:t>
      </w:r>
      <w:r>
        <w:rPr>
          <w:spacing w:val="-1"/>
        </w:rPr>
        <w:t> </w:t>
      </w:r>
      <w:r>
        <w:rPr/>
        <w:t>em 14,25% sem viés, sendo a próxima reunião dia 19/07/2016, já com a nova equipe, visto que o presidente do Banco Central Alexandre Tombini representará o Brasil no FMI. O FED postergou mais uma vez a elevação da taxa de juros, talvez para setembro, em virtude do desemprego. O IPCA do mês de maio divulgado em 08/06/2016, teve uma leve alta fechando a 0,78%, frente a abril 0,61%. No ano já acumula 4,05%. No segmento de renda fixa,</w:t>
      </w:r>
      <w:r>
        <w:rPr>
          <w:spacing w:val="22"/>
        </w:rPr>
        <w:t> </w:t>
      </w:r>
      <w:r>
        <w:rPr/>
        <w:t>o</w:t>
      </w:r>
      <w:r>
        <w:rPr>
          <w:spacing w:val="20"/>
        </w:rPr>
        <w:t> </w:t>
      </w:r>
      <w:r>
        <w:rPr/>
        <w:t>destaque</w:t>
      </w:r>
      <w:r>
        <w:rPr>
          <w:spacing w:val="22"/>
        </w:rPr>
        <w:t> </w:t>
      </w:r>
      <w:r>
        <w:rPr/>
        <w:t>no</w:t>
      </w:r>
      <w:r>
        <w:rPr>
          <w:spacing w:val="20"/>
        </w:rPr>
        <w:t> </w:t>
      </w:r>
      <w:r>
        <w:rPr/>
        <w:t>mês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maio</w:t>
      </w:r>
      <w:r>
        <w:rPr>
          <w:spacing w:val="22"/>
        </w:rPr>
        <w:t> </w:t>
      </w:r>
      <w:r>
        <w:rPr/>
        <w:t>foi</w:t>
      </w:r>
      <w:r>
        <w:rPr>
          <w:spacing w:val="21"/>
        </w:rPr>
        <w:t> </w:t>
      </w:r>
      <w:r>
        <w:rPr/>
        <w:t>IRFM-1</w:t>
      </w:r>
      <w:r>
        <w:rPr>
          <w:spacing w:val="22"/>
        </w:rPr>
        <w:t> </w:t>
      </w:r>
      <w:r>
        <w:rPr/>
        <w:t>com</w:t>
      </w:r>
      <w:r>
        <w:rPr>
          <w:spacing w:val="21"/>
        </w:rPr>
        <w:t> </w:t>
      </w:r>
      <w:r>
        <w:rPr/>
        <w:t>valorização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1,0667%</w:t>
      </w:r>
      <w:r>
        <w:rPr>
          <w:spacing w:val="22"/>
        </w:rPr>
        <w:t> </w:t>
      </w:r>
      <w:r>
        <w:rPr/>
        <w:t>frente</w:t>
      </w:r>
      <w:r>
        <w:rPr>
          <w:spacing w:val="20"/>
        </w:rPr>
        <w:t> </w:t>
      </w:r>
      <w:r>
        <w:rPr/>
        <w:t>ao</w:t>
      </w:r>
      <w:r>
        <w:rPr>
          <w:spacing w:val="20"/>
        </w:rPr>
        <w:t> </w:t>
      </w:r>
      <w:r>
        <w:rPr/>
        <w:t>CDI</w:t>
      </w:r>
    </w:p>
    <w:p>
      <w:pPr>
        <w:pStyle w:val="BodyText"/>
        <w:spacing w:after="0" w:line="360" w:lineRule="auto"/>
        <w:jc w:val="both"/>
        <w:sectPr>
          <w:type w:val="continuous"/>
          <w:pgSz w:w="12240" w:h="15840"/>
          <w:pgMar w:top="180" w:bottom="280" w:left="1800" w:right="1440"/>
        </w:sectPr>
      </w:pPr>
    </w:p>
    <w:p>
      <w:pPr>
        <w:pStyle w:val="BodyText"/>
        <w:spacing w:line="360" w:lineRule="auto" w:before="74"/>
        <w:ind w:left="624" w:right="264"/>
        <w:jc w:val="both"/>
      </w:pPr>
      <w:r>
        <w:rPr/>
        <w:t>com 1,1075%. O pior resultado apresentado foi pelo IMAB5+ com -0,7321. O IRFM valorizou 0,2608% enquanto que o IMAB5 0,7986% (fonte:</w:t>
      </w:r>
      <w:r>
        <w:rPr>
          <w:spacing w:val="-6"/>
        </w:rPr>
        <w:t> </w:t>
      </w:r>
      <w:r>
        <w:rPr/>
        <w:t>Anbima).</w:t>
      </w:r>
      <w:r>
        <w:rPr>
          <w:spacing w:val="-6"/>
        </w:rPr>
        <w:t> </w:t>
      </w:r>
      <w:r>
        <w:rPr/>
        <w:t>Após, apresentou um gráfico elaborado por ela com a rentabilidade acumulada de alguns índices no ano de 2016. Neste, registra-se que a melhor rentabilidade foi para o IRFM, que corrobora com a decisão do Comitê na última reunião em aplicar em IRFM e diminuir a exposição ao CDI. Prosseguindo, acrescentou que o Dólar Comercial fechou com desvalorização de 5,10%, fechando o mês de maio à R$ 3,61. O índice IBOVESPA</w:t>
      </w:r>
      <w:r>
        <w:rPr>
          <w:spacing w:val="40"/>
        </w:rPr>
        <w:t> </w:t>
      </w:r>
      <w:r>
        <w:rPr/>
        <w:t>fechou em 48.471</w:t>
      </w:r>
      <w:r>
        <w:rPr>
          <w:spacing w:val="40"/>
        </w:rPr>
        <w:t> </w:t>
      </w:r>
      <w:r>
        <w:rPr/>
        <w:t>pontos com uma</w:t>
      </w:r>
      <w:r>
        <w:rPr>
          <w:spacing w:val="-3"/>
        </w:rPr>
        <w:t> </w:t>
      </w:r>
      <w:r>
        <w:rPr/>
        <w:t>desvalorização</w:t>
      </w:r>
      <w:r>
        <w:rPr>
          <w:spacing w:val="-1"/>
        </w:rPr>
        <w:t> </w:t>
      </w:r>
      <w:r>
        <w:rPr/>
        <w:t>mensal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10,09%</w:t>
      </w:r>
      <w:r>
        <w:rPr>
          <w:spacing w:val="-3"/>
        </w:rPr>
        <w:t> </w:t>
      </w:r>
      <w:r>
        <w:rPr/>
        <w:t>(fonte:</w:t>
      </w:r>
      <w:r>
        <w:rPr>
          <w:spacing w:val="-1"/>
        </w:rPr>
        <w:t> </w:t>
      </w:r>
      <w:r>
        <w:rPr/>
        <w:t>Valor</w:t>
      </w:r>
      <w:r>
        <w:rPr>
          <w:spacing w:val="-2"/>
        </w:rPr>
        <w:t> </w:t>
      </w:r>
      <w:r>
        <w:rPr/>
        <w:t>Econômico).</w:t>
      </w:r>
      <w:r>
        <w:rPr>
          <w:spacing w:val="40"/>
        </w:rPr>
        <w:t> </w:t>
      </w:r>
      <w:r>
        <w:rPr/>
        <w:t>A</w:t>
      </w:r>
      <w:r>
        <w:rPr>
          <w:spacing w:val="-12"/>
        </w:rPr>
        <w:t> </w:t>
      </w:r>
      <w:r>
        <w:rPr/>
        <w:t>perspectiva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cenário econômico para o mês de “maio”, segundo a Empresa da Consultoria Di Blasi, continua ruim, em virtude da inflação ainda elevada, PIB negativo e Taxa de Juros estável. Diante</w:t>
      </w:r>
      <w:r>
        <w:rPr>
          <w:spacing w:val="40"/>
        </w:rPr>
        <w:t> </w:t>
      </w:r>
      <w:r>
        <w:rPr/>
        <w:t>do exposto, a recomendação da Consultoria para o mês de junho é posicionar a carteira em Títulos Públicos Federais em três indexadores: IMA-B-/IDKA/IRFM (IRMF1) permanecendo a indicação para a redução da posição em Fundos CDI.</w:t>
      </w:r>
      <w:r>
        <w:rPr>
          <w:spacing w:val="40"/>
        </w:rPr>
        <w:t> </w:t>
      </w:r>
      <w:r>
        <w:rPr/>
        <w:t>Apresentou ainda uma planilha com os rendimentos do mês de maio também elaborada por ela, visto que a planilha deveria ser elaborada pela empresa Di Blasi não está disponível em virtude da divulgação do IPCA</w:t>
      </w:r>
      <w:r>
        <w:rPr>
          <w:spacing w:val="-8"/>
        </w:rPr>
        <w:t> </w:t>
      </w:r>
      <w:r>
        <w:rPr/>
        <w:t>no dia 08/06, Nesta fica registrada um rendimento total no valor de R$ 28.110,20, que segundo a senhora Michele S. Forster está mais ou menos equilibrado em comparação ao que vem sendo apresentando o ano todo. Nas proposições de investimento, a senhora Michele S. Forster informou que conforme consulta realizada no dia 01/06/2016 com a participação da maioria dos membros, sendo: o Diretor Administrativo, senhor Daniel Luiz Simões Campos, a senhora Michele S. Forster, a Gestora Previdenciária, senhora Adriana Catarina da Costa, a Chefe da Divisão de Tesouraria, Senhora Cláudia Miranda do Nascimento, bem como a Presidente do Comitê, senhora Lucimar da Glória Gomes, ficou acordado o cancelamento do “limite de aplicação em porcentagem” no Fundo IRFM (definido em reunião realizada em 12/05/2016). As alocações em IRFM serão realizadas da seguinte forma: R$ 100.000,00 (cem mil reais) para os “Recursos Administrativos” e R$ 210.000,00, que seria o equivalente ao valor do COMPREV, nos “Recursos Previdenciários” na conta da Caixa Econômica Federal n.º 06.0000112-2. Justificando a alteração, a senhora Michele S. Forster ressaltou que a alocação em “porcentagem” fica um pouco desconfortável para trabalhar, visto que nossos montantes oscilam muito (aplicações e resgates), porque os recursos não entram em uma única data. E que para manter o que foi determinado toda vez que houvesse a</w:t>
      </w:r>
      <w:r>
        <w:rPr>
          <w:spacing w:val="40"/>
        </w:rPr>
        <w:t> </w:t>
      </w:r>
      <w:r>
        <w:rPr/>
        <w:t>necessidade de aplicar ou resgatar, seria necessário mexer também nas aplicações em IRFM, o que não convém, visto que para obter uma melhor rentabilidade é necessário deixarmos o valor parado. Diante do exposto, a senhora Adriana Catarina da Costa questionou se todos os valores pertinentes ao COMPREV serão alocados “sempre” em IRFM e os outros repasses serão distribuídos em outras aplicações.</w:t>
      </w:r>
      <w:r>
        <w:rPr>
          <w:spacing w:val="-8"/>
        </w:rPr>
        <w:t> </w:t>
      </w:r>
      <w:r>
        <w:rPr/>
        <w:t>Após debate em torno do</w:t>
      </w:r>
      <w:r>
        <w:rPr>
          <w:spacing w:val="29"/>
        </w:rPr>
        <w:t> </w:t>
      </w:r>
      <w:r>
        <w:rPr/>
        <w:t>questionamento</w:t>
      </w:r>
      <w:r>
        <w:rPr>
          <w:spacing w:val="29"/>
        </w:rPr>
        <w:t> </w:t>
      </w:r>
      <w:r>
        <w:rPr/>
        <w:t>da</w:t>
      </w:r>
      <w:r>
        <w:rPr>
          <w:spacing w:val="29"/>
        </w:rPr>
        <w:t> </w:t>
      </w:r>
      <w:r>
        <w:rPr/>
        <w:t>senhora</w:t>
      </w:r>
      <w:r>
        <w:rPr>
          <w:spacing w:val="20"/>
        </w:rPr>
        <w:t> </w:t>
      </w:r>
      <w:r>
        <w:rPr/>
        <w:t>Adriana</w:t>
      </w:r>
      <w:r>
        <w:rPr>
          <w:spacing w:val="29"/>
        </w:rPr>
        <w:t> </w:t>
      </w:r>
      <w:r>
        <w:rPr/>
        <w:t>Catarina</w:t>
      </w:r>
      <w:r>
        <w:rPr>
          <w:spacing w:val="29"/>
        </w:rPr>
        <w:t> </w:t>
      </w:r>
      <w:r>
        <w:rPr/>
        <w:t>da</w:t>
      </w:r>
      <w:r>
        <w:rPr>
          <w:spacing w:val="29"/>
        </w:rPr>
        <w:t> </w:t>
      </w:r>
      <w:r>
        <w:rPr/>
        <w:t>Costa,</w:t>
      </w:r>
      <w:r>
        <w:rPr>
          <w:spacing w:val="28"/>
        </w:rPr>
        <w:t> </w:t>
      </w:r>
      <w:r>
        <w:rPr/>
        <w:t>ficou</w:t>
      </w:r>
      <w:r>
        <w:rPr>
          <w:spacing w:val="29"/>
        </w:rPr>
        <w:t> </w:t>
      </w:r>
      <w:r>
        <w:rPr/>
        <w:t>decido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partir</w:t>
      </w:r>
      <w:r>
        <w:rPr>
          <w:spacing w:val="29"/>
        </w:rPr>
        <w:t> </w:t>
      </w:r>
      <w:r>
        <w:rPr/>
        <w:t>da</w:t>
      </w:r>
    </w:p>
    <w:p>
      <w:pPr>
        <w:pStyle w:val="BodyText"/>
        <w:spacing w:after="0" w:line="360" w:lineRule="auto"/>
        <w:jc w:val="both"/>
        <w:sectPr>
          <w:pgSz w:w="12240" w:h="15840"/>
          <w:pgMar w:top="1060" w:bottom="280" w:left="1800" w:right="1440"/>
        </w:sectPr>
      </w:pPr>
    </w:p>
    <w:p>
      <w:pPr>
        <w:pStyle w:val="BodyText"/>
        <w:spacing w:line="360" w:lineRule="auto" w:before="74"/>
        <w:ind w:left="624" w:right="256"/>
        <w:jc w:val="both"/>
      </w:pPr>
      <w:r>
        <w:rPr/>
        <w:t>presente data todos os valores equivalentes ao COMPREV que forem repassados antes</w:t>
      </w:r>
      <w:r>
        <w:rPr>
          <w:spacing w:val="40"/>
        </w:rPr>
        <w:t> </w:t>
      </w:r>
      <w:r>
        <w:rPr/>
        <w:t>da próxima reunião do Comitê este será aplicado em IRFM, conforme acordado na</w:t>
      </w:r>
      <w:r>
        <w:rPr>
          <w:spacing w:val="40"/>
        </w:rPr>
        <w:t> </w:t>
      </w:r>
      <w:r>
        <w:rPr/>
        <w:t>consulta realizada dia 01/06/2016; se for posterior à reunião, será realizada uma nova análise de mercado para a alocação deste. Passando para o terceiro item da pauta, o Diretor Financeiro do INPAS, senhor Daniel Luiz Simões Campos, apresentou análise do fluxo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caixa, bem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investimentos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compõem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patrimônio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segmentos</w:t>
      </w:r>
      <w:r>
        <w:rPr>
          <w:spacing w:val="-1"/>
        </w:rPr>
        <w:t> </w:t>
      </w:r>
      <w:r>
        <w:rPr/>
        <w:t>de aplicação. Passando para o quarto e último item de pauta, a Gestora de Previdência, senhora Adriana Catarina da Costa ressaltou que a até a presente data não foi providenciada a publicação do Decreto com a nova composição dos membros do Comitê, com a inclusão da Gestora de Investimentos, bem como da Diretora de Administração. Quanto ao processo que trata do projeto de Resolução sobre o credenciamento de Instituições Financeiras, a Gestora de Previdência, a senhora Carla Cristina C. M. V Tavares informou que a Procuradoria emitiu parecer favorável quanto à alteração dos Anexos, nos termos propostos pelo Ministério da Previdência Social. A Procuradoria considerou ainda pertinente a alteração na redação do art. 3º do projeto, tendo em vista o disposto no art. 6º – E, III da Portaria MPS n.º 300/15. Diante desse parecer favorável, o Comitê aprovou, por unanimidade, a nova redação do projeto de Resolução. Nada mais havendo a tratar, a senhora Presidente deu por encerrada a presente reunião às 11:56h, cuja</w:t>
      </w:r>
      <w:r>
        <w:rPr>
          <w:spacing w:val="-5"/>
        </w:rPr>
        <w:t> </w:t>
      </w:r>
      <w:r>
        <w:rPr/>
        <w:t>Ata segue lavrada por mim, Cláudia Miranda do Nascimento Secretária deste Comitê, que a submeterei à aprovação dos demais membros e devidamente colherei suas </w:t>
      </w:r>
      <w:r>
        <w:rPr>
          <w:spacing w:val="-2"/>
        </w:rPr>
        <w:t>assinaturas.</w:t>
      </w:r>
    </w:p>
    <w:p>
      <w:pPr>
        <w:pStyle w:val="BodyText"/>
        <w:spacing w:before="116"/>
      </w:pPr>
    </w:p>
    <w:p>
      <w:pPr>
        <w:pStyle w:val="BodyText"/>
        <w:tabs>
          <w:tab w:pos="5500" w:val="left" w:leader="none"/>
          <w:tab w:pos="5830" w:val="left" w:leader="none"/>
        </w:tabs>
        <w:ind w:left="1176" w:right="987" w:hanging="222"/>
      </w:pPr>
      <w:r>
        <w:rPr/>
        <w:t>Paulo Marcos dos Reis</w:t>
        <w:tab/>
        <w:t>Daniel</w:t>
      </w:r>
      <w:r>
        <w:rPr>
          <w:spacing w:val="-14"/>
        </w:rPr>
        <w:t> </w:t>
      </w:r>
      <w:r>
        <w:rPr/>
        <w:t>Luiz</w:t>
      </w:r>
      <w:r>
        <w:rPr>
          <w:spacing w:val="-13"/>
        </w:rPr>
        <w:t> </w:t>
      </w:r>
      <w:r>
        <w:rPr/>
        <w:t>Simões</w:t>
      </w:r>
      <w:r>
        <w:rPr>
          <w:spacing w:val="-14"/>
        </w:rPr>
        <w:t> </w:t>
      </w:r>
      <w:r>
        <w:rPr/>
        <w:t>Campos Diretor Presidente</w:t>
        <w:tab/>
        <w:tab/>
        <w:t>Diretor Financeiro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317" w:val="left" w:leader="none"/>
        </w:tabs>
        <w:ind w:left="733"/>
        <w:jc w:val="both"/>
      </w:pPr>
      <w:r>
        <w:rPr/>
        <w:t>Michele</w:t>
      </w:r>
      <w:r>
        <w:rPr>
          <w:spacing w:val="-5"/>
        </w:rPr>
        <w:t> </w:t>
      </w:r>
      <w:r>
        <w:rPr/>
        <w:t>Schifller</w:t>
      </w:r>
      <w:r>
        <w:rPr>
          <w:spacing w:val="-5"/>
        </w:rPr>
        <w:t> </w:t>
      </w:r>
      <w:r>
        <w:rPr>
          <w:spacing w:val="-2"/>
        </w:rPr>
        <w:t>Forster</w:t>
      </w:r>
      <w:r>
        <w:rPr/>
        <w:tab/>
        <w:t>Cláudia</w:t>
      </w:r>
      <w:r>
        <w:rPr>
          <w:spacing w:val="-6"/>
        </w:rPr>
        <w:t> </w:t>
      </w:r>
      <w:r>
        <w:rPr/>
        <w:t>Miranda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Nascimento</w:t>
      </w:r>
    </w:p>
    <w:p>
      <w:pPr>
        <w:pStyle w:val="BodyText"/>
        <w:tabs>
          <w:tab w:pos="5339" w:val="left" w:leader="none"/>
        </w:tabs>
        <w:ind w:left="625"/>
        <w:jc w:val="both"/>
      </w:pPr>
      <w:r>
        <w:rPr/>
        <w:t>Gestora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Investimentos</w:t>
      </w:r>
      <w:r>
        <w:rPr/>
        <w:tab/>
        <w:t>Chefe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Divisão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Tesouraria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791"/>
      </w:pPr>
      <w:r>
        <w:rPr/>
        <w:t>Lucimar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Glória</w:t>
      </w:r>
      <w:r>
        <w:rPr>
          <w:spacing w:val="-2"/>
        </w:rPr>
        <w:t> </w:t>
      </w:r>
      <w:r>
        <w:rPr>
          <w:spacing w:val="-4"/>
        </w:rPr>
        <w:t>Gomes</w:t>
      </w:r>
    </w:p>
    <w:p>
      <w:pPr>
        <w:pStyle w:val="BodyText"/>
        <w:tabs>
          <w:tab w:pos="5520" w:val="left" w:leader="none"/>
          <w:tab w:pos="5587" w:val="left" w:leader="none"/>
        </w:tabs>
        <w:ind w:left="955" w:right="1235" w:hanging="552"/>
      </w:pPr>
      <w:r>
        <w:rPr/>
        <w:t>Chefe da Divisão de Contabilidade</w:t>
        <w:tab/>
        <w:t>Adrina</w:t>
      </w:r>
      <w:r>
        <w:rPr>
          <w:spacing w:val="-14"/>
        </w:rPr>
        <w:t> </w:t>
      </w:r>
      <w:r>
        <w:rPr/>
        <w:t>Catarina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Costa Presidente do Comitê</w:t>
        <w:tab/>
        <w:tab/>
        <w:t>Gestora Previdenciária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5486" w:val="left" w:leader="none"/>
          <w:tab w:pos="6030" w:val="left" w:leader="none"/>
        </w:tabs>
        <w:ind w:left="456" w:right="1458" w:firstLine="333"/>
      </w:pPr>
      <w:r>
        <w:rPr/>
        <w:t>Elizabeth Nottini</w:t>
        <w:tab/>
        <w:t>Aluísio</w:t>
      </w:r>
      <w:r>
        <w:rPr>
          <w:spacing w:val="-14"/>
        </w:rPr>
        <w:t> </w:t>
      </w:r>
      <w:r>
        <w:rPr/>
        <w:t>Martins</w:t>
      </w:r>
      <w:r>
        <w:rPr>
          <w:spacing w:val="-14"/>
        </w:rPr>
        <w:t> </w:t>
      </w:r>
      <w:r>
        <w:rPr/>
        <w:t>Manzini Diretora de Previdência</w:t>
        <w:tab/>
        <w:tab/>
      </w:r>
      <w:r>
        <w:rPr>
          <w:spacing w:val="-2"/>
        </w:rPr>
        <w:t>Controlador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5292" w:val="left" w:leader="none"/>
          <w:tab w:pos="5753" w:val="left" w:leader="none"/>
        </w:tabs>
        <w:ind w:left="789" w:right="1253" w:hanging="387"/>
      </w:pPr>
      <w:r>
        <w:rPr/>
        <w:t>Carla Cristina Correia M. V. Tavares</w:t>
        <w:tab/>
        <w:t>Isabel</w:t>
      </w:r>
      <w:r>
        <w:rPr>
          <w:spacing w:val="-14"/>
        </w:rPr>
        <w:t> </w:t>
      </w:r>
      <w:r>
        <w:rPr/>
        <w:t>Cristina</w:t>
      </w:r>
      <w:r>
        <w:rPr>
          <w:spacing w:val="-14"/>
        </w:rPr>
        <w:t> </w:t>
      </w:r>
      <w:r>
        <w:rPr/>
        <w:t>C.</w:t>
      </w:r>
      <w:r>
        <w:rPr>
          <w:spacing w:val="-14"/>
        </w:rPr>
        <w:t> </w:t>
      </w:r>
      <w:r>
        <w:rPr/>
        <w:t>Gerônimo Gestora Previdenciária</w:t>
        <w:tab/>
        <w:tab/>
      </w:r>
      <w:r>
        <w:rPr>
          <w:spacing w:val="-2"/>
        </w:rPr>
        <w:t>Convidada</w:t>
      </w:r>
    </w:p>
    <w:p>
      <w:pPr>
        <w:pStyle w:val="BodyText"/>
        <w:spacing w:after="0"/>
        <w:sectPr>
          <w:pgSz w:w="12240" w:h="15840"/>
          <w:pgMar w:top="1060" w:bottom="280" w:left="1800" w:right="144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2025-05-19T14:18:33Z</dcterms:created>
  <dcterms:modified xsi:type="dcterms:W3CDTF">2025-05-19T14:18:33Z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