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276" w:lineRule="auto"/>
        <w:ind w:left="188" w:right="13"/>
        <w:jc w:val="both"/>
      </w:pPr>
      <w:r>
        <w:rPr/>
        <w:t>Ata da décima sexta reunião extraordinária do Comitê de Investimentos do Instituto de Previdência e Assistência Social do Servidor Público do Município de Petrópolis – INPAS. Aos cinco dias do mês de setembro do ano de dois mil e dezessete, às dez</w:t>
      </w:r>
      <w:r>
        <w:rPr>
          <w:spacing w:val="40"/>
        </w:rPr>
        <w:t> </w:t>
      </w:r>
      <w:r>
        <w:rPr/>
        <w:t>horas e dez minutos, no Auditório do Instituto de Previdência e Assistência Social do Servidor Público do 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 Gestora de Investimentos, senhora Michele Schiffler</w:t>
      </w:r>
      <w:r>
        <w:rPr>
          <w:spacing w:val="40"/>
        </w:rPr>
        <w:t> </w:t>
      </w:r>
      <w:r>
        <w:rPr/>
        <w:t>Forster;</w:t>
      </w:r>
      <w:r>
        <w:rPr>
          <w:spacing w:val="-2"/>
        </w:rPr>
        <w:t> </w:t>
      </w:r>
      <w:r>
        <w:rPr/>
        <w:t>e)</w:t>
      </w:r>
      <w:r>
        <w:rPr>
          <w:spacing w:val="-3"/>
        </w:rPr>
        <w:t> </w:t>
      </w:r>
      <w:r>
        <w:rPr/>
        <w:t>Chefe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Tesouraria,</w:t>
      </w:r>
      <w:r>
        <w:rPr>
          <w:spacing w:val="-1"/>
        </w:rPr>
        <w:t> </w:t>
      </w:r>
      <w:r>
        <w:rPr/>
        <w:t>senhora</w:t>
      </w:r>
      <w:r>
        <w:rPr>
          <w:spacing w:val="-3"/>
        </w:rPr>
        <w:t> </w:t>
      </w:r>
      <w:r>
        <w:rPr/>
        <w:t>Claudia</w:t>
      </w:r>
      <w:r>
        <w:rPr>
          <w:spacing w:val="-1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Nascimento;</w:t>
      </w:r>
      <w:r>
        <w:rPr>
          <w:spacing w:val="-2"/>
        </w:rPr>
        <w:t> </w:t>
      </w:r>
      <w:r>
        <w:rPr/>
        <w:t>f) Gestora Previdenciária, senhora Adriana Catarina da Costa. Registra-se a ausência do Diretor-Presidente, Sr. Fernando Leite Fortes por motivo de reunião. Com esta composição iniciou-se a referida reunião extraordinária para atendimento à pauta do</w:t>
      </w:r>
      <w:r>
        <w:rPr>
          <w:spacing w:val="40"/>
        </w:rPr>
        <w:t> </w:t>
      </w:r>
      <w:r>
        <w:rPr/>
        <w:t>dia, que teve a seguinte ordem: 1- leitura da ata da reunião anterior; 2- procedimento a ser adotado pelo Comitê na análise dos processos de credenciamento das instituições financeiras. A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do Comitê iniciou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agradecendo a</w:t>
      </w:r>
      <w:r>
        <w:rPr>
          <w:spacing w:val="-1"/>
        </w:rPr>
        <w:t> </w:t>
      </w:r>
      <w:r>
        <w:rPr/>
        <w:t>presença de todos. No que se refere à ata da 57ª reunião, enviada por e-mail para todos os membros do Comitê e lida nesta reunião, não houve retificações, tendo sido integralmente aprovada. Passando para o segundo ponto de pauta, a Presidente do Comitê informou que foram protocolizadas três solicitações de credenciamento, quais sejam, a do Banco do Brasil, Caixa Econômica Federal e Banco Itaú. Porém, como os processos foram abertos no assunto “Convênio”, a Presidente vai solicitar que tais processos sejam enquadrados como “Rotina”, tendo em vista que a tramitação deverá seguir um rito diferente, conforme disposto na Resolução nº 001/2016. Para os próximos credenciamentos, o Comitê solicitará à Comissão de “Workflow” a criação de um fluxo específico para</w:t>
      </w:r>
      <w:r>
        <w:rPr>
          <w:spacing w:val="40"/>
        </w:rPr>
        <w:t> </w:t>
      </w:r>
      <w:r>
        <w:rPr/>
        <w:t>esse assunto. A</w:t>
      </w:r>
      <w:r>
        <w:rPr>
          <w:spacing w:val="-1"/>
        </w:rPr>
        <w:t> </w:t>
      </w:r>
      <w:r>
        <w:rPr/>
        <w:t>servidora Adriana Catarina da Costa se prontificou para apresentar uma minuta desse fluxo processual. Quanto à distribuição dos processos, ficou definido que os integrantes</w:t>
      </w:r>
      <w:r>
        <w:rPr>
          <w:spacing w:val="-2"/>
        </w:rPr>
        <w:t> </w:t>
      </w:r>
      <w:r>
        <w:rPr/>
        <w:t>poderiam</w:t>
      </w:r>
      <w:r>
        <w:rPr>
          <w:spacing w:val="-1"/>
        </w:rPr>
        <w:t> </w:t>
      </w:r>
      <w:r>
        <w:rPr/>
        <w:t>fazer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individualmente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conjunto, ficando,</w:t>
      </w:r>
      <w:r>
        <w:rPr>
          <w:spacing w:val="-2"/>
        </w:rPr>
        <w:t> </w:t>
      </w:r>
      <w:r>
        <w:rPr/>
        <w:t>pois a critério de cada um, razão pela qual a Presidente do Comitê perguntou quem poderia ficar, nesse primeiro momento, com os referidos processos. As servidoras Carla e Adriana se prontificaram para fazer a análise, razão pela qual ficou definido que o requerimento do Banco do Brasil ficará com a servidora Adriana e que os requerimentos</w:t>
      </w:r>
      <w:r>
        <w:rPr>
          <w:spacing w:val="20"/>
        </w:rPr>
        <w:t> </w:t>
      </w:r>
      <w:r>
        <w:rPr/>
        <w:t>do</w:t>
      </w:r>
      <w:r>
        <w:rPr>
          <w:spacing w:val="17"/>
        </w:rPr>
        <w:t> </w:t>
      </w:r>
      <w:r>
        <w:rPr/>
        <w:t>Banco</w:t>
      </w:r>
      <w:r>
        <w:rPr>
          <w:spacing w:val="19"/>
        </w:rPr>
        <w:t> </w:t>
      </w:r>
      <w:r>
        <w:rPr/>
        <w:t>Itaú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CEF</w:t>
      </w:r>
      <w:r>
        <w:rPr>
          <w:spacing w:val="18"/>
        </w:rPr>
        <w:t> </w:t>
      </w:r>
      <w:r>
        <w:rPr/>
        <w:t>ficarão</w:t>
      </w:r>
      <w:r>
        <w:rPr>
          <w:spacing w:val="17"/>
        </w:rPr>
        <w:t> </w:t>
      </w:r>
      <w:r>
        <w:rPr/>
        <w:t>com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servidora</w:t>
      </w:r>
      <w:r>
        <w:rPr>
          <w:spacing w:val="19"/>
        </w:rPr>
        <w:t> </w:t>
      </w:r>
      <w:r>
        <w:rPr/>
        <w:t>Carla.</w:t>
      </w:r>
      <w:r>
        <w:rPr>
          <w:spacing w:val="18"/>
        </w:rPr>
        <w:t> </w:t>
      </w:r>
      <w:r>
        <w:rPr/>
        <w:t>Feita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análise,</w:t>
      </w:r>
      <w:r>
        <w:rPr>
          <w:spacing w:val="20"/>
        </w:rPr>
        <w:t> </w:t>
      </w:r>
      <w:r>
        <w:rPr/>
        <w:t>os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276" w:lineRule="auto"/>
        <w:ind w:left="188" w:right="16"/>
        <w:jc w:val="both"/>
      </w:pPr>
      <w:r>
        <w:rPr/>
        <w:t>processos serão e</w:t>
      </w:r>
      <w:bookmarkStart w:name="Instituto de Previdência e Assistência S" w:id="1"/>
      <w:bookmarkEnd w:id="1"/>
      <w:r>
        <w:rPr/>
        <w:t>nt</w:t>
      </w:r>
      <w:r>
        <w:rPr/>
        <w:t>regues a outros membros do Comitê, de modo que todos tenham analisado os três requerimentos. Ficou ainda definido que, na hipótese de existir pendência na documentação apresentada pelas instituições financeiras, será a servidora Michele a responsável para realizar o contato com as referidas instituições. Por fim, a senhora Adriana Catarina da Costa indagou se o atuário já respondeu sobre a viabilidade de troca do índice utilizado para cálculo da meta atuarial. A servidora Michele informou</w:t>
      </w:r>
      <w:r>
        <w:rPr>
          <w:spacing w:val="-1"/>
        </w:rPr>
        <w:t> </w:t>
      </w:r>
      <w:r>
        <w:rPr/>
        <w:t>que enviou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r>
        <w:rPr/>
        <w:t>mas que ainda não</w:t>
      </w:r>
      <w:r>
        <w:rPr>
          <w:spacing w:val="-1"/>
        </w:rPr>
        <w:t> </w:t>
      </w:r>
      <w:r>
        <w:rPr/>
        <w:t>recebeu</w:t>
      </w:r>
      <w:r>
        <w:rPr>
          <w:spacing w:val="-1"/>
        </w:rPr>
        <w:t> </w:t>
      </w:r>
      <w:r>
        <w:rPr/>
        <w:t>a resposta. O</w:t>
      </w:r>
      <w:r>
        <w:rPr>
          <w:spacing w:val="-1"/>
        </w:rPr>
        <w:t> </w:t>
      </w:r>
      <w:r>
        <w:rPr/>
        <w:t>Diretor Financeiro informou que vai tentar um contato direto com o atuário, já que o mesmo tem vindo com frequência ao Instituto e, neste caso, poderíamos nos reunir extraordinariamente com a presença do profissional. Sem mais, a Presidente encerrou a reunião às 10 horas e 40 minutos,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574" w:right="38" w:firstLine="566"/>
        <w:jc w:val="left"/>
        <w:rPr>
          <w:sz w:val="24"/>
        </w:rPr>
      </w:pPr>
      <w:r>
        <w:rPr>
          <w:sz w:val="24"/>
        </w:rPr>
        <w:t>Lucimar Glória Gomes Chefe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Divisão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Contabilidade</w:t>
      </w:r>
    </w:p>
    <w:p>
      <w:pPr>
        <w:spacing w:line="275" w:lineRule="exact" w:before="0"/>
        <w:ind w:left="1752" w:right="0" w:firstLine="0"/>
        <w:jc w:val="left"/>
        <w:rPr>
          <w:sz w:val="24"/>
        </w:rPr>
      </w:pPr>
      <w:r>
        <w:rPr>
          <w:spacing w:val="-2"/>
          <w:sz w:val="24"/>
        </w:rPr>
        <w:t>Presidente</w:t>
      </w:r>
    </w:p>
    <w:p>
      <w:pPr>
        <w:spacing w:line="276" w:lineRule="auto" w:before="230"/>
        <w:ind w:left="1362" w:right="0" w:hanging="302"/>
        <w:jc w:val="left"/>
        <w:rPr>
          <w:sz w:val="24"/>
        </w:rPr>
      </w:pPr>
      <w:r>
        <w:rPr>
          <w:sz w:val="24"/>
        </w:rPr>
        <w:t>Robson</w:t>
      </w:r>
      <w:r>
        <w:rPr>
          <w:spacing w:val="-14"/>
          <w:sz w:val="24"/>
        </w:rPr>
        <w:t> </w:t>
      </w:r>
      <w:r>
        <w:rPr>
          <w:sz w:val="24"/>
        </w:rPr>
        <w:t>Carneiro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Cruz Diretor Financeiro</w:t>
      </w:r>
    </w:p>
    <w:p>
      <w:pPr>
        <w:spacing w:line="276" w:lineRule="auto" w:before="90"/>
        <w:ind w:left="240" w:right="202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Carla</w:t>
      </w:r>
      <w:r>
        <w:rPr>
          <w:spacing w:val="-8"/>
          <w:sz w:val="24"/>
        </w:rPr>
        <w:t> </w:t>
      </w:r>
      <w:r>
        <w:rPr>
          <w:sz w:val="24"/>
        </w:rPr>
        <w:t>Cristina</w:t>
      </w:r>
      <w:r>
        <w:rPr>
          <w:spacing w:val="-9"/>
          <w:sz w:val="24"/>
        </w:rPr>
        <w:t> </w:t>
      </w:r>
      <w:r>
        <w:rPr>
          <w:sz w:val="24"/>
        </w:rPr>
        <w:t>Correia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9"/>
          <w:sz w:val="24"/>
        </w:rPr>
        <w:t> </w:t>
      </w:r>
      <w:r>
        <w:rPr>
          <w:sz w:val="24"/>
        </w:rPr>
        <w:t>Tavares Gestora Previdenciária</w:t>
      </w:r>
    </w:p>
    <w:p>
      <w:pPr>
        <w:spacing w:line="275" w:lineRule="exact" w:before="0"/>
        <w:ind w:left="240" w:right="258" w:firstLine="0"/>
        <w:jc w:val="center"/>
        <w:rPr>
          <w:sz w:val="24"/>
        </w:rPr>
      </w:pPr>
      <w:r>
        <w:rPr>
          <w:spacing w:val="-2"/>
          <w:sz w:val="24"/>
        </w:rPr>
        <w:t>Secretária</w:t>
      </w:r>
    </w:p>
    <w:p>
      <w:pPr>
        <w:spacing w:line="276" w:lineRule="auto" w:before="230"/>
        <w:ind w:left="1120" w:right="1099" w:hanging="41"/>
        <w:jc w:val="center"/>
        <w:rPr>
          <w:sz w:val="24"/>
        </w:rPr>
      </w:pPr>
      <w:r>
        <w:rPr>
          <w:sz w:val="24"/>
        </w:rPr>
        <w:t>Michele Schifller Forster Gestora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Investimentos</w:t>
      </w:r>
    </w:p>
    <w:p>
      <w:pPr>
        <w:spacing w:after="0" w:line="276" w:lineRule="auto"/>
        <w:jc w:val="center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68" w:space="720"/>
            <w:col w:w="4672"/>
          </w:cols>
        </w:sect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704" w:right="38" w:hanging="14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14"/>
          <w:sz w:val="24"/>
        </w:rPr>
        <w:t> </w:t>
      </w:r>
      <w:r>
        <w:rPr>
          <w:sz w:val="24"/>
        </w:rPr>
        <w:t>Miranda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Nascimento Chefe da Divisão de Tesouraria</w:t>
      </w:r>
    </w:p>
    <w:p>
      <w:pPr>
        <w:spacing w:line="276" w:lineRule="auto" w:before="90"/>
        <w:ind w:left="863" w:right="1045" w:hanging="174"/>
        <w:jc w:val="left"/>
        <w:rPr>
          <w:sz w:val="24"/>
        </w:rPr>
      </w:pPr>
      <w:r>
        <w:rPr/>
        <w:br w:type="column"/>
      </w:r>
      <w:r>
        <w:rPr>
          <w:sz w:val="24"/>
        </w:rPr>
        <w:t>Adriana</w:t>
      </w:r>
      <w:r>
        <w:rPr>
          <w:spacing w:val="-14"/>
          <w:sz w:val="24"/>
        </w:rPr>
        <w:t> </w:t>
      </w:r>
      <w:r>
        <w:rPr>
          <w:sz w:val="24"/>
        </w:rPr>
        <w:t>Catarina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Costa Gestora Previdenciária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851" w:space="1235"/>
        <w:col w:w="42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850pt;height:31.2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089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2025-05-16T19:01:15Z</dcterms:created>
  <dcterms:modified xsi:type="dcterms:W3CDTF">2025-05-16T19:01:15Z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