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spacing w:line="360" w:lineRule="auto"/>
        <w:ind w:left="188" w:right="16"/>
        <w:jc w:val="both"/>
      </w:pP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quinquagésima</w:t>
      </w:r>
      <w:r>
        <w:rPr>
          <w:spacing w:val="-3"/>
        </w:rPr>
        <w:t> </w:t>
      </w:r>
      <w:r>
        <w:rPr/>
        <w:t>quinta</w:t>
      </w:r>
      <w:r>
        <w:rPr>
          <w:spacing w:val="-1"/>
        </w:rPr>
        <w:t> </w:t>
      </w:r>
      <w:r>
        <w:rPr/>
        <w:t>reunião</w:t>
      </w:r>
      <w:r>
        <w:rPr>
          <w:spacing w:val="-4"/>
        </w:rPr>
        <w:t> </w:t>
      </w:r>
      <w:r>
        <w:rPr/>
        <w:t>ordinária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Comitê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Investimentos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Instituto de Previdência e Assistência Social do Servidor Público do Município de Petrópolis – INPAS.</w:t>
      </w:r>
      <w:r>
        <w:rPr>
          <w:spacing w:val="-14"/>
        </w:rPr>
        <w:t> </w:t>
      </w:r>
      <w:r>
        <w:rPr/>
        <w:t>Aos quatorze dias do</w:t>
      </w:r>
      <w:r>
        <w:rPr>
          <w:spacing w:val="-1"/>
        </w:rPr>
        <w:t> </w:t>
      </w:r>
      <w:r>
        <w:rPr/>
        <w:t>mês de junho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ano</w:t>
      </w:r>
      <w:r>
        <w:rPr>
          <w:spacing w:val="-1"/>
        </w:rPr>
        <w:t> </w:t>
      </w:r>
      <w:r>
        <w:rPr/>
        <w:t>de dois mil</w:t>
      </w:r>
      <w:r>
        <w:rPr>
          <w:spacing w:val="-1"/>
        </w:rPr>
        <w:t> </w:t>
      </w:r>
      <w:r>
        <w:rPr/>
        <w:t>e dezessete, às</w:t>
      </w:r>
      <w:r>
        <w:rPr>
          <w:spacing w:val="-2"/>
        </w:rPr>
        <w:t> </w:t>
      </w:r>
      <w:r>
        <w:rPr/>
        <w:t>dez horas e quinze minutos, no Auditório do Instituto de Previdência e Assistência Social do Servidor Público do Município de Petrópolis, reuniram-se os seguintes membros do Comitê de Investimentos deste Regime Próprio de Previdência Social: a) Diretor Financeiro do INPAS, senhor Robson Carneiro da Cruz; b) Chefe da Divisão de Contabilidade, senhora Lucimar da Glória Gomes, Presidente eleita deste Comitê c) Gestora Previdenciária, senhora Carla Cristina Correia Maduro Vogas Tavares, secretária deste Comitê; d) Gestora de Investimentos, senhora Michele Schiffler</w:t>
      </w:r>
      <w:r>
        <w:rPr>
          <w:spacing w:val="40"/>
        </w:rPr>
        <w:t> </w:t>
      </w:r>
      <w:r>
        <w:rPr/>
        <w:t>Forster; e) Chefe da Divisão de Tesouraria, senhora Claudia Miranda do Nascimento. Registram-se as ausências do Sr. Fernando Leite Fortes, por reunião na Prefeitura, e da senhora</w:t>
      </w:r>
      <w:r>
        <w:rPr>
          <w:spacing w:val="-6"/>
        </w:rPr>
        <w:t> </w:t>
      </w:r>
      <w:r>
        <w:rPr/>
        <w:t>Adriana Catarina da Costa, por ter sido submetida a um procedimento médico. Com</w:t>
      </w:r>
      <w:r>
        <w:rPr>
          <w:spacing w:val="-5"/>
        </w:rPr>
        <w:t> </w:t>
      </w:r>
      <w:r>
        <w:rPr/>
        <w:t>esta</w:t>
      </w:r>
      <w:r>
        <w:rPr>
          <w:spacing w:val="-2"/>
        </w:rPr>
        <w:t> </w:t>
      </w:r>
      <w:r>
        <w:rPr/>
        <w:t>composição</w:t>
      </w:r>
      <w:r>
        <w:rPr>
          <w:spacing w:val="-3"/>
        </w:rPr>
        <w:t> </w:t>
      </w:r>
      <w:r>
        <w:rPr/>
        <w:t>iniciou-se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pauta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dia,</w:t>
      </w:r>
      <w:r>
        <w:rPr>
          <w:spacing w:val="-4"/>
        </w:rPr>
        <w:t> </w:t>
      </w:r>
      <w:r>
        <w:rPr/>
        <w:t>que teve a seguinte ordem: 1-análise do cenário macroeconômico, bem como as expectativas de mercado; 2-avaliação dos investimentos que compõem o patrimônio</w:t>
      </w:r>
      <w:r>
        <w:rPr>
          <w:spacing w:val="40"/>
        </w:rPr>
        <w:t> </w:t>
      </w:r>
      <w:r>
        <w:rPr/>
        <w:t>dos diversos segmentos de aplicação; 3-análise do fluxo de caixa, considerando as obrigações previdenciárias e administrativas para o mês em curso; 4-proposições de investimentos/desinvestimentos; 5- assuntos gerais. A Presidente do Comitê iniciou a reunião</w:t>
      </w:r>
      <w:r>
        <w:rPr>
          <w:spacing w:val="-2"/>
        </w:rPr>
        <w:t> </w:t>
      </w:r>
      <w:r>
        <w:rPr/>
        <w:t>agradecendo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presença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todos.</w:t>
      </w:r>
      <w:r>
        <w:rPr>
          <w:spacing w:val="40"/>
        </w:rPr>
        <w:t> </w:t>
      </w:r>
      <w:r>
        <w:rPr/>
        <w:t>Em seguida,</w:t>
      </w:r>
      <w:r>
        <w:rPr>
          <w:spacing w:val="-1"/>
        </w:rPr>
        <w:t> </w:t>
      </w:r>
      <w:r>
        <w:rPr/>
        <w:t>informou que</w:t>
      </w:r>
      <w:r>
        <w:rPr>
          <w:spacing w:val="-1"/>
        </w:rPr>
        <w:t> </w:t>
      </w:r>
      <w:r>
        <w:rPr/>
        <w:t>devido à</w:t>
      </w:r>
      <w:r>
        <w:rPr>
          <w:spacing w:val="-3"/>
        </w:rPr>
        <w:t> </w:t>
      </w:r>
      <w:r>
        <w:rPr/>
        <w:t>ausência da Secretária anterior deste Comitê, Sra. Adriana Catarina da Costa, a Ata da reunião anterior, elaborada por ela, será submetida à aprovação na próxima reunião. Passando para os primeiro e segundo pontos de pauta, a Gestora de Investimentos, Sra. Michele Schiffler</w:t>
      </w:r>
      <w:r>
        <w:rPr>
          <w:spacing w:val="-1"/>
        </w:rPr>
        <w:t> </w:t>
      </w:r>
      <w:r>
        <w:rPr/>
        <w:t>Forster, comentou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divulgação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delação</w:t>
      </w:r>
      <w:r>
        <w:rPr>
          <w:spacing w:val="-2"/>
        </w:rPr>
        <w:t> </w:t>
      </w:r>
      <w:r>
        <w:rPr/>
        <w:t>feita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Joesley</w:t>
      </w:r>
      <w:r>
        <w:rPr>
          <w:spacing w:val="-2"/>
        </w:rPr>
        <w:t> </w:t>
      </w:r>
      <w:r>
        <w:rPr/>
        <w:t>Batista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dia 18 de maio, causou uma forte desvalorização em todos os índices e também na Bolsa. Informou</w:t>
      </w:r>
      <w:r>
        <w:rPr>
          <w:spacing w:val="-3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COPOM,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última reunião</w:t>
      </w:r>
      <w:r>
        <w:rPr>
          <w:spacing w:val="-3"/>
        </w:rPr>
        <w:t> </w:t>
      </w:r>
      <w:r>
        <w:rPr/>
        <w:t>realizada em</w:t>
      </w:r>
      <w:r>
        <w:rPr>
          <w:spacing w:val="-1"/>
        </w:rPr>
        <w:t> </w:t>
      </w:r>
      <w:r>
        <w:rPr/>
        <w:t>31/05/17, reduziu</w:t>
      </w:r>
      <w:r>
        <w:rPr>
          <w:spacing w:val="-2"/>
        </w:rPr>
        <w:t> </w:t>
      </w:r>
      <w:r>
        <w:rPr>
          <w:spacing w:val="-10"/>
        </w:rPr>
        <w:t>a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541" w:top="1880" w:bottom="174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88" w:right="29"/>
        <w:jc w:val="both"/>
      </w:pPr>
      <w:r>
        <w:rPr/>
        <w:t>taxa selic em 1,</w:t>
      </w:r>
      <w:bookmarkStart w:name="Instituto de Previdência e Assistência S" w:id="1"/>
      <w:bookmarkEnd w:id="1"/>
      <w:r>
        <w:rPr/>
        <w:t>00</w:t>
      </w:r>
      <w:r>
        <w:rPr/>
        <w:t>%, estando agora em 10,25%. A próxima reunião está prevista para 26/07/17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há</w:t>
      </w:r>
      <w:r>
        <w:rPr>
          <w:spacing w:val="-1"/>
        </w:rPr>
        <w:t> </w:t>
      </w:r>
      <w:r>
        <w:rPr/>
        <w:t>indicação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selic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menor.</w:t>
      </w:r>
      <w:r>
        <w:rPr>
          <w:spacing w:val="-15"/>
        </w:rPr>
        <w:t> </w:t>
      </w:r>
      <w:r>
        <w:rPr/>
        <w:t>Após,</w:t>
      </w:r>
      <w:r>
        <w:rPr>
          <w:spacing w:val="-1"/>
        </w:rPr>
        <w:t> </w:t>
      </w:r>
      <w:r>
        <w:rPr/>
        <w:t>apresentou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variação dos índices do mês de maio mais utilizados e/ou acompanhados por esta Autarquia, sendo: IRFM1: 0,9104; IRFM1+: 0,0925; IRFM: 0,302; IMA</w:t>
      </w:r>
      <w:r>
        <w:rPr>
          <w:spacing w:val="-2"/>
        </w:rPr>
        <w:t> </w:t>
      </w:r>
      <w:r>
        <w:rPr/>
        <w:t>B 5: 0,0843; IMA</w:t>
      </w:r>
      <w:r>
        <w:rPr>
          <w:spacing w:val="-2"/>
        </w:rPr>
        <w:t> </w:t>
      </w:r>
      <w:r>
        <w:rPr/>
        <w:t>B 5+:</w:t>
      </w:r>
    </w:p>
    <w:p>
      <w:pPr>
        <w:pStyle w:val="BodyText"/>
        <w:spacing w:line="360" w:lineRule="auto"/>
        <w:ind w:left="188" w:right="23"/>
        <w:jc w:val="both"/>
      </w:pPr>
      <w:r>
        <w:rPr/>
        <w:t>-1,776; IMA</w:t>
      </w:r>
      <w:r>
        <w:rPr>
          <w:spacing w:val="-8"/>
        </w:rPr>
        <w:t> </w:t>
      </w:r>
      <w:r>
        <w:rPr/>
        <w:t>B: -1,1882; IMA</w:t>
      </w:r>
      <w:r>
        <w:rPr>
          <w:spacing w:val="-6"/>
        </w:rPr>
        <w:t> </w:t>
      </w:r>
      <w:r>
        <w:rPr/>
        <w:t>Geral: 0,0126; CDI: 0,93. Na rentabilidade acumulada – 2017, o melhor desempenho foi do IRFMI+, com 7,35; o</w:t>
      </w:r>
      <w:r>
        <w:rPr>
          <w:spacing w:val="80"/>
        </w:rPr>
        <w:t> </w:t>
      </w:r>
      <w:r>
        <w:rPr/>
        <w:t>IRFM teve rendimento de 6,8; o IMAB5 de 4,92; o IRFM1 de 5,31 e o DI de 4,8. Quanto ao câmbio, registrou</w:t>
      </w:r>
      <w:r>
        <w:rPr>
          <w:spacing w:val="40"/>
        </w:rPr>
        <w:t> </w:t>
      </w:r>
      <w:r>
        <w:rPr/>
        <w:t>que o dólar comercial teve valorização de 1,93% e a Bolsa de Valores fechou o mês de maio com uma desvalorização de 4,12%, conforme veiculado pelo jornal Valor Econômico. Na análise do Relatório Focus de nove de junho do corrente ano, ressaltou que o IPCA está com expectativa de queda até o fechamento de 2017 e que a meta da taxa selic se manteve inalterada. Após, apresentou as movimentações financeiras do Instituto referentes ao mês de maio. As aplicações, nesse mês, somaram R$ 2.430.000,00 e os resgates, R$ 248.000,00. O saldo anterior era de R$ 793.234,63. O retorno financeiro foi de R$ 20.030,70 e o percentual de retorno de 0,8939%. O atingimento da meta atuarial no mês foi de 111,97% . Comparando o INPC e o IPCA, ambos registraram um acumulado de 1,42%. A senhora Michele ainda apresentou o relatório de rentabilidade e risco dos ativos que compõem a carteira do Instituto. A volatilidade apresentada em 12 meses foi a seguinte:</w:t>
      </w:r>
      <w:r>
        <w:rPr>
          <w:spacing w:val="80"/>
        </w:rPr>
        <w:t> </w:t>
      </w:r>
      <w:r>
        <w:rPr/>
        <w:t>IRFM do Banco do Brasil: 3,11%; IRFM1 da CEF e do Banco do Brasil: 0,29%; CDI do Banco do Brasil: 0,18%. Por</w:t>
      </w:r>
      <w:r>
        <w:rPr>
          <w:spacing w:val="-3"/>
        </w:rPr>
        <w:t> </w:t>
      </w:r>
      <w:r>
        <w:rPr/>
        <w:t>fim,</w:t>
      </w:r>
      <w:r>
        <w:rPr>
          <w:spacing w:val="-2"/>
        </w:rPr>
        <w:t> </w:t>
      </w:r>
      <w:r>
        <w:rPr/>
        <w:t>falou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recomendação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consultor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Blasi</w:t>
      </w:r>
      <w:r>
        <w:rPr>
          <w:spacing w:val="-3"/>
        </w:rPr>
        <w:t> </w:t>
      </w:r>
      <w:r>
        <w:rPr/>
        <w:t>Consultoria,</w:t>
      </w:r>
      <w:r>
        <w:rPr>
          <w:spacing w:val="-2"/>
        </w:rPr>
        <w:t> </w:t>
      </w:r>
      <w:r>
        <w:rPr/>
        <w:t>que considerou o IRFM e os Fundos IMA</w:t>
      </w:r>
      <w:r>
        <w:rPr>
          <w:spacing w:val="-5"/>
        </w:rPr>
        <w:t> </w:t>
      </w:r>
      <w:r>
        <w:rPr/>
        <w:t>B como uma boa alternativa para investimentos, em especial com vencimentos mais longos. Ressaltou, contudo, que a incerteza aumentou e que a volatilidade poderá ser maior nos próximos meses. Quanto aos</w:t>
      </w:r>
      <w:r>
        <w:rPr>
          <w:spacing w:val="40"/>
        </w:rPr>
        <w:t> </w:t>
      </w:r>
      <w:r>
        <w:rPr/>
        <w:t>fundos CDI, informou que eles estão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limiar</w:t>
      </w:r>
      <w:r>
        <w:rPr>
          <w:spacing w:val="-2"/>
        </w:rPr>
        <w:t> </w:t>
      </w:r>
      <w:r>
        <w:rPr/>
        <w:t>da meta atuarial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que um</w:t>
      </w:r>
      <w:r>
        <w:rPr>
          <w:spacing w:val="-1"/>
        </w:rPr>
        <w:t> </w:t>
      </w:r>
      <w:r>
        <w:rPr/>
        <w:t>próximo corte de juros os levará para retornos abaixo</w:t>
      </w:r>
      <w:r>
        <w:rPr>
          <w:spacing w:val="13"/>
        </w:rPr>
        <w:t> </w:t>
      </w:r>
      <w:r>
        <w:rPr/>
        <w:t>da meta. Com relação ao FASSE,</w:t>
      </w:r>
      <w:r>
        <w:rPr>
          <w:spacing w:val="14"/>
        </w:rPr>
        <w:t> </w:t>
      </w:r>
      <w:r>
        <w:rPr/>
        <w:t>o saldo final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541" w:top="1880" w:bottom="1740" w:left="1800" w:right="1080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88" w:right="23"/>
        <w:jc w:val="both"/>
      </w:pPr>
      <w:r>
        <w:rPr/>
        <w:t>de maio somou R$ 292.422,24, com um total de 293.460,24 de saldo anterior, R$ 3.000,00</w:t>
      </w:r>
      <w:r>
        <w:rPr>
          <w:spacing w:val="-1"/>
        </w:rPr>
        <w:t> </w:t>
      </w:r>
      <w:r>
        <w:rPr/>
        <w:t>de resgates, e R$</w:t>
      </w:r>
      <w:r>
        <w:rPr>
          <w:spacing w:val="-1"/>
        </w:rPr>
        <w:t> </w:t>
      </w:r>
      <w:r>
        <w:rPr/>
        <w:t>1.962,00 de rendimentos. No</w:t>
      </w:r>
      <w:r>
        <w:rPr>
          <w:spacing w:val="-1"/>
        </w:rPr>
        <w:t> </w:t>
      </w:r>
      <w:r>
        <w:rPr/>
        <w:t>terceiro item da pauta, houve a apresentação do fluxo de caixa pela servidora Claudia Miranda do Nascimento. A Presidente do Comitê sugeriu que, na próxima reunião, o fluxo de caixa seja elaborado de forma a espelhar a movimentação até o dia da reunião. Quanto às proposições de investimentos/desinvestimentos, quarto item de pauta, o Comitê decidiu manter as aplicações nos termos do que foi decidido na reunião anterior, tendo em vista que os aportes estão sendo realizados. Em assuntos gerais, a senhora Michele informou que os membros do Comitê deverão assinar a Declaração de Veracidade do Demonstrativo da Política de Investimentos para cumprimento de uma exigência da Secretaria de Previdência. A senhora Carla Maduro ressaltou a necessidade de ser publicado o chamamento para credenciamento de instituições financeiras, tendo em vista que, de acordo com a Resolução nº 001/2016, o prazo para apresentação da documentação</w:t>
      </w:r>
      <w:r>
        <w:rPr>
          <w:spacing w:val="40"/>
        </w:rPr>
        <w:t> </w:t>
      </w:r>
      <w:r>
        <w:rPr/>
        <w:t>pelas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interessadas</w:t>
      </w:r>
      <w:r>
        <w:rPr>
          <w:spacing w:val="-1"/>
        </w:rPr>
        <w:t> </w:t>
      </w:r>
      <w:r>
        <w:rPr/>
        <w:t>terá</w:t>
      </w:r>
      <w:r>
        <w:rPr>
          <w:spacing w:val="-1"/>
        </w:rPr>
        <w:t> </w:t>
      </w:r>
      <w:r>
        <w:rPr/>
        <w:t>início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agosto.</w:t>
      </w:r>
      <w:r>
        <w:rPr>
          <w:spacing w:val="-1"/>
        </w:rPr>
        <w:t> </w:t>
      </w:r>
      <w:r>
        <w:rPr/>
        <w:t>Sendo</w:t>
      </w:r>
      <w:r>
        <w:rPr>
          <w:spacing w:val="-2"/>
        </w:rPr>
        <w:t> </w:t>
      </w:r>
      <w:r>
        <w:rPr/>
        <w:t>assim,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Comitê</w:t>
      </w:r>
      <w:r>
        <w:rPr>
          <w:spacing w:val="-1"/>
        </w:rPr>
        <w:t> </w:t>
      </w:r>
      <w:r>
        <w:rPr/>
        <w:t>decidiu pela elaboração de um Comunicado ao Presidente do Instituto para que seja providenciado</w:t>
      </w:r>
      <w:r>
        <w:rPr>
          <w:spacing w:val="-5"/>
        </w:rPr>
        <w:t> </w:t>
      </w:r>
      <w:r>
        <w:rPr/>
        <w:t>esse</w:t>
      </w:r>
      <w:r>
        <w:rPr>
          <w:spacing w:val="-4"/>
        </w:rPr>
        <w:t> </w:t>
      </w:r>
      <w:r>
        <w:rPr/>
        <w:t>chamamento.</w:t>
      </w:r>
      <w:r>
        <w:rPr>
          <w:spacing w:val="-4"/>
        </w:rPr>
        <w:t> </w:t>
      </w:r>
      <w:r>
        <w:rPr/>
        <w:t>Sem</w:t>
      </w:r>
      <w:r>
        <w:rPr>
          <w:spacing w:val="-5"/>
        </w:rPr>
        <w:t> </w:t>
      </w:r>
      <w:r>
        <w:rPr/>
        <w:t>mais,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encerrou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às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horas e 30 minutos, e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541" w:top="1880" w:bottom="1740" w:left="1800" w:right="1080"/>
        </w:sectPr>
      </w:pPr>
    </w:p>
    <w:p>
      <w:pPr>
        <w:spacing w:before="46"/>
        <w:ind w:left="574" w:right="38" w:firstLine="566"/>
        <w:jc w:val="left"/>
        <w:rPr>
          <w:sz w:val="24"/>
        </w:rPr>
      </w:pPr>
      <w:r>
        <w:rPr>
          <w:sz w:val="24"/>
        </w:rPr>
        <w:t>Lucimar Glória Gomes Chefe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Divisão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Contabilidade</w:t>
      </w:r>
    </w:p>
    <w:p>
      <w:pPr>
        <w:spacing w:before="0"/>
        <w:ind w:left="1752" w:right="0" w:firstLine="0"/>
        <w:jc w:val="left"/>
        <w:rPr>
          <w:sz w:val="24"/>
        </w:rPr>
      </w:pPr>
      <w:r>
        <w:rPr>
          <w:spacing w:val="-2"/>
          <w:sz w:val="24"/>
        </w:rPr>
        <w:t>Presidente</w:t>
      </w:r>
    </w:p>
    <w:p>
      <w:pPr>
        <w:spacing w:before="46"/>
        <w:ind w:left="227" w:right="219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Carla</w:t>
      </w:r>
      <w:r>
        <w:rPr>
          <w:spacing w:val="-15"/>
          <w:sz w:val="24"/>
        </w:rPr>
        <w:t> </w:t>
      </w:r>
      <w:r>
        <w:rPr>
          <w:sz w:val="24"/>
        </w:rPr>
        <w:t>Cristina</w:t>
      </w:r>
      <w:r>
        <w:rPr>
          <w:spacing w:val="-15"/>
          <w:sz w:val="24"/>
        </w:rPr>
        <w:t> </w:t>
      </w:r>
      <w:r>
        <w:rPr>
          <w:sz w:val="24"/>
        </w:rPr>
        <w:t>Correia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V.</w:t>
      </w:r>
      <w:r>
        <w:rPr>
          <w:spacing w:val="-15"/>
          <w:sz w:val="24"/>
        </w:rPr>
        <w:t> </w:t>
      </w:r>
      <w:r>
        <w:rPr>
          <w:sz w:val="24"/>
        </w:rPr>
        <w:t>Tavares Gestora Previdenciária</w:t>
      </w:r>
    </w:p>
    <w:p>
      <w:pPr>
        <w:spacing w:before="0"/>
        <w:ind w:left="227" w:right="273" w:firstLine="0"/>
        <w:jc w:val="center"/>
        <w:rPr>
          <w:sz w:val="24"/>
        </w:rPr>
      </w:pPr>
      <w:r>
        <w:rPr>
          <w:spacing w:val="-2"/>
          <w:sz w:val="24"/>
        </w:rPr>
        <w:t>Secretária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header="952" w:footer="1541" w:top="1880" w:bottom="1740" w:left="1800" w:right="1080"/>
          <w:cols w:num="2" w:equalWidth="0">
            <w:col w:w="3968" w:space="748"/>
            <w:col w:w="4644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2240" w:h="15840"/>
          <w:pgMar w:header="952" w:footer="1541" w:top="1880" w:bottom="1740" w:left="1800" w:right="1080"/>
        </w:sectPr>
      </w:pPr>
    </w:p>
    <w:p>
      <w:pPr>
        <w:spacing w:before="90"/>
        <w:ind w:left="1362" w:right="38" w:hanging="302"/>
        <w:jc w:val="left"/>
        <w:rPr>
          <w:sz w:val="24"/>
        </w:rPr>
      </w:pPr>
      <w:r>
        <w:rPr>
          <w:sz w:val="24"/>
        </w:rPr>
        <w:t>Robson</w:t>
      </w:r>
      <w:r>
        <w:rPr>
          <w:spacing w:val="-14"/>
          <w:sz w:val="24"/>
        </w:rPr>
        <w:t> </w:t>
      </w:r>
      <w:r>
        <w:rPr>
          <w:sz w:val="24"/>
        </w:rPr>
        <w:t>Carneiro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Cruz Diretor Financeiro</w:t>
      </w:r>
    </w:p>
    <w:p>
      <w:pPr>
        <w:spacing w:before="90"/>
        <w:ind w:left="1078" w:right="1098" w:hanging="18"/>
        <w:jc w:val="left"/>
        <w:rPr>
          <w:sz w:val="24"/>
        </w:rPr>
      </w:pPr>
      <w:r>
        <w:rPr/>
        <w:br w:type="column"/>
      </w:r>
      <w:r>
        <w:rPr>
          <w:sz w:val="24"/>
        </w:rPr>
        <w:t>Michele</w:t>
      </w:r>
      <w:r>
        <w:rPr>
          <w:spacing w:val="-1"/>
          <w:sz w:val="24"/>
        </w:rPr>
        <w:t> </w:t>
      </w:r>
      <w:r>
        <w:rPr>
          <w:sz w:val="24"/>
        </w:rPr>
        <w:t>Schifller Forster Gestora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Investimentos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952" w:footer="1541" w:top="1880" w:bottom="1740" w:left="1800" w:right="1080"/>
          <w:cols w:num="2" w:equalWidth="0">
            <w:col w:w="3545" w:space="1203"/>
            <w:col w:w="4612"/>
          </w:cols>
        </w:sectPr>
      </w:pPr>
    </w:p>
    <w:p>
      <w:pPr>
        <w:pStyle w:val="BodyText"/>
        <w:spacing w:before="64"/>
        <w:rPr>
          <w:sz w:val="24"/>
        </w:rPr>
      </w:pPr>
    </w:p>
    <w:p>
      <w:pPr>
        <w:spacing w:before="0"/>
        <w:ind w:left="714" w:right="5035" w:hanging="24"/>
        <w:jc w:val="left"/>
        <w:rPr>
          <w:sz w:val="24"/>
        </w:rPr>
      </w:pPr>
      <w:r>
        <w:rPr>
          <w:sz w:val="24"/>
        </w:rPr>
        <w:t>Claudia</w:t>
      </w:r>
      <w:r>
        <w:rPr>
          <w:spacing w:val="-14"/>
          <w:sz w:val="24"/>
        </w:rPr>
        <w:t> </w:t>
      </w:r>
      <w:r>
        <w:rPr>
          <w:sz w:val="24"/>
        </w:rPr>
        <w:t>Miranda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Nascimento Chefe da Divisão de Tesouraria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952" w:footer="1541" w:top="1880" w:bottom="1740" w:left="1800" w:right="108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952" w:footer="1541" w:top="1880" w:bottom="174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ill Sans MT">
    <w:altName w:val="Gill Sans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1724660</wp:posOffset>
              </wp:positionH>
              <wp:positionV relativeFrom="page">
                <wp:posOffset>8939919</wp:posOffset>
              </wp:positionV>
              <wp:extent cx="3218815" cy="381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1881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Gill Sans MT" w:hAnsi="Gill Sans MT"/>
                              <w:sz w:val="12"/>
                            </w:rPr>
                          </w:pP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Gill Sans MT" w:hAnsi="Gill Sans MT"/>
                              <w:spacing w:val="-5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5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Gill Sans MT" w:hAnsi="Gill Sans MT"/>
                              <w:spacing w:val="-1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25620-050</w:t>
                          </w:r>
                          <w:r>
                            <w:rPr>
                              <w:rFonts w:ascii="Gill Sans MT" w:hAnsi="Gill Sans MT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0"/>
                              <w:sz w:val="12"/>
                            </w:rPr>
                            <w:t>CNPJ 31.157.589/0001-60 - tel.: (24) 2220-9200</w:t>
                          </w:r>
                        </w:p>
                        <w:p>
                          <w:pPr>
                            <w:spacing w:before="1"/>
                            <w:ind w:left="302" w:right="297" w:firstLine="0"/>
                            <w:jc w:val="center"/>
                            <w:rPr>
                              <w:rFonts w:ascii="Gill Sans MT" w:hAnsi="Gill Sans MT"/>
                              <w:sz w:val="12"/>
                            </w:rPr>
                          </w:pPr>
                          <w:r>
                            <w:rPr>
                              <w:rFonts w:ascii="Gill Sans MT" w:hAnsi="Gill Sans MT"/>
                              <w:spacing w:val="-2"/>
                              <w:w w:val="125"/>
                              <w:sz w:val="12"/>
                            </w:rPr>
                            <w:t>DAF- Diretoria de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w w:val="125"/>
                              <w:sz w:val="12"/>
                            </w:rPr>
                            <w:t>Administração e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w w:val="12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w w:val="125"/>
                              <w:sz w:val="12"/>
                            </w:rPr>
                            <w:t>Finanças. E-mail: </w:t>
                          </w:r>
                          <w:hyperlink r:id="rId1">
                            <w:r>
                              <w:rPr>
                                <w:rFonts w:ascii="Gill Sans MT" w:hAnsi="Gill Sans MT"/>
                                <w:color w:val="0000FF"/>
                                <w:spacing w:val="-2"/>
                                <w:w w:val="125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Gill Sans MT" w:hAnsi="Gill Sans MT"/>
                              <w:color w:val="0000FF"/>
                              <w:w w:val="12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w w:val="125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w w:val="125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ill Sans MT" w:hAnsi="Gill Sans MT"/>
                                <w:color w:val="0000FF"/>
                                <w:w w:val="125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5.800003pt;margin-top:703.930664pt;width:253.45pt;height:30pt;mso-position-horizontal-relative:page;mso-position-vertical-relative:page;z-index:-157649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Gill Sans MT" w:hAnsi="Gill Sans MT"/>
                        <w:sz w:val="12"/>
                      </w:rPr>
                    </w:pP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Rua</w:t>
                    </w:r>
                    <w:r>
                      <w:rPr>
                        <w:rFonts w:ascii="Gill Sans MT" w:hAnsi="Gill Sans MT"/>
                        <w:spacing w:val="-3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Dr.</w:t>
                    </w:r>
                    <w:r>
                      <w:rPr>
                        <w:rFonts w:ascii="Gill Sans MT" w:hAnsi="Gill Sans MT"/>
                        <w:spacing w:val="-4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Alencar</w:t>
                    </w:r>
                    <w:r>
                      <w:rPr>
                        <w:rFonts w:ascii="Gill Sans MT" w:hAnsi="Gill Sans MT"/>
                        <w:spacing w:val="-3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Lima,</w:t>
                    </w:r>
                    <w:r>
                      <w:rPr>
                        <w:rFonts w:ascii="Gill Sans MT" w:hAnsi="Gill Sans MT"/>
                        <w:spacing w:val="-4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35</w:t>
                    </w:r>
                    <w:r>
                      <w:rPr>
                        <w:rFonts w:ascii="Gill Sans MT" w:hAnsi="Gill Sans MT"/>
                        <w:spacing w:val="-4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–</w:t>
                    </w:r>
                    <w:r>
                      <w:rPr>
                        <w:rFonts w:ascii="Gill Sans MT" w:hAnsi="Gill Sans MT"/>
                        <w:spacing w:val="-2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salas</w:t>
                    </w:r>
                    <w:r>
                      <w:rPr>
                        <w:rFonts w:ascii="Gill Sans MT" w:hAnsi="Gill Sans MT"/>
                        <w:spacing w:val="-4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101/115 -</w:t>
                    </w:r>
                    <w:r>
                      <w:rPr>
                        <w:rFonts w:ascii="Gill Sans MT" w:hAnsi="Gill Sans MT"/>
                        <w:spacing w:val="-5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Centro</w:t>
                    </w:r>
                    <w:r>
                      <w:rPr>
                        <w:rFonts w:ascii="Gill Sans MT" w:hAnsi="Gill Sans MT"/>
                        <w:spacing w:val="-3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3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Petrópolis</w:t>
                    </w:r>
                    <w:r>
                      <w:rPr>
                        <w:rFonts w:ascii="Gill Sans MT" w:hAnsi="Gill Sans MT"/>
                        <w:spacing w:val="-2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5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RJ</w:t>
                    </w:r>
                    <w:r>
                      <w:rPr>
                        <w:rFonts w:ascii="Gill Sans MT" w:hAnsi="Gill Sans MT"/>
                        <w:spacing w:val="-3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3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CEP.:</w:t>
                    </w:r>
                    <w:r>
                      <w:rPr>
                        <w:rFonts w:ascii="Gill Sans MT" w:hAnsi="Gill Sans MT"/>
                        <w:spacing w:val="-1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25620-050</w:t>
                    </w:r>
                    <w:r>
                      <w:rPr>
                        <w:rFonts w:ascii="Gill Sans MT" w:hAnsi="Gill Sans MT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0"/>
                        <w:sz w:val="12"/>
                      </w:rPr>
                      <w:t>CNPJ 31.157.589/0001-60 - tel.: (24) 2220-9200</w:t>
                    </w:r>
                  </w:p>
                  <w:p>
                    <w:pPr>
                      <w:spacing w:before="1"/>
                      <w:ind w:left="302" w:right="297" w:firstLine="0"/>
                      <w:jc w:val="center"/>
                      <w:rPr>
                        <w:rFonts w:ascii="Gill Sans MT" w:hAnsi="Gill Sans MT"/>
                        <w:sz w:val="12"/>
                      </w:rPr>
                    </w:pPr>
                    <w:r>
                      <w:rPr>
                        <w:rFonts w:ascii="Gill Sans MT" w:hAnsi="Gill Sans MT"/>
                        <w:spacing w:val="-2"/>
                        <w:w w:val="125"/>
                        <w:sz w:val="12"/>
                      </w:rPr>
                      <w:t>DAF- Diretoria de</w:t>
                    </w:r>
                    <w:r>
                      <w:rPr>
                        <w:rFonts w:ascii="Gill Sans MT" w:hAnsi="Gill Sans MT"/>
                        <w:spacing w:val="-3"/>
                        <w:w w:val="125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spacing w:val="-2"/>
                        <w:w w:val="125"/>
                        <w:sz w:val="12"/>
                      </w:rPr>
                      <w:t>Administração e</w:t>
                    </w:r>
                    <w:r>
                      <w:rPr>
                        <w:rFonts w:ascii="Gill Sans MT" w:hAnsi="Gill Sans MT"/>
                        <w:spacing w:val="-3"/>
                        <w:w w:val="125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spacing w:val="-2"/>
                        <w:w w:val="125"/>
                        <w:sz w:val="12"/>
                      </w:rPr>
                      <w:t>Finanças. E-mail: </w:t>
                    </w:r>
                    <w:hyperlink r:id="rId1">
                      <w:r>
                        <w:rPr>
                          <w:rFonts w:ascii="Gill Sans MT" w:hAnsi="Gill Sans MT"/>
                          <w:color w:val="0000FF"/>
                          <w:spacing w:val="-2"/>
                          <w:w w:val="125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Gill Sans MT" w:hAnsi="Gill Sans MT"/>
                        <w:color w:val="0000FF"/>
                        <w:w w:val="125"/>
                        <w:sz w:val="12"/>
                      </w:rPr>
                      <w:t> </w:t>
                    </w:r>
                    <w:r>
                      <w:rPr>
                        <w:rFonts w:ascii="Gill Sans MT" w:hAnsi="Gill Sans MT"/>
                        <w:w w:val="125"/>
                        <w:sz w:val="12"/>
                      </w:rPr>
                      <w:t>Site:</w:t>
                    </w:r>
                    <w:r>
                      <w:rPr>
                        <w:rFonts w:ascii="Gill Sans MT" w:hAnsi="Gill Sans MT"/>
                        <w:spacing w:val="-4"/>
                        <w:w w:val="125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Gill Sans MT" w:hAnsi="Gill Sans MT"/>
                          <w:color w:val="0000FF"/>
                          <w:w w:val="125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29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091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091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3pt;height:29.25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2025-05-16T19:01:16Z</dcterms:created>
  <dcterms:modified xsi:type="dcterms:W3CDTF">2025-05-16T19:01:16Z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