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5"/>
      </w:pPr>
    </w:p>
    <w:p>
      <w:pPr>
        <w:pStyle w:val="BodyText"/>
        <w:spacing w:line="360" w:lineRule="auto"/>
        <w:ind w:left="188" w:right="14"/>
        <w:jc w:val="both"/>
      </w:pPr>
      <w:r>
        <w:rPr/>
        <w:t>Ata da quinquagésima sexta reunião ordinária do Comitê de Investimentos do Instituto de Previdência e Assistência Social do Servidor Público do Município de Petrópolis – INPAS. Aos doze dias do mês de julho do ano de dois mil e dezessete, às dez horas e vinte e cinco minutos, no Auditório do Instituto de Previdência e Assistência Social do Servidor Público do Município de Petrópolis, reuniram-se os seguintes membros do Comitê de Investimentos deste Regime Próprio de Previdência Social: a) Diretor- Presidente do INPAS, Sr. Fernando Leite Fortes; b)- Diretor Financeiro do INPAS, senhor Robson Carneiro da Cruz; c)- Chefe da Divisão de Contabilidade, senhora Lucimar da Glória Gomes, Presidente eleita deste Comitê d) Gestora Previdenciária, senhora Carla Cristina Correia Maduro Vogas Tavares, secretária deste Comitê; e) Gestora de Investimentos, senhora Michele Schiffler Forster; f) Chefe da Divisão de Tesouraria,</w:t>
      </w:r>
      <w:r>
        <w:rPr>
          <w:spacing w:val="-1"/>
        </w:rPr>
        <w:t> </w:t>
      </w:r>
      <w:r>
        <w:rPr/>
        <w:t>senhora</w:t>
      </w:r>
      <w:r>
        <w:rPr>
          <w:spacing w:val="-1"/>
        </w:rPr>
        <w:t> </w:t>
      </w:r>
      <w:r>
        <w:rPr/>
        <w:t>Claudia</w:t>
      </w:r>
      <w:r>
        <w:rPr>
          <w:spacing w:val="-1"/>
        </w:rPr>
        <w:t> </w:t>
      </w:r>
      <w:r>
        <w:rPr/>
        <w:t>Miranda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Nascimento.</w:t>
      </w:r>
      <w:r>
        <w:rPr>
          <w:spacing w:val="-1"/>
        </w:rPr>
        <w:t> </w:t>
      </w:r>
      <w:r>
        <w:rPr/>
        <w:t>Registra-se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ausência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senhora Adriana Catarina da Costa, por motivo de férias. Com esta composição iniciou-se a referida reunião para atendimento à pauta do dia, que teve a seguinte ordem: 1- aprovação</w:t>
      </w:r>
      <w:r>
        <w:rPr>
          <w:spacing w:val="-3"/>
        </w:rPr>
        <w:t> </w:t>
      </w:r>
      <w:r>
        <w:rPr/>
        <w:t>das atas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duas últimas</w:t>
      </w:r>
      <w:r>
        <w:rPr>
          <w:spacing w:val="-2"/>
        </w:rPr>
        <w:t> </w:t>
      </w:r>
      <w:r>
        <w:rPr/>
        <w:t>reuniões do</w:t>
      </w:r>
      <w:r>
        <w:rPr>
          <w:spacing w:val="-3"/>
        </w:rPr>
        <w:t> </w:t>
      </w:r>
      <w:r>
        <w:rPr/>
        <w:t>Comitê</w:t>
      </w:r>
      <w:r>
        <w:rPr>
          <w:spacing w:val="-2"/>
        </w:rPr>
        <w:t> </w:t>
      </w:r>
      <w:r>
        <w:rPr/>
        <w:t>de Investimentos;</w:t>
      </w:r>
      <w:r>
        <w:rPr>
          <w:spacing w:val="-3"/>
        </w:rPr>
        <w:t> </w:t>
      </w:r>
      <w:r>
        <w:rPr/>
        <w:t>2-</w:t>
      </w:r>
      <w:r>
        <w:rPr>
          <w:spacing w:val="-2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do cenário macroeconômico, bem como as expectativas de mercado; 3-avaliação dos investimentos que compõem o patrimônio dos diversos segmentos de aplicação; 4- análise do fluxo de caixa, considerando as obrigações previdenciárias e administrativas para o mês em curso; 5-proposições de investimentos/desinvestimentos; 6- assuntos gerais. A Presidente do Comitê iniciou a reunião agradecendo a presença de todos. No que se refere às atas da 54ª reunião e da 55ª reunião, enviadas por e-mail para todos os membros do Comitê, não houve retificações, tendo sido ambas integralmente aprovadas. Passando para o segundo ponto de pauta, a Gestora de Investimentos, Sra. Michele</w:t>
      </w:r>
      <w:r>
        <w:rPr>
          <w:spacing w:val="-1"/>
        </w:rPr>
        <w:t> </w:t>
      </w:r>
      <w:r>
        <w:rPr/>
        <w:t>Schiffler</w:t>
      </w:r>
      <w:r>
        <w:rPr>
          <w:spacing w:val="-3"/>
        </w:rPr>
        <w:t> </w:t>
      </w:r>
      <w:r>
        <w:rPr/>
        <w:t>Forster,</w:t>
      </w:r>
      <w:r>
        <w:rPr>
          <w:spacing w:val="-1"/>
        </w:rPr>
        <w:t> </w:t>
      </w:r>
      <w:r>
        <w:rPr/>
        <w:t>comentou</w:t>
      </w:r>
      <w:r>
        <w:rPr>
          <w:spacing w:val="-2"/>
        </w:rPr>
        <w:t> </w:t>
      </w:r>
      <w:r>
        <w:rPr/>
        <w:t>que,</w:t>
      </w:r>
      <w:r>
        <w:rPr>
          <w:spacing w:val="-1"/>
        </w:rPr>
        <w:t> </w:t>
      </w:r>
      <w:r>
        <w:rPr/>
        <w:t>apesar</w:t>
      </w:r>
      <w:r>
        <w:rPr>
          <w:spacing w:val="-3"/>
        </w:rPr>
        <w:t> </w:t>
      </w:r>
      <w:r>
        <w:rPr/>
        <w:t>das</w:t>
      </w:r>
      <w:r>
        <w:rPr>
          <w:spacing w:val="-1"/>
        </w:rPr>
        <w:t> </w:t>
      </w:r>
      <w:r>
        <w:rPr/>
        <w:t>incertezas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confusões</w:t>
      </w:r>
      <w:r>
        <w:rPr>
          <w:spacing w:val="-1"/>
        </w:rPr>
        <w:t> </w:t>
      </w:r>
      <w:r>
        <w:rPr/>
        <w:t>políticas,</w:t>
      </w:r>
      <w:r>
        <w:rPr>
          <w:spacing w:val="-1"/>
        </w:rPr>
        <w:t> </w:t>
      </w:r>
      <w:r>
        <w:rPr/>
        <w:t>os resultados do mês de junho foram satisfatórios e que na próxima reunião do COPOM, a ser realizada em 26/07/17, há</w:t>
      </w:r>
      <w:r>
        <w:rPr>
          <w:spacing w:val="16"/>
        </w:rPr>
        <w:t> </w:t>
      </w:r>
      <w:r>
        <w:rPr/>
        <w:t>possibilidade</w:t>
      </w:r>
      <w:r>
        <w:rPr>
          <w:spacing w:val="16"/>
        </w:rPr>
        <w:t> </w:t>
      </w:r>
      <w:r>
        <w:rPr/>
        <w:t>de haver mais um</w:t>
      </w:r>
      <w:r>
        <w:rPr>
          <w:spacing w:val="15"/>
        </w:rPr>
        <w:t> </w:t>
      </w:r>
      <w:r>
        <w:rPr/>
        <w:t>corte</w:t>
      </w:r>
      <w:r>
        <w:rPr>
          <w:spacing w:val="16"/>
        </w:rPr>
        <w:t> </w:t>
      </w:r>
      <w:r>
        <w:rPr/>
        <w:t>na SELIC,</w:t>
      </w:r>
      <w:r>
        <w:rPr>
          <w:spacing w:val="16"/>
        </w:rPr>
        <w:t> </w:t>
      </w:r>
      <w:r>
        <w:rPr/>
        <w:t>a qual,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2" w:footer="1481" w:top="1880" w:bottom="1680" w:left="1800" w:right="1080"/>
          <w:pgNumType w:start="1"/>
        </w:sectPr>
      </w:pPr>
    </w:p>
    <w:p>
      <w:pPr>
        <w:pStyle w:val="BodyText"/>
        <w:spacing w:before="155"/>
      </w:pPr>
    </w:p>
    <w:p>
      <w:pPr>
        <w:pStyle w:val="BodyText"/>
        <w:spacing w:line="360" w:lineRule="auto"/>
        <w:ind w:left="188" w:right="25"/>
        <w:jc w:val="both"/>
      </w:pPr>
      <w:r>
        <w:rPr/>
        <w:t>no</w:t>
      </w:r>
      <w:r>
        <w:rPr>
          <w:spacing w:val="-5"/>
        </w:rPr>
        <w:t> </w:t>
      </w:r>
      <w:r>
        <w:rPr/>
        <w:t>momento,</w:t>
      </w:r>
      <w:r>
        <w:rPr>
          <w:spacing w:val="-4"/>
        </w:rPr>
        <w:t> </w:t>
      </w:r>
      <w:r>
        <w:rPr/>
        <w:t>está</w:t>
      </w:r>
      <w:r>
        <w:rPr>
          <w:spacing w:val="-2"/>
        </w:rPr>
        <w:t> </w:t>
      </w:r>
      <w:bookmarkStart w:name="Instituto de Previdência e Assistência S" w:id="1"/>
      <w:bookmarkEnd w:id="1"/>
      <w:r>
        <w:rPr/>
        <w:t>e</w:t>
      </w:r>
      <w:r>
        <w:rPr/>
        <w:t>m</w:t>
      </w:r>
      <w:r>
        <w:rPr>
          <w:spacing w:val="-3"/>
        </w:rPr>
        <w:t> </w:t>
      </w:r>
      <w:r>
        <w:rPr/>
        <w:t>10,25%.</w:t>
      </w:r>
      <w:r>
        <w:rPr>
          <w:spacing w:val="-2"/>
        </w:rPr>
        <w:t> </w:t>
      </w:r>
      <w:r>
        <w:rPr/>
        <w:t>Após,</w:t>
      </w:r>
      <w:r>
        <w:rPr>
          <w:spacing w:val="-4"/>
        </w:rPr>
        <w:t> </w:t>
      </w:r>
      <w:r>
        <w:rPr/>
        <w:t>apresentou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variação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índices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mês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junho mais utilizados e/ou acompanhados por esta Autarquia, sendo: IRFM1: 0,8857; IRFM1+:</w:t>
      </w:r>
      <w:r>
        <w:rPr>
          <w:spacing w:val="40"/>
        </w:rPr>
        <w:t> </w:t>
      </w:r>
      <w:r>
        <w:rPr/>
        <w:t>1,5081;</w:t>
      </w:r>
      <w:r>
        <w:rPr>
          <w:spacing w:val="40"/>
        </w:rPr>
        <w:t> </w:t>
      </w:r>
      <w:r>
        <w:rPr/>
        <w:t>IRFM:</w:t>
      </w:r>
      <w:r>
        <w:rPr>
          <w:spacing w:val="40"/>
        </w:rPr>
        <w:t> </w:t>
      </w:r>
      <w:r>
        <w:rPr/>
        <w:t>1,3516;</w:t>
      </w:r>
      <w:r>
        <w:rPr>
          <w:spacing w:val="40"/>
        </w:rPr>
        <w:t> </w:t>
      </w:r>
      <w:r>
        <w:rPr/>
        <w:t>IMA</w:t>
      </w:r>
      <w:r>
        <w:rPr>
          <w:spacing w:val="40"/>
        </w:rPr>
        <w:t> </w:t>
      </w:r>
      <w:r>
        <w:rPr/>
        <w:t>B</w:t>
      </w:r>
      <w:r>
        <w:rPr>
          <w:spacing w:val="40"/>
        </w:rPr>
        <w:t> </w:t>
      </w:r>
      <w:r>
        <w:rPr/>
        <w:t>5:</w:t>
      </w:r>
      <w:r>
        <w:rPr>
          <w:spacing w:val="40"/>
        </w:rPr>
        <w:t> </w:t>
      </w:r>
      <w:r>
        <w:rPr/>
        <w:t>0,5246;</w:t>
      </w:r>
      <w:r>
        <w:rPr>
          <w:spacing w:val="40"/>
        </w:rPr>
        <w:t> </w:t>
      </w:r>
      <w:r>
        <w:rPr/>
        <w:t>IMA</w:t>
      </w:r>
      <w:r>
        <w:rPr>
          <w:spacing w:val="40"/>
        </w:rPr>
        <w:t> </w:t>
      </w:r>
      <w:r>
        <w:rPr/>
        <w:t>B</w:t>
      </w:r>
      <w:r>
        <w:rPr>
          <w:spacing w:val="40"/>
        </w:rPr>
        <w:t> </w:t>
      </w:r>
      <w:r>
        <w:rPr/>
        <w:t>5+:</w:t>
      </w:r>
      <w:r>
        <w:rPr>
          <w:spacing w:val="40"/>
        </w:rPr>
        <w:t> </w:t>
      </w:r>
      <w:r>
        <w:rPr/>
        <w:t>-0,0555;</w:t>
      </w:r>
      <w:r>
        <w:rPr>
          <w:spacing w:val="40"/>
        </w:rPr>
        <w:t> </w:t>
      </w:r>
      <w:r>
        <w:rPr/>
        <w:t>IMA</w:t>
      </w:r>
      <w:r>
        <w:rPr>
          <w:spacing w:val="40"/>
        </w:rPr>
        <w:t> </w:t>
      </w:r>
      <w:r>
        <w:rPr/>
        <w:t>B:</w:t>
      </w:r>
    </w:p>
    <w:p>
      <w:pPr>
        <w:pStyle w:val="BodyText"/>
        <w:spacing w:line="360" w:lineRule="auto"/>
        <w:ind w:left="188" w:right="23"/>
        <w:jc w:val="both"/>
      </w:pPr>
      <w:r>
        <w:rPr/>
        <w:t>0,1645; IMA Geral: 0,0126; CDI: 0,8100. Na rentabilidade acumulada – 2017, o</w:t>
      </w:r>
      <w:r>
        <w:rPr>
          <w:spacing w:val="40"/>
        </w:rPr>
        <w:t> </w:t>
      </w:r>
      <w:r>
        <w:rPr/>
        <w:t>melhor desempenho foi do IRFMI+, com 8,96; o</w:t>
      </w:r>
      <w:r>
        <w:rPr>
          <w:spacing w:val="40"/>
        </w:rPr>
        <w:t> </w:t>
      </w:r>
      <w:r>
        <w:rPr/>
        <w:t>IRFM teve rendimento de 8,24; o IMAB5 de 5,47; o IRFM1 de 6,24 e o DI de 5,65. Quanto ao câmbio, registrou que o dólar comercial teve valorização de 2,41% e a Bolsa de Valores fechou o mês de junho com uma valorização de 0,30%, conforme veiculado pelo jornal Valor Econômico. Na análise do Relatório Focus de sete de julho do corrente ano, ressaltou que o IPCA e a meta da taxa SELIC estão com expectativa de queda até o fechamento de 2017. Após, apresentou as movimentações financeiras do Instituto referentes ao mês de junho. As aplicações, nesse mês, somaram R$ 550.000,00 e os resgates, R$ 350.000,00. O saldo anterior era de R$ 2.995.265,33. O retorno financeiro foi de R$ 28.925,81 e o percentual de retorno de 0,8697%. O atingimento da meta atuarial no mês foi de 340,14%.</w:t>
      </w:r>
      <w:r>
        <w:rPr>
          <w:spacing w:val="-2"/>
        </w:rPr>
        <w:t> </w:t>
      </w:r>
      <w:r>
        <w:rPr/>
        <w:t>Comparando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INPC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IPCA,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primeiro</w:t>
      </w:r>
      <w:r>
        <w:rPr>
          <w:spacing w:val="-3"/>
        </w:rPr>
        <w:t> </w:t>
      </w:r>
      <w:r>
        <w:rPr/>
        <w:t>registrou</w:t>
      </w:r>
      <w:r>
        <w:rPr>
          <w:spacing w:val="-5"/>
        </w:rPr>
        <w:t> </w:t>
      </w:r>
      <w:r>
        <w:rPr/>
        <w:t>um</w:t>
      </w:r>
      <w:r>
        <w:rPr>
          <w:spacing w:val="-3"/>
        </w:rPr>
        <w:t> </w:t>
      </w:r>
      <w:r>
        <w:rPr/>
        <w:t>acumulado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1,12% e o segundo, 1,18%. A senhora Michele ainda apresentou o relatório de rentabilidade e risco dos ativos que compõem a carteira do Instituto. A volatilidade apresentada em 12 meses foi a seguinte:</w:t>
      </w:r>
      <w:r>
        <w:rPr>
          <w:spacing w:val="40"/>
        </w:rPr>
        <w:t> </w:t>
      </w:r>
      <w:r>
        <w:rPr/>
        <w:t>IRFM do Banco do Brasil: 4,90%; IRFM1 da CEF: 0,65%; IRFM1 do BB: 0,66%; CDI do Banco do Brasil: 0,18%. Por fim, falou sobre a recomendação do consultor da empresa Di Blasi Consultoria, que considerou o IRFM com taxas bem “achatadas” e o IMA B com alguns espaços de valorização. Destacou um aumento de incerteza e maior volatilidade daqui pra frente e ainda mencionou que os fundos CDI estão no limiar da meta atuarial. Com relação ao FASSE, o saldo final</w:t>
      </w:r>
      <w:r>
        <w:rPr>
          <w:spacing w:val="40"/>
        </w:rPr>
        <w:t> </w:t>
      </w:r>
      <w:r>
        <w:rPr/>
        <w:t>de junho somou R$ 292.804,33, com um total de 292.422,24 de saldo anterior, R$ 2.000,00 de resgates, e R$ 2.382,09 de rendimentos. No terceiro item da pauta, houve a apresentação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fluxo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caixa</w:t>
      </w:r>
      <w:r>
        <w:rPr>
          <w:spacing w:val="80"/>
        </w:rPr>
        <w:t> </w:t>
      </w:r>
      <w:r>
        <w:rPr/>
        <w:t>pela</w:t>
      </w:r>
      <w:r>
        <w:rPr>
          <w:spacing w:val="80"/>
        </w:rPr>
        <w:t> </w:t>
      </w:r>
      <w:r>
        <w:rPr/>
        <w:t>servidora</w:t>
      </w:r>
      <w:r>
        <w:rPr>
          <w:spacing w:val="80"/>
        </w:rPr>
        <w:t> </w:t>
      </w:r>
      <w:r>
        <w:rPr/>
        <w:t>Claudia</w:t>
      </w:r>
      <w:r>
        <w:rPr>
          <w:spacing w:val="80"/>
        </w:rPr>
        <w:t> </w:t>
      </w:r>
      <w:r>
        <w:rPr/>
        <w:t>Miranda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Nascimento.</w:t>
      </w:r>
    </w:p>
    <w:p>
      <w:pPr>
        <w:pStyle w:val="BodyText"/>
        <w:spacing w:after="0" w:line="360" w:lineRule="auto"/>
        <w:jc w:val="both"/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before="155"/>
      </w:pPr>
    </w:p>
    <w:p>
      <w:pPr>
        <w:pStyle w:val="BodyText"/>
        <w:spacing w:line="360" w:lineRule="auto"/>
        <w:ind w:left="188" w:right="25"/>
        <w:jc w:val="both"/>
      </w:pPr>
      <w:r>
        <w:rPr/>
        <w:t>Informou que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saldo</w:t>
      </w:r>
      <w:r>
        <w:rPr>
          <w:spacing w:val="-2"/>
        </w:rPr>
        <w:t> </w:t>
      </w:r>
      <w:r>
        <w:rPr/>
        <w:t>final,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hoje,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R$</w:t>
      </w:r>
      <w:r>
        <w:rPr>
          <w:spacing w:val="-2"/>
        </w:rPr>
        <w:t> </w:t>
      </w:r>
      <w:r>
        <w:rPr/>
        <w:t>317.544,18.</w:t>
      </w:r>
      <w:r>
        <w:rPr>
          <w:spacing w:val="-1"/>
        </w:rPr>
        <w:t> </w:t>
      </w:r>
      <w:r>
        <w:rPr/>
        <w:t>Quanto</w:t>
      </w:r>
      <w:r>
        <w:rPr>
          <w:spacing w:val="-2"/>
        </w:rPr>
        <w:t> </w:t>
      </w:r>
      <w:r>
        <w:rPr/>
        <w:t>às</w:t>
      </w:r>
      <w:r>
        <w:rPr>
          <w:spacing w:val="-1"/>
        </w:rPr>
        <w:t> </w:t>
      </w:r>
      <w:r>
        <w:rPr/>
        <w:t>proposições de investimentos/desinvestimentos, quinto item de pauta, o Comitê decidiu manter as aplicações hoje existentes no Instituto. No entanto, o Diretor Financeiro propôs que o Comitê</w:t>
      </w:r>
      <w:r>
        <w:rPr>
          <w:spacing w:val="-3"/>
        </w:rPr>
        <w:t> </w:t>
      </w:r>
      <w:r>
        <w:rPr/>
        <w:t>analise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possibilidade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retirada</w:t>
      </w:r>
      <w:r>
        <w:rPr>
          <w:spacing w:val="-3"/>
        </w:rPr>
        <w:t> </w:t>
      </w:r>
      <w:r>
        <w:rPr/>
        <w:t>total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valores</w:t>
      </w:r>
      <w:r>
        <w:rPr>
          <w:spacing w:val="-3"/>
        </w:rPr>
        <w:t> </w:t>
      </w:r>
      <w:r>
        <w:rPr/>
        <w:t>aplicados,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transferência para a conta corrente, em data próxima à votação sobre o afastamento do Presidente Michel Temer, a fim de evitar perdas. Em assuntos gerais, a senhora Michele solicitou</w:t>
      </w:r>
      <w:r>
        <w:rPr>
          <w:spacing w:val="40"/>
        </w:rPr>
        <w:t> </w:t>
      </w:r>
      <w:r>
        <w:rPr/>
        <w:t>a presença do atuário do Instituto na próxima reunião do Comitê, que será realizada no dia 15 de agosto, para esclarecer quanto à viabilidade de trocar o índice que utilizamos para atingimento da meta atuarial. Quanto ao credenciamento das instituições financeiras, a Presidente do Comitê informou que já fez um comunicado ao Gabinete solicitando a publicação do chamamento até o dia 31 de julho. Sem mais, a Presidente encerrou a reunião às 11 horas e 10 minutos, e a presente Ata segue lavrada por mim, Carla Maduro Vogas Tavares, Secretária deste Comitê, que a submeterei à aprovação dos demais membros e devidamente colherei suas assinaturas.</w:t>
      </w:r>
    </w:p>
    <w:p>
      <w:pPr>
        <w:pStyle w:val="BodyText"/>
        <w:spacing w:before="7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952" w:footer="1481" w:top="1880" w:bottom="1680" w:left="1800" w:right="1080"/>
        </w:sectPr>
      </w:pPr>
    </w:p>
    <w:p>
      <w:pPr>
        <w:spacing w:before="90"/>
        <w:ind w:left="1366" w:right="39" w:hanging="174"/>
        <w:jc w:val="left"/>
        <w:rPr>
          <w:sz w:val="24"/>
        </w:rPr>
      </w:pPr>
      <w:r>
        <w:rPr>
          <w:sz w:val="24"/>
        </w:rPr>
        <w:t>Fernando</w:t>
      </w:r>
      <w:r>
        <w:rPr>
          <w:spacing w:val="-15"/>
          <w:sz w:val="24"/>
        </w:rPr>
        <w:t> </w:t>
      </w:r>
      <w:r>
        <w:rPr>
          <w:sz w:val="24"/>
        </w:rPr>
        <w:t>Leite</w:t>
      </w:r>
      <w:r>
        <w:rPr>
          <w:spacing w:val="-15"/>
          <w:sz w:val="24"/>
        </w:rPr>
        <w:t> </w:t>
      </w:r>
      <w:r>
        <w:rPr>
          <w:sz w:val="24"/>
        </w:rPr>
        <w:t>Fortes </w:t>
      </w:r>
      <w:r>
        <w:rPr>
          <w:spacing w:val="-2"/>
          <w:sz w:val="24"/>
        </w:rPr>
        <w:t>Diretor-Presidente</w:t>
      </w:r>
    </w:p>
    <w:p>
      <w:pPr>
        <w:spacing w:before="90"/>
        <w:ind w:left="1191" w:right="638" w:firstLine="566"/>
        <w:jc w:val="left"/>
        <w:rPr>
          <w:sz w:val="24"/>
        </w:rPr>
      </w:pPr>
      <w:r>
        <w:rPr/>
        <w:br w:type="column"/>
      </w:r>
      <w:r>
        <w:rPr>
          <w:sz w:val="24"/>
        </w:rPr>
        <w:t>Lucimar Glória Gomes Chefe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Divisão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Contabilidade</w:t>
      </w:r>
    </w:p>
    <w:p>
      <w:pPr>
        <w:spacing w:before="0"/>
        <w:ind w:left="2371" w:right="0" w:firstLine="0"/>
        <w:jc w:val="left"/>
        <w:rPr>
          <w:sz w:val="24"/>
        </w:rPr>
      </w:pPr>
      <w:r>
        <w:rPr>
          <w:spacing w:val="-2"/>
          <w:sz w:val="24"/>
        </w:rPr>
        <w:t>Presidente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350" w:space="824"/>
            <w:col w:w="5186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spacing w:before="90"/>
        <w:ind w:left="1362" w:right="38" w:hanging="302"/>
        <w:jc w:val="left"/>
        <w:rPr>
          <w:sz w:val="24"/>
        </w:rPr>
      </w:pPr>
      <w:r>
        <w:rPr>
          <w:sz w:val="24"/>
        </w:rPr>
        <w:t>Robson</w:t>
      </w:r>
      <w:r>
        <w:rPr>
          <w:spacing w:val="-14"/>
          <w:sz w:val="24"/>
        </w:rPr>
        <w:t> </w:t>
      </w:r>
      <w:r>
        <w:rPr>
          <w:sz w:val="24"/>
        </w:rPr>
        <w:t>Carneiro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Cruz Diretor Financeiro</w:t>
      </w:r>
    </w:p>
    <w:p>
      <w:pPr>
        <w:spacing w:before="90"/>
        <w:ind w:left="1078" w:right="1099" w:hanging="18"/>
        <w:jc w:val="left"/>
        <w:rPr>
          <w:sz w:val="24"/>
        </w:rPr>
      </w:pPr>
      <w:r>
        <w:rPr/>
        <w:br w:type="column"/>
      </w:r>
      <w:r>
        <w:rPr>
          <w:sz w:val="24"/>
        </w:rPr>
        <w:t>Michele</w:t>
      </w:r>
      <w:r>
        <w:rPr>
          <w:spacing w:val="-1"/>
          <w:sz w:val="24"/>
        </w:rPr>
        <w:t> </w:t>
      </w:r>
      <w:r>
        <w:rPr>
          <w:sz w:val="24"/>
        </w:rPr>
        <w:t>Schifller Forster Gestora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Investimentos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545" w:space="1203"/>
            <w:col w:w="4612"/>
          </w:cols>
        </w:sect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spacing w:before="90"/>
        <w:ind w:left="704" w:right="38" w:hanging="14"/>
        <w:jc w:val="left"/>
        <w:rPr>
          <w:sz w:val="24"/>
        </w:rPr>
      </w:pPr>
      <w:r>
        <w:rPr>
          <w:sz w:val="24"/>
        </w:rPr>
        <w:t>Claudia</w:t>
      </w:r>
      <w:r>
        <w:rPr>
          <w:spacing w:val="-14"/>
          <w:sz w:val="24"/>
        </w:rPr>
        <w:t> </w:t>
      </w:r>
      <w:r>
        <w:rPr>
          <w:sz w:val="24"/>
        </w:rPr>
        <w:t>Miranda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Nascimento Chefe da Divisão de Tesouraria</w:t>
      </w:r>
    </w:p>
    <w:p>
      <w:pPr>
        <w:spacing w:before="90"/>
        <w:ind w:left="359" w:right="204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Carla</w:t>
      </w:r>
      <w:r>
        <w:rPr>
          <w:spacing w:val="-9"/>
          <w:sz w:val="24"/>
        </w:rPr>
        <w:t> </w:t>
      </w:r>
      <w:r>
        <w:rPr>
          <w:sz w:val="24"/>
        </w:rPr>
        <w:t>Cristina</w:t>
      </w:r>
      <w:r>
        <w:rPr>
          <w:spacing w:val="-9"/>
          <w:sz w:val="24"/>
        </w:rPr>
        <w:t> </w:t>
      </w:r>
      <w:r>
        <w:rPr>
          <w:sz w:val="24"/>
        </w:rPr>
        <w:t>Correia</w:t>
      </w:r>
      <w:r>
        <w:rPr>
          <w:spacing w:val="-9"/>
          <w:sz w:val="24"/>
        </w:rPr>
        <w:t> </w:t>
      </w:r>
      <w:r>
        <w:rPr>
          <w:sz w:val="24"/>
        </w:rPr>
        <w:t>M.</w:t>
      </w:r>
      <w:r>
        <w:rPr>
          <w:spacing w:val="-10"/>
          <w:sz w:val="24"/>
        </w:rPr>
        <w:t> </w:t>
      </w:r>
      <w:r>
        <w:rPr>
          <w:sz w:val="24"/>
        </w:rPr>
        <w:t>V.</w:t>
      </w:r>
      <w:r>
        <w:rPr>
          <w:spacing w:val="-10"/>
          <w:sz w:val="24"/>
        </w:rPr>
        <w:t> </w:t>
      </w:r>
      <w:r>
        <w:rPr>
          <w:sz w:val="24"/>
        </w:rPr>
        <w:t>Tavares Gestora Previdenciária</w:t>
      </w:r>
    </w:p>
    <w:p>
      <w:pPr>
        <w:spacing w:before="0"/>
        <w:ind w:left="359" w:right="264" w:firstLine="0"/>
        <w:jc w:val="center"/>
        <w:rPr>
          <w:sz w:val="24"/>
        </w:rPr>
      </w:pPr>
      <w:r>
        <w:rPr>
          <w:spacing w:val="-2"/>
          <w:sz w:val="24"/>
        </w:rPr>
        <w:t>Secretária</w:t>
      </w:r>
    </w:p>
    <w:sectPr>
      <w:type w:val="continuous"/>
      <w:pgSz w:w="12240" w:h="15840"/>
      <w:pgMar w:header="952" w:footer="1481" w:top="1880" w:bottom="1680" w:left="1800" w:right="1080"/>
      <w:cols w:num="2" w:equalWidth="0">
        <w:col w:w="3851" w:space="721"/>
        <w:col w:w="47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1652270</wp:posOffset>
              </wp:positionH>
              <wp:positionV relativeFrom="page">
                <wp:posOffset>8978490</wp:posOffset>
              </wp:positionV>
              <wp:extent cx="336359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359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2" w:right="347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100006pt;margin-top:706.967773pt;width:264.850pt;height:31.2pt;mso-position-horizontal-relative:page;mso-position-vertical-relative:page;z-index:-1576550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101/115 -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2" w:right="347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1108710</wp:posOffset>
          </wp:positionH>
          <wp:positionV relativeFrom="page">
            <wp:posOffset>604519</wp:posOffset>
          </wp:positionV>
          <wp:extent cx="1337310" cy="5041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7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2508250</wp:posOffset>
              </wp:positionH>
              <wp:positionV relativeFrom="page">
                <wp:posOffset>596096</wp:posOffset>
              </wp:positionV>
              <wp:extent cx="347726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726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5pt;margin-top:46.936718pt;width:273.8pt;height:29.25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2025-05-16T19:01:16Z</dcterms:created>
  <dcterms:modified xsi:type="dcterms:W3CDTF">2025-05-16T19:01:16Z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