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5"/>
      </w:pPr>
    </w:p>
    <w:p>
      <w:pPr>
        <w:pStyle w:val="BodyText"/>
        <w:spacing w:line="276" w:lineRule="auto"/>
        <w:ind w:left="188" w:right="15"/>
        <w:jc w:val="both"/>
      </w:pPr>
      <w:r>
        <w:rPr/>
        <w:t>Ata da quinquagésima sétima reunião ordinária do Comitê de Investimentos do</w:t>
      </w:r>
      <w:r>
        <w:rPr>
          <w:spacing w:val="40"/>
        </w:rPr>
        <w:t> </w:t>
      </w:r>
      <w:r>
        <w:rPr/>
        <w:t>Instituto de Previdência e Assistência Social do Servidor Público do Município de Petrópolis – INPAS. Aos quinze dias do mês de agosto do ano de dois mil e dezessete, às dez horas e cinco minutos, no Auditório do Instituto de Previdência e Assistência Social do Servidor Público do Município de Petrópolis, reuniram-se os seguintes membros do Comitê de Investimentos deste Regime Próprio de Previdência Social: a)- Diretor Financeiro do INPAS, senhor Robson Carneiro da Cruz; b)- Chefe da Divisão de Contabilidade, senhora Lucimar</w:t>
      </w:r>
      <w:r>
        <w:rPr>
          <w:spacing w:val="-1"/>
        </w:rPr>
        <w:t> </w:t>
      </w:r>
      <w:r>
        <w:rPr/>
        <w:t>da Glória Gomes, Presidente eleita deste Comitê; c) Gestora Previdenciária, senhora Carla Cristina Correia Maduro Vogas Tavares, secretária deste Comitê; d) Gestora de Investimentos, senhora Michele Schiffler</w:t>
      </w:r>
      <w:r>
        <w:rPr>
          <w:spacing w:val="40"/>
        </w:rPr>
        <w:t> </w:t>
      </w:r>
      <w:r>
        <w:rPr/>
        <w:t>Forster;</w:t>
      </w:r>
      <w:r>
        <w:rPr>
          <w:spacing w:val="-2"/>
        </w:rPr>
        <w:t> </w:t>
      </w:r>
      <w:r>
        <w:rPr/>
        <w:t>e)</w:t>
      </w:r>
      <w:r>
        <w:rPr>
          <w:spacing w:val="-3"/>
        </w:rPr>
        <w:t> </w:t>
      </w:r>
      <w:r>
        <w:rPr/>
        <w:t>Chefe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Divisão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Tesouraria,</w:t>
      </w:r>
      <w:r>
        <w:rPr>
          <w:spacing w:val="-1"/>
        </w:rPr>
        <w:t> </w:t>
      </w:r>
      <w:r>
        <w:rPr/>
        <w:t>senhora</w:t>
      </w:r>
      <w:r>
        <w:rPr>
          <w:spacing w:val="-3"/>
        </w:rPr>
        <w:t> </w:t>
      </w:r>
      <w:r>
        <w:rPr/>
        <w:t>Claudia</w:t>
      </w:r>
      <w:r>
        <w:rPr>
          <w:spacing w:val="-1"/>
        </w:rPr>
        <w:t> </w:t>
      </w:r>
      <w:r>
        <w:rPr/>
        <w:t>Miranda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Nascimento;</w:t>
      </w:r>
      <w:r>
        <w:rPr>
          <w:spacing w:val="-2"/>
        </w:rPr>
        <w:t> </w:t>
      </w:r>
      <w:r>
        <w:rPr/>
        <w:t>f) Gestora Previdenciária, senhora Adriana Catarina da Costa. Registra-se a ausência do Diretor-Presidente, Sr. Fernando Leite Fortes por motivo de reunião. Com esta composição iniciou-se a referida reunião para atendimento à pauta do dia, que teve a seguinte ordem: 1-aprovação da ata da última reunião do Comitê de Investimentos; 2- análise do cenário macroeconômico, bem como as expectativas de mercado; 3- avaliação dos investimentos que compõem o patrimônio dos diversos segmentos de aplicação; 4-análise do fluxo de caixa, considerando as obrigações previdenciárias e administrativas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mês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curso;</w:t>
      </w:r>
      <w:r>
        <w:rPr>
          <w:spacing w:val="-4"/>
        </w:rPr>
        <w:t> </w:t>
      </w:r>
      <w:r>
        <w:rPr/>
        <w:t>5-proposições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investimentos/desinvestimentos; 6-</w:t>
      </w:r>
      <w:r>
        <w:rPr>
          <w:spacing w:val="-2"/>
        </w:rPr>
        <w:t> </w:t>
      </w:r>
      <w:r>
        <w:rPr/>
        <w:t>assuntos gerais. A</w:t>
      </w:r>
      <w:r>
        <w:rPr>
          <w:spacing w:val="-3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Comitê iniciou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reunião</w:t>
      </w:r>
      <w:r>
        <w:rPr>
          <w:spacing w:val="-3"/>
        </w:rPr>
        <w:t> </w:t>
      </w:r>
      <w:r>
        <w:rPr/>
        <w:t>agradecendo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presença de todos. No que se refere à ata da 56ª reunião, enviada por e-mail para todos os membros do Comitê, não houve retificações, tendo sido integralmente aprovada. Passando para o segundo ponto de pauta, a Gestora de Investimentos, Sra. Michele Schiffler Forster, comentou que, apesar de as incertezas e confusões políticas ainda persistirem, os resultados do mês de julho também foram satisfatórios. Na reunião do COPOM, realizada em</w:t>
      </w:r>
      <w:r>
        <w:rPr>
          <w:spacing w:val="-1"/>
        </w:rPr>
        <w:t> </w:t>
      </w:r>
      <w:r>
        <w:rPr/>
        <w:t>25/07/17, houve a redução da taxa selic em</w:t>
      </w:r>
      <w:r>
        <w:rPr>
          <w:spacing w:val="-1"/>
        </w:rPr>
        <w:t> </w:t>
      </w:r>
      <w:r>
        <w:rPr/>
        <w:t>1%, estando, no</w:t>
      </w:r>
      <w:r>
        <w:rPr>
          <w:spacing w:val="-1"/>
        </w:rPr>
        <w:t> </w:t>
      </w:r>
      <w:r>
        <w:rPr/>
        <w:t>momento, em 9,25%. Após, apresentou a variação dos índices do mês de julho mais utilizados e/ou acompanhados por esta Autarquia, sendo: IRFM1: 1,0494; IRFM1+: 2,759; IRFM: 2,3067;</w:t>
      </w:r>
      <w:r>
        <w:rPr>
          <w:spacing w:val="29"/>
        </w:rPr>
        <w:t> </w:t>
      </w:r>
      <w:r>
        <w:rPr/>
        <w:t>IMA</w:t>
      </w:r>
      <w:r>
        <w:rPr>
          <w:spacing w:val="31"/>
        </w:rPr>
        <w:t> </w:t>
      </w:r>
      <w:r>
        <w:rPr/>
        <w:t>B</w:t>
      </w:r>
      <w:r>
        <w:rPr>
          <w:spacing w:val="32"/>
        </w:rPr>
        <w:t> </w:t>
      </w:r>
      <w:r>
        <w:rPr/>
        <w:t>5:</w:t>
      </w:r>
      <w:r>
        <w:rPr>
          <w:spacing w:val="31"/>
        </w:rPr>
        <w:t> </w:t>
      </w:r>
      <w:r>
        <w:rPr/>
        <w:t>2,8464;</w:t>
      </w:r>
      <w:r>
        <w:rPr>
          <w:spacing w:val="34"/>
        </w:rPr>
        <w:t> </w:t>
      </w:r>
      <w:r>
        <w:rPr/>
        <w:t>IMA</w:t>
      </w:r>
      <w:r>
        <w:rPr>
          <w:spacing w:val="31"/>
        </w:rPr>
        <w:t> </w:t>
      </w:r>
      <w:r>
        <w:rPr/>
        <w:t>B</w:t>
      </w:r>
      <w:r>
        <w:rPr>
          <w:spacing w:val="31"/>
        </w:rPr>
        <w:t> </w:t>
      </w:r>
      <w:r>
        <w:rPr/>
        <w:t>5+:</w:t>
      </w:r>
      <w:r>
        <w:rPr>
          <w:spacing w:val="31"/>
        </w:rPr>
        <w:t> </w:t>
      </w:r>
      <w:r>
        <w:rPr/>
        <w:t>4,6736;</w:t>
      </w:r>
      <w:r>
        <w:rPr>
          <w:spacing w:val="31"/>
        </w:rPr>
        <w:t> </w:t>
      </w:r>
      <w:r>
        <w:rPr/>
        <w:t>IMA</w:t>
      </w:r>
      <w:r>
        <w:rPr>
          <w:spacing w:val="32"/>
        </w:rPr>
        <w:t> </w:t>
      </w:r>
      <w:r>
        <w:rPr/>
        <w:t>B:</w:t>
      </w:r>
      <w:r>
        <w:rPr>
          <w:spacing w:val="31"/>
        </w:rPr>
        <w:t> </w:t>
      </w:r>
      <w:r>
        <w:rPr/>
        <w:t>3,9976;</w:t>
      </w:r>
      <w:r>
        <w:rPr>
          <w:spacing w:val="31"/>
        </w:rPr>
        <w:t> </w:t>
      </w:r>
      <w:r>
        <w:rPr/>
        <w:t>IMA</w:t>
      </w:r>
      <w:r>
        <w:rPr>
          <w:spacing w:val="31"/>
        </w:rPr>
        <w:t> </w:t>
      </w:r>
      <w:r>
        <w:rPr/>
        <w:t>Geral:</w:t>
      </w:r>
      <w:r>
        <w:rPr>
          <w:spacing w:val="34"/>
        </w:rPr>
        <w:t> </w:t>
      </w:r>
      <w:r>
        <w:rPr>
          <w:spacing w:val="-2"/>
        </w:rPr>
        <w:t>2,3393;</w:t>
      </w:r>
    </w:p>
    <w:p>
      <w:pPr>
        <w:pStyle w:val="BodyText"/>
        <w:spacing w:line="274" w:lineRule="exact"/>
        <w:ind w:left="188"/>
        <w:jc w:val="both"/>
      </w:pPr>
      <w:r>
        <w:rPr/>
        <w:t>CDI:</w:t>
      </w:r>
      <w:r>
        <w:rPr>
          <w:spacing w:val="46"/>
          <w:w w:val="150"/>
        </w:rPr>
        <w:t> </w:t>
      </w:r>
      <w:r>
        <w:rPr/>
        <w:t>0,7972.</w:t>
      </w:r>
      <w:r>
        <w:rPr>
          <w:spacing w:val="49"/>
          <w:w w:val="150"/>
        </w:rPr>
        <w:t> </w:t>
      </w:r>
      <w:r>
        <w:rPr/>
        <w:t>Na</w:t>
      </w:r>
      <w:r>
        <w:rPr>
          <w:spacing w:val="50"/>
          <w:w w:val="150"/>
        </w:rPr>
        <w:t> </w:t>
      </w:r>
      <w:r>
        <w:rPr/>
        <w:t>rentabilidade</w:t>
      </w:r>
      <w:r>
        <w:rPr>
          <w:spacing w:val="49"/>
          <w:w w:val="150"/>
        </w:rPr>
        <w:t> </w:t>
      </w:r>
      <w:r>
        <w:rPr/>
        <w:t>acumulada</w:t>
      </w:r>
      <w:r>
        <w:rPr>
          <w:spacing w:val="49"/>
          <w:w w:val="150"/>
        </w:rPr>
        <w:t> </w:t>
      </w:r>
      <w:r>
        <w:rPr/>
        <w:t>–</w:t>
      </w:r>
      <w:r>
        <w:rPr>
          <w:spacing w:val="79"/>
        </w:rPr>
        <w:t> </w:t>
      </w:r>
      <w:r>
        <w:rPr/>
        <w:t>2017,</w:t>
      </w:r>
      <w:r>
        <w:rPr>
          <w:spacing w:val="48"/>
          <w:w w:val="150"/>
        </w:rPr>
        <w:t> </w:t>
      </w:r>
      <w:r>
        <w:rPr/>
        <w:t>o</w:t>
      </w:r>
      <w:r>
        <w:rPr>
          <w:spacing w:val="48"/>
          <w:w w:val="150"/>
        </w:rPr>
        <w:t> </w:t>
      </w:r>
      <w:r>
        <w:rPr/>
        <w:t>melhor</w:t>
      </w:r>
      <w:r>
        <w:rPr>
          <w:spacing w:val="48"/>
          <w:w w:val="150"/>
        </w:rPr>
        <w:t> </w:t>
      </w:r>
      <w:r>
        <w:rPr/>
        <w:t>desempenho</w:t>
      </w:r>
      <w:r>
        <w:rPr>
          <w:spacing w:val="48"/>
          <w:w w:val="150"/>
        </w:rPr>
        <w:t> </w:t>
      </w:r>
      <w:r>
        <w:rPr/>
        <w:t>foi</w:t>
      </w:r>
      <w:r>
        <w:rPr>
          <w:spacing w:val="49"/>
          <w:w w:val="150"/>
        </w:rPr>
        <w:t> </w:t>
      </w:r>
      <w:r>
        <w:rPr>
          <w:spacing w:val="-5"/>
        </w:rPr>
        <w:t>do</w:t>
      </w:r>
    </w:p>
    <w:p>
      <w:pPr>
        <w:pStyle w:val="BodyText"/>
        <w:spacing w:line="276" w:lineRule="auto" w:before="45"/>
        <w:ind w:left="188" w:right="23"/>
        <w:jc w:val="both"/>
      </w:pPr>
      <w:r>
        <w:rPr/>
        <w:t>IRFMI+, com 11,98; o</w:t>
      </w:r>
      <w:r>
        <w:rPr>
          <w:spacing w:val="80"/>
        </w:rPr>
        <w:t> </w:t>
      </w:r>
      <w:r>
        <w:rPr/>
        <w:t>IRFM teve rendimento de 10,74; o IMAB5 de 8,47; o IRFM1 de 7,36 e o DI de 6,49. Quanto ao câmbio, registrou que o dólar comercial teve desvalorização de 5,92% e a Bolsa de Valores fechou o mês de julho com uma valorização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4,80%,</w:t>
      </w:r>
      <w:r>
        <w:rPr>
          <w:spacing w:val="3"/>
        </w:rPr>
        <w:t> </w:t>
      </w:r>
      <w:r>
        <w:rPr/>
        <w:t>conforme</w:t>
      </w:r>
      <w:r>
        <w:rPr>
          <w:spacing w:val="4"/>
        </w:rPr>
        <w:t> </w:t>
      </w:r>
      <w:r>
        <w:rPr/>
        <w:t>veiculado</w:t>
      </w:r>
      <w:r>
        <w:rPr>
          <w:spacing w:val="2"/>
        </w:rPr>
        <w:t> </w:t>
      </w:r>
      <w:r>
        <w:rPr/>
        <w:t>pelo</w:t>
      </w:r>
      <w:r>
        <w:rPr>
          <w:spacing w:val="3"/>
        </w:rPr>
        <w:t> </w:t>
      </w:r>
      <w:r>
        <w:rPr/>
        <w:t>jornal</w:t>
      </w:r>
      <w:r>
        <w:rPr>
          <w:spacing w:val="2"/>
        </w:rPr>
        <w:t> </w:t>
      </w:r>
      <w:r>
        <w:rPr/>
        <w:t>Valor</w:t>
      </w:r>
      <w:r>
        <w:rPr>
          <w:spacing w:val="2"/>
        </w:rPr>
        <w:t> </w:t>
      </w:r>
      <w:r>
        <w:rPr/>
        <w:t>Econômico.</w:t>
      </w:r>
      <w:r>
        <w:rPr>
          <w:spacing w:val="3"/>
        </w:rPr>
        <w:t> </w:t>
      </w:r>
      <w:r>
        <w:rPr/>
        <w:t>Na</w:t>
      </w:r>
      <w:r>
        <w:rPr>
          <w:spacing w:val="4"/>
        </w:rPr>
        <w:t> </w:t>
      </w:r>
      <w:r>
        <w:rPr/>
        <w:t>análise</w:t>
      </w:r>
      <w:r>
        <w:rPr>
          <w:spacing w:val="4"/>
        </w:rPr>
        <w:t> </w:t>
      </w:r>
      <w:r>
        <w:rPr>
          <w:spacing w:val="-5"/>
        </w:rPr>
        <w:t>do</w:t>
      </w:r>
    </w:p>
    <w:p>
      <w:pPr>
        <w:pStyle w:val="BodyText"/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52" w:footer="1481" w:top="1880" w:bottom="1680" w:left="1800" w:right="1080"/>
          <w:pgNumType w:start="1"/>
        </w:sectPr>
      </w:pPr>
    </w:p>
    <w:p>
      <w:pPr>
        <w:pStyle w:val="BodyText"/>
        <w:spacing w:before="155"/>
      </w:pPr>
    </w:p>
    <w:p>
      <w:pPr>
        <w:pStyle w:val="BodyText"/>
        <w:spacing w:line="276" w:lineRule="auto"/>
        <w:ind w:left="188" w:right="23"/>
        <w:jc w:val="both"/>
      </w:pPr>
      <w:r>
        <w:rPr/>
        <w:t>Relatório Focus </w:t>
      </w:r>
      <w:bookmarkStart w:name="Instituto de Previdência e Assistência S" w:id="1"/>
      <w:bookmarkEnd w:id="1"/>
      <w:r>
        <w:rPr/>
        <w:t>d</w:t>
      </w:r>
      <w:r>
        <w:rPr/>
        <w:t>e onze de agosto do corrente ano, ressaltou que o IPCA está com expectativa de alta e a meta da taxa SELIC está com expectativa de ficar estável até o fechamento de 2017. Após, apresentou as movimentações financeiras do Instituto referentes ao mês de julho. As aplicações, nesse mês, somaram R$ 685.000,00 e os resgates, R$ 3.165.000,00. O saldo anterior era de R$ 3.224.191,14. O retorno financeiro foi de R$ 36.877,21 e o percentual de retorno de 1.0984%. O atingimento da meta atuarial no mês foi de 150,88%. Comparando o INPC e o IPCA, o primeiro registrou um acumulado de 1,29% e o segundo, 1,43%. A senhora Michele ainda apresentou o relatório de rentabilidade e risco dos ativos que compõem a carteira do Instituto. A volatilidade apresentada em 12 meses foi a seguinte:</w:t>
      </w:r>
      <w:r>
        <w:rPr>
          <w:spacing w:val="40"/>
        </w:rPr>
        <w:t> </w:t>
      </w:r>
      <w:r>
        <w:rPr/>
        <w:t>IRFM do Banco do Brasil:</w:t>
      </w:r>
      <w:r>
        <w:rPr>
          <w:spacing w:val="54"/>
        </w:rPr>
        <w:t> </w:t>
      </w:r>
      <w:r>
        <w:rPr/>
        <w:t>4,90%;</w:t>
      </w:r>
      <w:r>
        <w:rPr>
          <w:spacing w:val="54"/>
        </w:rPr>
        <w:t> </w:t>
      </w:r>
      <w:r>
        <w:rPr/>
        <w:t>IRFM1</w:t>
      </w:r>
      <w:r>
        <w:rPr>
          <w:spacing w:val="55"/>
        </w:rPr>
        <w:t> </w:t>
      </w:r>
      <w:r>
        <w:rPr/>
        <w:t>da</w:t>
      </w:r>
      <w:r>
        <w:rPr>
          <w:spacing w:val="55"/>
        </w:rPr>
        <w:t> </w:t>
      </w:r>
      <w:r>
        <w:rPr/>
        <w:t>CEF:</w:t>
      </w:r>
      <w:r>
        <w:rPr>
          <w:spacing w:val="54"/>
        </w:rPr>
        <w:t> </w:t>
      </w:r>
      <w:r>
        <w:rPr/>
        <w:t>0,65%;</w:t>
      </w:r>
      <w:r>
        <w:rPr>
          <w:spacing w:val="55"/>
        </w:rPr>
        <w:t> </w:t>
      </w:r>
      <w:r>
        <w:rPr/>
        <w:t>IRFM1</w:t>
      </w:r>
      <w:r>
        <w:rPr>
          <w:spacing w:val="54"/>
        </w:rPr>
        <w:t> </w:t>
      </w:r>
      <w:r>
        <w:rPr/>
        <w:t>do</w:t>
      </w:r>
      <w:r>
        <w:rPr>
          <w:spacing w:val="55"/>
        </w:rPr>
        <w:t> </w:t>
      </w:r>
      <w:r>
        <w:rPr/>
        <w:t>BB:</w:t>
      </w:r>
      <w:r>
        <w:rPr>
          <w:spacing w:val="54"/>
        </w:rPr>
        <w:t> </w:t>
      </w:r>
      <w:r>
        <w:rPr/>
        <w:t>0,66%;</w:t>
      </w:r>
      <w:r>
        <w:rPr>
          <w:spacing w:val="54"/>
        </w:rPr>
        <w:t> </w:t>
      </w:r>
      <w:r>
        <w:rPr/>
        <w:t>CDI</w:t>
      </w:r>
      <w:r>
        <w:rPr>
          <w:spacing w:val="54"/>
        </w:rPr>
        <w:t> </w:t>
      </w:r>
      <w:r>
        <w:rPr/>
        <w:t>do</w:t>
      </w:r>
      <w:r>
        <w:rPr>
          <w:spacing w:val="54"/>
        </w:rPr>
        <w:t> </w:t>
      </w:r>
      <w:r>
        <w:rPr/>
        <w:t>Banco</w:t>
      </w:r>
      <w:r>
        <w:rPr>
          <w:spacing w:val="55"/>
        </w:rPr>
        <w:t> </w:t>
      </w:r>
      <w:r>
        <w:rPr>
          <w:spacing w:val="-5"/>
        </w:rPr>
        <w:t>do</w:t>
      </w:r>
    </w:p>
    <w:p>
      <w:pPr>
        <w:pStyle w:val="BodyText"/>
        <w:spacing w:line="276" w:lineRule="auto"/>
        <w:ind w:left="188" w:right="24"/>
        <w:jc w:val="both"/>
      </w:pPr>
      <w:r>
        <w:rPr/>
        <w:t>Brasil: 0,18% e CDI da CEF 0,07%. Por fim, falou sobre a recomendação do consultor da empresa Di Blasi Consultoria, a qual permanece a mesma do mês anterior, ou seja, considerou que o IRFM está com taxas bem “achatadas” e o IMA B com alguns espaços de valorização. Destacou um aumento de incerteza e maior volatilidade daqui pra frente e ainda mencionou que os fundos CDI estão no limiar da meta atuarial. Com relação ao FASSE, o saldo final de julho somou R$ 294.527,14 com um total de 292.804,33 de saldo anterior, R$ 2.500,00 de resgates, e R$ 4.222,81 de rendimentos. No terceiro item da pauta, houve a apresentação do fluxo de caixa pela servidora Claudia Miranda do Nascimento. Informou que o saldo final, na data de hoje, é de R$ 400.009,26. No que se refere a este item, a gestora previdenciária, Adriana Catarina da Costa solicitou que fosse revista a solicitação feita pela Presidente do Comitê, na 55ª reunião, quanto ao fluxo de caixa espelhar a movimentação tão somente até o dia da reunião do Comitê. Após debates, foi aprovado que o fluxo de caixa retorne a espelhar</w:t>
      </w:r>
      <w:r>
        <w:rPr>
          <w:spacing w:val="40"/>
        </w:rPr>
        <w:t> </w:t>
      </w:r>
      <w:r>
        <w:rPr/>
        <w:t>a movimentação</w:t>
      </w:r>
      <w:r>
        <w:rPr>
          <w:spacing w:val="-1"/>
        </w:rPr>
        <w:t> </w:t>
      </w:r>
      <w:r>
        <w:rPr/>
        <w:t>até o fechamento</w:t>
      </w:r>
      <w:r>
        <w:rPr>
          <w:spacing w:val="-1"/>
        </w:rPr>
        <w:t> </w:t>
      </w:r>
      <w:r>
        <w:rPr/>
        <w:t>do mês, mensurando</w:t>
      </w:r>
      <w:r>
        <w:rPr>
          <w:spacing w:val="-1"/>
        </w:rPr>
        <w:t> </w:t>
      </w:r>
      <w:r>
        <w:rPr/>
        <w:t>créditos e despesas vincendos e estimativa de contribuição. Quanto às proposições de investimentos/desinvestimentos, quinto item de pauta, o Comitê decidiu, por unanimidade, manter as aplicações hoje existentes no Instituto. Em assuntos gerais, a senhora Michele informou que será encaminhado um e-mail ao atuário do Instituto para esclarecer quanto à viabilidade de trocar o índice que utilizamos para atingimento da meta atuarial, tendo em vista não ter sido possível a sua presença nesta reunião. Quanto ao credenciamento das instituições financeiras, a Presidente do Comitê informou que já foi publicado o chamamento. A gestora de investimentos informou que o Banco Itaú, Banco do Brasil e Caixa Econômica</w:t>
      </w:r>
      <w:r>
        <w:rPr>
          <w:spacing w:val="60"/>
        </w:rPr>
        <w:t> </w:t>
      </w:r>
      <w:r>
        <w:rPr/>
        <w:t>pediram</w:t>
      </w:r>
      <w:r>
        <w:rPr>
          <w:spacing w:val="60"/>
        </w:rPr>
        <w:t> </w:t>
      </w:r>
      <w:r>
        <w:rPr/>
        <w:t>informações</w:t>
      </w:r>
      <w:r>
        <w:rPr>
          <w:spacing w:val="62"/>
        </w:rPr>
        <w:t> </w:t>
      </w:r>
      <w:r>
        <w:rPr/>
        <w:t>sobre</w:t>
      </w:r>
      <w:r>
        <w:rPr>
          <w:spacing w:val="63"/>
        </w:rPr>
        <w:t> </w:t>
      </w:r>
      <w:r>
        <w:rPr/>
        <w:t>a</w:t>
      </w:r>
      <w:r>
        <w:rPr>
          <w:spacing w:val="60"/>
        </w:rPr>
        <w:t> </w:t>
      </w:r>
      <w:r>
        <w:rPr/>
        <w:t>documentação</w:t>
      </w:r>
      <w:r>
        <w:rPr>
          <w:spacing w:val="60"/>
        </w:rPr>
        <w:t> </w:t>
      </w:r>
      <w:r>
        <w:rPr/>
        <w:t>necessária,</w:t>
      </w:r>
      <w:r>
        <w:rPr>
          <w:spacing w:val="62"/>
        </w:rPr>
        <w:t> </w:t>
      </w:r>
      <w:r>
        <w:rPr/>
        <w:t>mas</w:t>
      </w:r>
      <w:r>
        <w:rPr>
          <w:spacing w:val="63"/>
        </w:rPr>
        <w:t> </w:t>
      </w:r>
      <w:r>
        <w:rPr/>
        <w:t>que</w:t>
      </w:r>
      <w:r>
        <w:rPr>
          <w:spacing w:val="62"/>
        </w:rPr>
        <w:t> </w:t>
      </w:r>
      <w:r>
        <w:rPr/>
        <w:t>até</w:t>
      </w:r>
      <w:r>
        <w:rPr>
          <w:spacing w:val="63"/>
        </w:rPr>
        <w:t> </w:t>
      </w:r>
      <w:r>
        <w:rPr>
          <w:spacing w:val="-10"/>
        </w:rPr>
        <w:t>o</w:t>
      </w:r>
    </w:p>
    <w:p>
      <w:pPr>
        <w:pStyle w:val="BodyText"/>
        <w:spacing w:after="0" w:line="276" w:lineRule="auto"/>
        <w:jc w:val="both"/>
        <w:sectPr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before="155"/>
      </w:pPr>
    </w:p>
    <w:p>
      <w:pPr>
        <w:pStyle w:val="BodyText"/>
        <w:spacing w:line="276" w:lineRule="auto"/>
        <w:ind w:left="188" w:right="20"/>
        <w:jc w:val="both"/>
      </w:pPr>
      <w:r>
        <w:rPr/>
        <w:t>presente momento ninguém formalizou o pedido de credenciamento. Sem mais, a Presidente encerrou a reunião às 10 horas e 40 minutos, e a presente Ata segue lavrada por mim, Carla Maduro Vogas Tavares, Secretária deste Comitê, que a submeterei à aprovação dos demais membros e devidamente colherei suas assinaturas.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pgSz w:w="12240" w:h="15840"/>
          <w:pgMar w:header="952" w:footer="1481" w:top="1880" w:bottom="1680" w:left="1800" w:right="1080"/>
        </w:sectPr>
      </w:pPr>
    </w:p>
    <w:p>
      <w:pPr>
        <w:spacing w:line="276" w:lineRule="auto" w:before="90"/>
        <w:ind w:left="574" w:right="38" w:firstLine="566"/>
        <w:jc w:val="left"/>
        <w:rPr>
          <w:sz w:val="24"/>
        </w:rPr>
      </w:pPr>
      <w:r>
        <w:rPr>
          <w:sz w:val="24"/>
        </w:rPr>
        <w:t>Lucimar Glória Gomes Chefe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Divisão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Contabilidade</w:t>
      </w:r>
    </w:p>
    <w:p>
      <w:pPr>
        <w:spacing w:line="275" w:lineRule="exact" w:before="0"/>
        <w:ind w:left="1752" w:right="0" w:firstLine="0"/>
        <w:jc w:val="left"/>
        <w:rPr>
          <w:sz w:val="24"/>
        </w:rPr>
      </w:pPr>
      <w:r>
        <w:rPr>
          <w:spacing w:val="-2"/>
          <w:sz w:val="24"/>
        </w:rPr>
        <w:t>Presidente</w:t>
      </w:r>
    </w:p>
    <w:p>
      <w:pPr>
        <w:spacing w:line="276" w:lineRule="auto" w:before="230"/>
        <w:ind w:left="1362" w:right="0" w:hanging="302"/>
        <w:jc w:val="left"/>
        <w:rPr>
          <w:sz w:val="24"/>
        </w:rPr>
      </w:pPr>
      <w:r>
        <w:rPr>
          <w:sz w:val="24"/>
        </w:rPr>
        <w:t>Robson</w:t>
      </w:r>
      <w:r>
        <w:rPr>
          <w:spacing w:val="-14"/>
          <w:sz w:val="24"/>
        </w:rPr>
        <w:t> </w:t>
      </w:r>
      <w:r>
        <w:rPr>
          <w:sz w:val="24"/>
        </w:rPr>
        <w:t>Carneiro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Cruz Diretor Financeiro</w:t>
      </w:r>
    </w:p>
    <w:p>
      <w:pPr>
        <w:spacing w:line="276" w:lineRule="auto" w:before="90"/>
        <w:ind w:left="240" w:right="202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Carla</w:t>
      </w:r>
      <w:r>
        <w:rPr>
          <w:spacing w:val="-8"/>
          <w:sz w:val="24"/>
        </w:rPr>
        <w:t> </w:t>
      </w:r>
      <w:r>
        <w:rPr>
          <w:sz w:val="24"/>
        </w:rPr>
        <w:t>Cristina</w:t>
      </w:r>
      <w:r>
        <w:rPr>
          <w:spacing w:val="-9"/>
          <w:sz w:val="24"/>
        </w:rPr>
        <w:t> </w:t>
      </w:r>
      <w:r>
        <w:rPr>
          <w:sz w:val="24"/>
        </w:rPr>
        <w:t>Correia</w:t>
      </w:r>
      <w:r>
        <w:rPr>
          <w:spacing w:val="-8"/>
          <w:sz w:val="24"/>
        </w:rPr>
        <w:t> </w:t>
      </w:r>
      <w:r>
        <w:rPr>
          <w:sz w:val="24"/>
        </w:rPr>
        <w:t>M.</w:t>
      </w:r>
      <w:r>
        <w:rPr>
          <w:spacing w:val="-9"/>
          <w:sz w:val="24"/>
        </w:rPr>
        <w:t> </w:t>
      </w:r>
      <w:r>
        <w:rPr>
          <w:sz w:val="24"/>
        </w:rPr>
        <w:t>V.</w:t>
      </w:r>
      <w:r>
        <w:rPr>
          <w:spacing w:val="-9"/>
          <w:sz w:val="24"/>
        </w:rPr>
        <w:t> </w:t>
      </w:r>
      <w:r>
        <w:rPr>
          <w:sz w:val="24"/>
        </w:rPr>
        <w:t>Tavares Gestora Previdenciária</w:t>
      </w:r>
    </w:p>
    <w:p>
      <w:pPr>
        <w:spacing w:line="275" w:lineRule="exact" w:before="0"/>
        <w:ind w:left="240" w:right="258" w:firstLine="0"/>
        <w:jc w:val="center"/>
        <w:rPr>
          <w:sz w:val="24"/>
        </w:rPr>
      </w:pPr>
      <w:r>
        <w:rPr>
          <w:spacing w:val="-2"/>
          <w:sz w:val="24"/>
        </w:rPr>
        <w:t>Secretária</w:t>
      </w:r>
    </w:p>
    <w:p>
      <w:pPr>
        <w:spacing w:line="276" w:lineRule="auto" w:before="230"/>
        <w:ind w:left="1120" w:right="1099" w:hanging="41"/>
        <w:jc w:val="center"/>
        <w:rPr>
          <w:sz w:val="24"/>
        </w:rPr>
      </w:pPr>
      <w:r>
        <w:rPr>
          <w:sz w:val="24"/>
        </w:rPr>
        <w:t>Michele Schifller Forster Gestora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Investimentos</w:t>
      </w:r>
    </w:p>
    <w:p>
      <w:pPr>
        <w:spacing w:after="0" w:line="276" w:lineRule="auto"/>
        <w:jc w:val="center"/>
        <w:rPr>
          <w:sz w:val="24"/>
        </w:rPr>
        <w:sectPr>
          <w:type w:val="continuous"/>
          <w:pgSz w:w="12240" w:h="15840"/>
          <w:pgMar w:header="952" w:footer="1481" w:top="1880" w:bottom="1680" w:left="1800" w:right="1080"/>
          <w:cols w:num="2" w:equalWidth="0">
            <w:col w:w="3968" w:space="720"/>
            <w:col w:w="4672"/>
          </w:cols>
        </w:sectPr>
      </w:pPr>
    </w:p>
    <w:p>
      <w:pPr>
        <w:pStyle w:val="BodyText"/>
        <w:spacing w:before="6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2" w:footer="1481" w:top="1880" w:bottom="1680" w:left="1800" w:right="1080"/>
        </w:sectPr>
      </w:pPr>
    </w:p>
    <w:p>
      <w:pPr>
        <w:spacing w:line="276" w:lineRule="auto" w:before="90"/>
        <w:ind w:left="704" w:right="38" w:hanging="14"/>
        <w:jc w:val="left"/>
        <w:rPr>
          <w:sz w:val="24"/>
        </w:rPr>
      </w:pPr>
      <w:r>
        <w:rPr>
          <w:sz w:val="24"/>
        </w:rPr>
        <w:t>Claudia</w:t>
      </w:r>
      <w:r>
        <w:rPr>
          <w:spacing w:val="-14"/>
          <w:sz w:val="24"/>
        </w:rPr>
        <w:t> </w:t>
      </w:r>
      <w:r>
        <w:rPr>
          <w:sz w:val="24"/>
        </w:rPr>
        <w:t>Miranda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Nascimento Chefe da Divisão de Tesouraria</w:t>
      </w:r>
    </w:p>
    <w:p>
      <w:pPr>
        <w:spacing w:line="276" w:lineRule="auto" w:before="90"/>
        <w:ind w:left="863" w:right="1045" w:hanging="174"/>
        <w:jc w:val="left"/>
        <w:rPr>
          <w:sz w:val="24"/>
        </w:rPr>
      </w:pPr>
      <w:r>
        <w:rPr/>
        <w:br w:type="column"/>
      </w:r>
      <w:r>
        <w:rPr>
          <w:sz w:val="24"/>
        </w:rPr>
        <w:t>Adriana</w:t>
      </w:r>
      <w:r>
        <w:rPr>
          <w:spacing w:val="-14"/>
          <w:sz w:val="24"/>
        </w:rPr>
        <w:t> </w:t>
      </w:r>
      <w:r>
        <w:rPr>
          <w:sz w:val="24"/>
        </w:rPr>
        <w:t>Catarina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Costa Gestora Previdenciária</w:t>
      </w:r>
    </w:p>
    <w:sectPr>
      <w:type w:val="continuous"/>
      <w:pgSz w:w="12240" w:h="15840"/>
      <w:pgMar w:header="952" w:footer="1481" w:top="1880" w:bottom="1680" w:left="1800" w:right="1080"/>
      <w:cols w:num="2" w:equalWidth="0">
        <w:col w:w="3851" w:space="1235"/>
        <w:col w:w="42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1652270</wp:posOffset>
              </wp:positionH>
              <wp:positionV relativeFrom="page">
                <wp:posOffset>8978490</wp:posOffset>
              </wp:positionV>
              <wp:extent cx="3363595" cy="3962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63595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Lima,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salas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101/115 -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tel.: (24) 2220-9200</w:t>
                          </w:r>
                        </w:p>
                        <w:p>
                          <w:pPr>
                            <w:spacing w:before="0"/>
                            <w:ind w:left="352" w:right="347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DAF-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Diretoria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Administração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Finanças.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daf@inpas.rj.gov.br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Site: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www.inpas.rj.gov.br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0.100006pt;margin-top:706.967773pt;width:264.850pt;height:31.2pt;mso-position-horizontal-relative:page;mso-position-vertical-relative:page;z-index:-1576396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1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Lima,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–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salas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101/115 -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tel.: (24) 2220-9200</w:t>
                    </w:r>
                  </w:p>
                  <w:p>
                    <w:pPr>
                      <w:spacing w:before="0"/>
                      <w:ind w:left="352" w:right="347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DAF-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Diretoria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de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Administração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Finanças.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E-mail: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daf@inpas.rj.gov.br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Site: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hyperlink r:id="rId2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www.inpas.rj.gov.br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1488">
          <wp:simplePos x="0" y="0"/>
          <wp:positionH relativeFrom="page">
            <wp:posOffset>1108710</wp:posOffset>
          </wp:positionH>
          <wp:positionV relativeFrom="page">
            <wp:posOffset>604519</wp:posOffset>
          </wp:positionV>
          <wp:extent cx="1337310" cy="5041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731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2508250</wp:posOffset>
              </wp:positionH>
              <wp:positionV relativeFrom="page">
                <wp:posOffset>596096</wp:posOffset>
              </wp:positionV>
              <wp:extent cx="3477260" cy="371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7726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 Servidor Público do Município de Petrópolis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7.5pt;margin-top:46.936718pt;width:273.8pt;height:29.25pt;mso-position-horizontal-relative:page;mso-position-vertical-relative:page;z-index:-1576448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 Servidor Público do Município de Petrópolis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af@inpas.rj.gov.br" TargetMode="External"/><Relationship Id="rId2" Type="http://schemas.openxmlformats.org/officeDocument/2006/relationships/hyperlink" Target="http://www.inpas.rj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2025-05-16T19:01:16Z</dcterms:created>
  <dcterms:modified xsi:type="dcterms:W3CDTF">2025-05-16T19:01:16Z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