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7"/>
      </w:pPr>
    </w:p>
    <w:p>
      <w:pPr>
        <w:pStyle w:val="BodyText"/>
        <w:spacing w:line="360" w:lineRule="auto"/>
        <w:ind w:left="188" w:right="15"/>
        <w:jc w:val="both"/>
      </w:pPr>
      <w:r>
        <w:rPr/>
        <w:t>Ata da quinquagésima oitava reunião ordinária do Comitê de Investimentos do Instituto de Previdência e Assistência Social do Servidor Público do Município de Petrópolis – INPAS. Aos dezoito dias do mês de setembro do ano de dois mil e dezessete, às dez horas e dez minutos, no Auditório do Instituto de Previdência e Assistência Social do Servidor Público do Município de Petrópolis, reuniram-se os seguintes membros do Comitê de Investimentos deste Regime Próprio de Previdência Social: a)- Diretor Financeiro do INPAS, senhor Robson Carneiro da Cruz; b)- Chefe da Divisão de Contabilidade, senhora Lucimar da Glória Gomes, Presidente eleita deste Comitê; c) Gestora Previdenciária, senhora Carla Cristina Correia Maduro</w:t>
      </w:r>
      <w:r>
        <w:rPr>
          <w:spacing w:val="-5"/>
        </w:rPr>
        <w:t> </w:t>
      </w:r>
      <w:r>
        <w:rPr/>
        <w:t>Vogas</w:t>
      </w:r>
      <w:r>
        <w:rPr>
          <w:spacing w:val="-5"/>
        </w:rPr>
        <w:t> </w:t>
      </w:r>
      <w:r>
        <w:rPr/>
        <w:t>Tavares,</w:t>
      </w:r>
      <w:r>
        <w:rPr>
          <w:spacing w:val="-4"/>
        </w:rPr>
        <w:t> </w:t>
      </w:r>
      <w:r>
        <w:rPr/>
        <w:t>secretária</w:t>
      </w:r>
      <w:r>
        <w:rPr>
          <w:spacing w:val="-3"/>
        </w:rPr>
        <w:t> </w:t>
      </w:r>
      <w:r>
        <w:rPr/>
        <w:t>deste</w:t>
      </w:r>
      <w:r>
        <w:rPr>
          <w:spacing w:val="-6"/>
        </w:rPr>
        <w:t> </w:t>
      </w:r>
      <w:r>
        <w:rPr/>
        <w:t>Comitê;</w:t>
      </w:r>
      <w:r>
        <w:rPr>
          <w:spacing w:val="-3"/>
        </w:rPr>
        <w:t> </w:t>
      </w:r>
      <w:r>
        <w:rPr/>
        <w:t>d)</w:t>
      </w:r>
      <w:r>
        <w:rPr>
          <w:spacing w:val="-5"/>
        </w:rPr>
        <w:t> </w:t>
      </w:r>
      <w:r>
        <w:rPr/>
        <w:t>Gestora</w:t>
      </w:r>
      <w:r>
        <w:rPr>
          <w:spacing w:val="-4"/>
        </w:rPr>
        <w:t> </w:t>
      </w:r>
      <w:r>
        <w:rPr/>
        <w:t>de</w:t>
      </w:r>
      <w:r>
        <w:rPr>
          <w:spacing w:val="-6"/>
        </w:rPr>
        <w:t> </w:t>
      </w:r>
      <w:r>
        <w:rPr/>
        <w:t>Investimentos,</w:t>
      </w:r>
      <w:r>
        <w:rPr>
          <w:spacing w:val="-4"/>
        </w:rPr>
        <w:t> </w:t>
      </w:r>
      <w:r>
        <w:rPr/>
        <w:t>senhora Michele Schiffler Forster; e) Gestora Previdenciária, senhora Adriana Catarina da Costa. Registra-se a ausência</w:t>
      </w:r>
      <w:r>
        <w:rPr>
          <w:spacing w:val="-2"/>
        </w:rPr>
        <w:t> </w:t>
      </w:r>
      <w:r>
        <w:rPr/>
        <w:t>do</w:t>
      </w:r>
      <w:r>
        <w:rPr>
          <w:spacing w:val="-3"/>
        </w:rPr>
        <w:t> </w:t>
      </w:r>
      <w:r>
        <w:rPr/>
        <w:t>Diretor-Presidente,</w:t>
      </w:r>
      <w:r>
        <w:rPr>
          <w:spacing w:val="-1"/>
        </w:rPr>
        <w:t> </w:t>
      </w:r>
      <w:r>
        <w:rPr/>
        <w:t>Sr.</w:t>
      </w:r>
      <w:r>
        <w:rPr>
          <w:spacing w:val="-3"/>
        </w:rPr>
        <w:t> </w:t>
      </w:r>
      <w:r>
        <w:rPr/>
        <w:t>Fernando</w:t>
      </w:r>
      <w:r>
        <w:rPr>
          <w:spacing w:val="-3"/>
        </w:rPr>
        <w:t> </w:t>
      </w:r>
      <w:r>
        <w:rPr/>
        <w:t>Leite Fortes,</w:t>
      </w:r>
      <w:r>
        <w:rPr>
          <w:spacing w:val="-1"/>
        </w:rPr>
        <w:t> </w:t>
      </w:r>
      <w:r>
        <w:rPr/>
        <w:t>por</w:t>
      </w:r>
      <w:r>
        <w:rPr>
          <w:spacing w:val="-3"/>
        </w:rPr>
        <w:t> </w:t>
      </w:r>
      <w:r>
        <w:rPr/>
        <w:t>motivo de</w:t>
      </w:r>
      <w:r>
        <w:rPr>
          <w:spacing w:val="-3"/>
        </w:rPr>
        <w:t> </w:t>
      </w:r>
      <w:r>
        <w:rPr/>
        <w:t>reunião</w:t>
      </w:r>
      <w:r>
        <w:rPr>
          <w:spacing w:val="-1"/>
        </w:rPr>
        <w:t> </w:t>
      </w:r>
      <w:r>
        <w:rPr/>
        <w:t>na</w:t>
      </w:r>
      <w:r>
        <w:rPr>
          <w:spacing w:val="-3"/>
        </w:rPr>
        <w:t> </w:t>
      </w:r>
      <w:r>
        <w:rPr/>
        <w:t>Prefeitura, e a ausência da Sra. Claudia Miranda do Nascimento, por motivo de saúde . Com esta composição iniciou-se a referida reunião para atendimento à pauta do dia, que teve a seguinte ordem: 1- leitura da ata da última reunião do Comitê de Investimentos; 2- análise do cenário macroeconômico, bem como as expectativas de mercado; 3-análise do fluxo de caixa, considerando</w:t>
      </w:r>
      <w:r>
        <w:rPr>
          <w:spacing w:val="-1"/>
        </w:rPr>
        <w:t> </w:t>
      </w:r>
      <w:r>
        <w:rPr/>
        <w:t>as</w:t>
      </w:r>
      <w:r>
        <w:rPr>
          <w:spacing w:val="-2"/>
        </w:rPr>
        <w:t> </w:t>
      </w:r>
      <w:r>
        <w:rPr/>
        <w:t>obrigações previdenciárias e</w:t>
      </w:r>
      <w:r>
        <w:rPr>
          <w:spacing w:val="-2"/>
        </w:rPr>
        <w:t> </w:t>
      </w:r>
      <w:r>
        <w:rPr/>
        <w:t>administrativas para</w:t>
      </w:r>
      <w:r>
        <w:rPr>
          <w:spacing w:val="-2"/>
        </w:rPr>
        <w:t> </w:t>
      </w:r>
      <w:r>
        <w:rPr/>
        <w:t>o</w:t>
      </w:r>
      <w:r>
        <w:rPr>
          <w:spacing w:val="-1"/>
        </w:rPr>
        <w:t> </w:t>
      </w:r>
      <w:r>
        <w:rPr/>
        <w:t>mês em</w:t>
      </w:r>
      <w:r>
        <w:rPr>
          <w:spacing w:val="-2"/>
        </w:rPr>
        <w:t> </w:t>
      </w:r>
      <w:r>
        <w:rPr/>
        <w:t>curso;</w:t>
      </w:r>
      <w:r>
        <w:rPr>
          <w:spacing w:val="-2"/>
        </w:rPr>
        <w:t> </w:t>
      </w:r>
      <w:r>
        <w:rPr/>
        <w:t>4-avaliação dos investimentos que compõem o patrimônio dos diversos segmentos de aplicação; 5- proposições de investimentos/desinvestimentos; 6- análise do fluxograma do credenciamento de instituições financeiras; 7-assuntos gerais. A Presidente do Comitê iniciou a reunião agradecendo a presença de todos. No que se refere à ata da 16ª reunião extraordinária, enviada por email para todos os membros do Comitê, não houve retificações, tendo sido integralmente aprovada. Passando para o segundo ponto de pauta, a Gestora de Investimentos, Sra. Michele Schiffler Forster, comentou que as “confusões políticas” ainda causam volatilidade na renda fixa e variável. Na reunião do COPOM,</w:t>
      </w:r>
      <w:r>
        <w:rPr>
          <w:spacing w:val="40"/>
        </w:rPr>
        <w:t> </w:t>
      </w:r>
      <w:r>
        <w:rPr/>
        <w:t>realizada em 06/09/17, houve a redução da taxa selic em 1%, estando, no momento, em 8,25%. Após, apresentou a variação dos índices do mês de agosto mais utilizados e/ou acompanhados por esta Autarquia, sendo: IRFM1: 0,9013; IRFM1+:</w:t>
      </w:r>
      <w:r>
        <w:rPr>
          <w:spacing w:val="2"/>
        </w:rPr>
        <w:t> </w:t>
      </w:r>
      <w:r>
        <w:rPr/>
        <w:t>1,1114;</w:t>
      </w:r>
      <w:r>
        <w:rPr>
          <w:spacing w:val="5"/>
        </w:rPr>
        <w:t> </w:t>
      </w:r>
      <w:r>
        <w:rPr/>
        <w:t>IRFM:</w:t>
      </w:r>
      <w:r>
        <w:rPr>
          <w:spacing w:val="5"/>
        </w:rPr>
        <w:t> </w:t>
      </w:r>
      <w:r>
        <w:rPr/>
        <w:t>1,0573;</w:t>
      </w:r>
      <w:r>
        <w:rPr>
          <w:spacing w:val="5"/>
        </w:rPr>
        <w:t> </w:t>
      </w:r>
      <w:r>
        <w:rPr/>
        <w:t>IMA</w:t>
      </w:r>
      <w:r>
        <w:rPr>
          <w:spacing w:val="5"/>
        </w:rPr>
        <w:t> </w:t>
      </w:r>
      <w:r>
        <w:rPr/>
        <w:t>B</w:t>
      </w:r>
      <w:r>
        <w:rPr>
          <w:spacing w:val="6"/>
        </w:rPr>
        <w:t> </w:t>
      </w:r>
      <w:r>
        <w:rPr/>
        <w:t>5:</w:t>
      </w:r>
      <w:r>
        <w:rPr>
          <w:spacing w:val="5"/>
        </w:rPr>
        <w:t> </w:t>
      </w:r>
      <w:r>
        <w:rPr/>
        <w:t>1,2546;</w:t>
      </w:r>
      <w:r>
        <w:rPr>
          <w:spacing w:val="4"/>
        </w:rPr>
        <w:t> </w:t>
      </w:r>
      <w:r>
        <w:rPr/>
        <w:t>IMA</w:t>
      </w:r>
      <w:r>
        <w:rPr>
          <w:spacing w:val="5"/>
        </w:rPr>
        <w:t> </w:t>
      </w:r>
      <w:r>
        <w:rPr/>
        <w:t>B</w:t>
      </w:r>
      <w:r>
        <w:rPr>
          <w:spacing w:val="6"/>
        </w:rPr>
        <w:t> </w:t>
      </w:r>
      <w:r>
        <w:rPr/>
        <w:t>5+:</w:t>
      </w:r>
      <w:r>
        <w:rPr>
          <w:spacing w:val="4"/>
        </w:rPr>
        <w:t> </w:t>
      </w:r>
      <w:r>
        <w:rPr/>
        <w:t>1,3626;</w:t>
      </w:r>
      <w:r>
        <w:rPr>
          <w:spacing w:val="5"/>
        </w:rPr>
        <w:t> </w:t>
      </w:r>
      <w:r>
        <w:rPr/>
        <w:t>IMA</w:t>
      </w:r>
      <w:r>
        <w:rPr>
          <w:spacing w:val="5"/>
        </w:rPr>
        <w:t> </w:t>
      </w:r>
      <w:r>
        <w:rPr/>
        <w:t>B:</w:t>
      </w:r>
      <w:r>
        <w:rPr>
          <w:spacing w:val="5"/>
        </w:rPr>
        <w:t> </w:t>
      </w:r>
      <w:r>
        <w:rPr/>
        <w:t>1,3428;</w:t>
      </w:r>
      <w:r>
        <w:rPr>
          <w:spacing w:val="5"/>
        </w:rPr>
        <w:t> </w:t>
      </w:r>
      <w:r>
        <w:rPr>
          <w:spacing w:val="-5"/>
        </w:rPr>
        <w:t>IMA</w:t>
      </w:r>
    </w:p>
    <w:p>
      <w:pPr>
        <w:pStyle w:val="BodyText"/>
        <w:spacing w:before="1"/>
        <w:ind w:left="188"/>
        <w:jc w:val="both"/>
      </w:pPr>
      <w:r>
        <w:rPr/>
        <w:t>Geral:</w:t>
      </w:r>
      <w:r>
        <w:rPr>
          <w:spacing w:val="4"/>
        </w:rPr>
        <w:t> </w:t>
      </w:r>
      <w:r>
        <w:rPr/>
        <w:t>1,0714;</w:t>
      </w:r>
      <w:r>
        <w:rPr>
          <w:spacing w:val="4"/>
        </w:rPr>
        <w:t> </w:t>
      </w:r>
      <w:r>
        <w:rPr/>
        <w:t>CDI:</w:t>
      </w:r>
      <w:r>
        <w:rPr>
          <w:spacing w:val="3"/>
        </w:rPr>
        <w:t> </w:t>
      </w:r>
      <w:r>
        <w:rPr/>
        <w:t>0,8000.</w:t>
      </w:r>
      <w:r>
        <w:rPr>
          <w:spacing w:val="4"/>
        </w:rPr>
        <w:t> </w:t>
      </w:r>
      <w:r>
        <w:rPr/>
        <w:t>Na</w:t>
      </w:r>
      <w:r>
        <w:rPr>
          <w:spacing w:val="3"/>
        </w:rPr>
        <w:t> </w:t>
      </w:r>
      <w:r>
        <w:rPr/>
        <w:t>rentabilidade</w:t>
      </w:r>
      <w:r>
        <w:rPr>
          <w:spacing w:val="6"/>
        </w:rPr>
        <w:t> </w:t>
      </w:r>
      <w:r>
        <w:rPr/>
        <w:t>acumulada</w:t>
      </w:r>
      <w:r>
        <w:rPr>
          <w:spacing w:val="7"/>
        </w:rPr>
        <w:t> </w:t>
      </w:r>
      <w:r>
        <w:rPr/>
        <w:t>–</w:t>
      </w:r>
      <w:r>
        <w:rPr>
          <w:spacing w:val="4"/>
        </w:rPr>
        <w:t> </w:t>
      </w:r>
      <w:r>
        <w:rPr/>
        <w:t>2017,</w:t>
      </w:r>
      <w:r>
        <w:rPr>
          <w:spacing w:val="4"/>
        </w:rPr>
        <w:t> </w:t>
      </w:r>
      <w:r>
        <w:rPr/>
        <w:t>o</w:t>
      </w:r>
      <w:r>
        <w:rPr>
          <w:spacing w:val="3"/>
        </w:rPr>
        <w:t> </w:t>
      </w:r>
      <w:r>
        <w:rPr/>
        <w:t>melhor</w:t>
      </w:r>
      <w:r>
        <w:rPr>
          <w:spacing w:val="8"/>
        </w:rPr>
        <w:t> </w:t>
      </w:r>
      <w:r>
        <w:rPr/>
        <w:t>desempenho</w:t>
      </w:r>
      <w:r>
        <w:rPr>
          <w:spacing w:val="7"/>
        </w:rPr>
        <w:t> </w:t>
      </w:r>
      <w:r>
        <w:rPr/>
        <w:t>foi</w:t>
      </w:r>
      <w:r>
        <w:rPr>
          <w:spacing w:val="4"/>
        </w:rPr>
        <w:t> </w:t>
      </w:r>
      <w:r>
        <w:rPr>
          <w:spacing w:val="-5"/>
        </w:rPr>
        <w:t>do</w:t>
      </w:r>
    </w:p>
    <w:p>
      <w:pPr>
        <w:pStyle w:val="BodyText"/>
        <w:spacing w:after="0"/>
        <w:jc w:val="both"/>
        <w:sectPr>
          <w:headerReference w:type="default" r:id="rId5"/>
          <w:footerReference w:type="default" r:id="rId6"/>
          <w:type w:val="continuous"/>
          <w:pgSz w:w="12240" w:h="15840"/>
          <w:pgMar w:header="952" w:footer="1565" w:top="1880" w:bottom="1760" w:left="1800" w:right="1080"/>
          <w:pgNumType w:start="1"/>
        </w:sectPr>
      </w:pPr>
    </w:p>
    <w:p>
      <w:pPr>
        <w:pStyle w:val="BodyText"/>
        <w:spacing w:before="177"/>
      </w:pPr>
    </w:p>
    <w:p>
      <w:pPr>
        <w:pStyle w:val="BodyText"/>
        <w:spacing w:line="360" w:lineRule="auto"/>
        <w:ind w:left="188" w:right="21"/>
        <w:jc w:val="both"/>
      </w:pPr>
      <w:r>
        <w:rPr/>
        <w:t>IRFMI+, com </w:t>
      </w:r>
      <w:bookmarkStart w:name="Instituto de Previdência e Assistência S" w:id="1"/>
      <w:bookmarkEnd w:id="1"/>
      <w:r>
        <w:rPr/>
        <w:t>13,2198</w:t>
      </w:r>
      <w:r>
        <w:rPr/>
        <w:t>; o IRFM teve rendimento de 11,9122; o IMAB5 de 9,8345; o IRFM1</w:t>
      </w:r>
      <w:r>
        <w:rPr>
          <w:spacing w:val="40"/>
        </w:rPr>
        <w:t> </w:t>
      </w:r>
      <w:r>
        <w:rPr/>
        <w:t>de 8,3291 e o DI de 7,34. Quanto ao câmbio, registrou que o dólar comercial teve valorização de 0,97% e a Bolsa de Valores fechou o mês de agosto com uma valorização de 7,46%, conforme veiculado pelo jornal Valor Econômico. Na análise do Relatório Focus de quinze de setembro do corrente ano, ressaltou que o IPCA está com expectativa de queda e a meta da</w:t>
      </w:r>
      <w:r>
        <w:rPr>
          <w:spacing w:val="40"/>
        </w:rPr>
        <w:t> </w:t>
      </w:r>
      <w:r>
        <w:rPr/>
        <w:t>taxa SELIC está com expectativa de ficar estável em 7% até o fechamento de 2017. Após, apresentou as movimentações financeiras do Instituto referentes ao mês de agosto. As aplicações, nesse mês, somaram R$ 521.000,00 e os resgates, R$ 999.294,46. O saldo anterior era de R$ 781.068,35. O retorno financeiro foi de R$ 8.574,59 e o percentual de retorno de 0,8986%. O atingimento da meta atuarial no mês foi de 132,60%. Comparando o INPC e o IPCA, o primeiro registrou um acumulado de 1,27% e o segundo, 1,62%. A senhora Michele ainda apresentou o relatório de rentabilidade e risco dos ativos que compõem a carteira do Instituto. A volatilidade apresentada em 12 meses foi a seguinte:</w:t>
      </w:r>
      <w:r>
        <w:rPr>
          <w:spacing w:val="40"/>
        </w:rPr>
        <w:t> </w:t>
      </w:r>
      <w:r>
        <w:rPr/>
        <w:t>IRFM do Banco do Brasil: 4,90%; IRFM1 da CEF: 0,65%; IRFM1 do BB: 0,66%; CDI do Banco do Brasil: 0,18% e CDI</w:t>
      </w:r>
    </w:p>
    <w:p>
      <w:pPr>
        <w:pStyle w:val="BodyText"/>
        <w:spacing w:line="360" w:lineRule="auto"/>
        <w:ind w:left="188" w:right="14"/>
        <w:jc w:val="both"/>
      </w:pPr>
      <w:r>
        <w:rPr/>
        <w:t>da CEF 0,07%. Por fim, falou sobre a recomendação do consultor da empresa Di Blasi Consultoria, que</w:t>
      </w:r>
      <w:r>
        <w:rPr>
          <w:spacing w:val="-2"/>
        </w:rPr>
        <w:t> </w:t>
      </w:r>
      <w:r>
        <w:rPr/>
        <w:t>considerou</w:t>
      </w:r>
      <w:r>
        <w:rPr>
          <w:spacing w:val="-2"/>
        </w:rPr>
        <w:t> </w:t>
      </w:r>
      <w:r>
        <w:rPr/>
        <w:t>que</w:t>
      </w:r>
      <w:r>
        <w:rPr>
          <w:spacing w:val="-1"/>
        </w:rPr>
        <w:t> </w:t>
      </w:r>
      <w:r>
        <w:rPr/>
        <w:t>os</w:t>
      </w:r>
      <w:r>
        <w:rPr>
          <w:spacing w:val="-1"/>
        </w:rPr>
        <w:t> </w:t>
      </w:r>
      <w:r>
        <w:rPr/>
        <w:t>fundos</w:t>
      </w:r>
      <w:r>
        <w:rPr>
          <w:spacing w:val="-1"/>
        </w:rPr>
        <w:t> </w:t>
      </w:r>
      <w:r>
        <w:rPr/>
        <w:t>da</w:t>
      </w:r>
      <w:r>
        <w:rPr>
          <w:spacing w:val="-2"/>
        </w:rPr>
        <w:t> </w:t>
      </w:r>
      <w:r>
        <w:rPr/>
        <w:t>família IRFM</w:t>
      </w:r>
      <w:r>
        <w:rPr>
          <w:spacing w:val="-1"/>
        </w:rPr>
        <w:t> </w:t>
      </w:r>
      <w:r>
        <w:rPr/>
        <w:t>estão com</w:t>
      </w:r>
      <w:r>
        <w:rPr>
          <w:spacing w:val="-1"/>
        </w:rPr>
        <w:t> </w:t>
      </w:r>
      <w:r>
        <w:rPr/>
        <w:t>taxas</w:t>
      </w:r>
      <w:r>
        <w:rPr>
          <w:spacing w:val="-1"/>
        </w:rPr>
        <w:t> </w:t>
      </w:r>
      <w:r>
        <w:rPr/>
        <w:t>de</w:t>
      </w:r>
      <w:r>
        <w:rPr>
          <w:spacing w:val="-2"/>
        </w:rPr>
        <w:t> </w:t>
      </w:r>
      <w:r>
        <w:rPr/>
        <w:t>juros</w:t>
      </w:r>
      <w:r>
        <w:rPr>
          <w:spacing w:val="-1"/>
        </w:rPr>
        <w:t> </w:t>
      </w:r>
      <w:r>
        <w:rPr/>
        <w:t>próximas a 9% a.a, com pequena capacidade de ainda</w:t>
      </w:r>
      <w:r>
        <w:rPr>
          <w:spacing w:val="40"/>
        </w:rPr>
        <w:t> </w:t>
      </w:r>
      <w:r>
        <w:rPr/>
        <w:t>gerar ganhos; que os fundos da família IMA-B podem ainda apresentar espaço de valorização; e que os fundos CDI estão no limiar da meta atuarial. Com relação ao FASSE, o saldo final de agosto somou R$ 294.472,92, com um total de</w:t>
      </w:r>
      <w:r>
        <w:rPr>
          <w:spacing w:val="-3"/>
        </w:rPr>
        <w:t> </w:t>
      </w:r>
      <w:r>
        <w:rPr/>
        <w:t>294.527,14</w:t>
      </w:r>
      <w:r>
        <w:rPr>
          <w:spacing w:val="-3"/>
        </w:rPr>
        <w:t> </w:t>
      </w:r>
      <w:r>
        <w:rPr/>
        <w:t>de</w:t>
      </w:r>
      <w:r>
        <w:rPr>
          <w:spacing w:val="-3"/>
        </w:rPr>
        <w:t> </w:t>
      </w:r>
      <w:r>
        <w:rPr/>
        <w:t>saldo</w:t>
      </w:r>
      <w:r>
        <w:rPr>
          <w:spacing w:val="-3"/>
        </w:rPr>
        <w:t> </w:t>
      </w:r>
      <w:r>
        <w:rPr/>
        <w:t>anterior,</w:t>
      </w:r>
      <w:r>
        <w:rPr>
          <w:spacing w:val="-3"/>
        </w:rPr>
        <w:t> </w:t>
      </w:r>
      <w:r>
        <w:rPr/>
        <w:t>R$</w:t>
      </w:r>
      <w:r>
        <w:rPr>
          <w:spacing w:val="-3"/>
        </w:rPr>
        <w:t> </w:t>
      </w:r>
      <w:r>
        <w:rPr/>
        <w:t>2.800,00</w:t>
      </w:r>
      <w:r>
        <w:rPr>
          <w:spacing w:val="-3"/>
        </w:rPr>
        <w:t> </w:t>
      </w:r>
      <w:r>
        <w:rPr/>
        <w:t>de</w:t>
      </w:r>
      <w:r>
        <w:rPr>
          <w:spacing w:val="-3"/>
        </w:rPr>
        <w:t> </w:t>
      </w:r>
      <w:r>
        <w:rPr/>
        <w:t>resgates,</w:t>
      </w:r>
      <w:r>
        <w:rPr>
          <w:spacing w:val="-3"/>
        </w:rPr>
        <w:t> </w:t>
      </w:r>
      <w:r>
        <w:rPr/>
        <w:t>e</w:t>
      </w:r>
      <w:r>
        <w:rPr>
          <w:spacing w:val="-3"/>
        </w:rPr>
        <w:t> </w:t>
      </w:r>
      <w:r>
        <w:rPr/>
        <w:t>R$</w:t>
      </w:r>
      <w:r>
        <w:rPr>
          <w:spacing w:val="-3"/>
        </w:rPr>
        <w:t> </w:t>
      </w:r>
      <w:r>
        <w:rPr/>
        <w:t>2.745,78</w:t>
      </w:r>
      <w:r>
        <w:rPr>
          <w:spacing w:val="-3"/>
        </w:rPr>
        <w:t> </w:t>
      </w:r>
      <w:r>
        <w:rPr/>
        <w:t>de</w:t>
      </w:r>
      <w:r>
        <w:rPr>
          <w:spacing w:val="-4"/>
        </w:rPr>
        <w:t> </w:t>
      </w:r>
      <w:r>
        <w:rPr/>
        <w:t>rendimentos. Após, questionou se a apresentação organizada por ela seria encaminhada a todos os membros para eventuais consultas. A senhora Lucimar disse que sim, e a senhora Adriana sugeriu que todos os documentos utilizados na reunião fossem encaminhados por e-mail. No terceiro item da pauta, houve a apresentação do fluxo de caixa pela Presidente do Comitê. Informou que o</w:t>
      </w:r>
      <w:r>
        <w:rPr>
          <w:spacing w:val="40"/>
        </w:rPr>
        <w:t> </w:t>
      </w:r>
      <w:r>
        <w:rPr/>
        <w:t>saldo final previsto para o mês de setembro, na conta previdenciária, é de R$ 54.262,07, ressaltando que foi considerado um aporte de R$ 4.200.000,00 a ser feito pela Prefeitura Municipal. Na</w:t>
      </w:r>
      <w:r>
        <w:rPr>
          <w:spacing w:val="-2"/>
        </w:rPr>
        <w:t> </w:t>
      </w:r>
      <w:r>
        <w:rPr/>
        <w:t>conta</w:t>
      </w:r>
      <w:r>
        <w:rPr>
          <w:spacing w:val="-1"/>
        </w:rPr>
        <w:t> </w:t>
      </w:r>
      <w:r>
        <w:rPr/>
        <w:t>administrativa, o</w:t>
      </w:r>
      <w:r>
        <w:rPr>
          <w:spacing w:val="-2"/>
        </w:rPr>
        <w:t> </w:t>
      </w:r>
      <w:r>
        <w:rPr/>
        <w:t>saldo</w:t>
      </w:r>
      <w:r>
        <w:rPr>
          <w:spacing w:val="-2"/>
        </w:rPr>
        <w:t> </w:t>
      </w:r>
      <w:r>
        <w:rPr/>
        <w:t>final previsto para</w:t>
      </w:r>
      <w:r>
        <w:rPr>
          <w:spacing w:val="-2"/>
        </w:rPr>
        <w:t> </w:t>
      </w:r>
      <w:r>
        <w:rPr/>
        <w:t>setembro é</w:t>
      </w:r>
      <w:r>
        <w:rPr>
          <w:spacing w:val="-2"/>
        </w:rPr>
        <w:t> </w:t>
      </w:r>
      <w:r>
        <w:rPr/>
        <w:t>de</w:t>
      </w:r>
      <w:r>
        <w:rPr>
          <w:spacing w:val="-1"/>
        </w:rPr>
        <w:t> </w:t>
      </w:r>
      <w:r>
        <w:rPr/>
        <w:t>R$</w:t>
      </w:r>
      <w:r>
        <w:rPr>
          <w:spacing w:val="-2"/>
        </w:rPr>
        <w:t> </w:t>
      </w:r>
      <w:r>
        <w:rPr/>
        <w:t>1.919.372,96, já considerado o recebimento dos valores da taxa de administração em atraso. A Presidente do</w:t>
      </w:r>
    </w:p>
    <w:p>
      <w:pPr>
        <w:pStyle w:val="BodyText"/>
        <w:spacing w:after="0" w:line="360" w:lineRule="auto"/>
        <w:jc w:val="both"/>
        <w:sectPr>
          <w:pgSz w:w="12240" w:h="15840"/>
          <w:pgMar w:header="952" w:footer="1565" w:top="1880" w:bottom="1760" w:left="1800" w:right="1080"/>
        </w:sectPr>
      </w:pPr>
    </w:p>
    <w:p>
      <w:pPr>
        <w:pStyle w:val="BodyText"/>
        <w:spacing w:before="177"/>
      </w:pPr>
    </w:p>
    <w:p>
      <w:pPr>
        <w:pStyle w:val="BodyText"/>
        <w:spacing w:line="360" w:lineRule="auto"/>
        <w:ind w:left="188" w:right="23"/>
        <w:jc w:val="both"/>
      </w:pPr>
      <w:r>
        <w:rPr/>
        <w:t>Comitê ressaltou a importância da transferência da taxa de administração para a conta administrativa do Instituto, por expressa disposição legal. O Diretor Financeiro argumentou que a taxa pode ser paga, mas que os valores deverão ser logo revertidos para pagamento dos benefícios previdenciários, tendo em vista a situação financeira hoje existente no INPAS. A Gestora Carla Cristina argumentou que, antes de os valores serem transferidos, deveria haver uma previsão dos gastos administrativos até o fim do ano, inclusive com a previsão do décimo terceiro salário dos servidores do INPAS, pois, em virtude de as despesas administrativas do Instituto serem pagas somente com esses recursos, uma vez havendo a transferência dos valores, não poderá haver retorno para pagamento de despesas administrativas. O quarto item da pauta foi analisado juntamente com o segundo item, razão pela qual o Comitê passou a analisar o quinto item e, neste, o Comitê decidiu, por unanimidade, manter as aplicações hoje existentes no Instituto. No sexto item – análise do fluxograma, o Comitê decidiu aprovar a proposta apresentada pela servidora Adriana Catarina, com a ressalva de que, antes do arquivamento definitivo, o processo deveria passar pelo Diretor-Presidente do Instituto para ciência da decisão do Comitê. Como não houve uma unanimidade nesse ponto, o Comitê decidiu enviar as duas propostas para análise da</w:t>
      </w:r>
      <w:r>
        <w:rPr>
          <w:spacing w:val="-2"/>
        </w:rPr>
        <w:t> </w:t>
      </w:r>
      <w:r>
        <w:rPr/>
        <w:t>‘Comissão do Workflow”. O nome do</w:t>
      </w:r>
      <w:r>
        <w:rPr>
          <w:spacing w:val="-1"/>
        </w:rPr>
        <w:t> </w:t>
      </w:r>
      <w:r>
        <w:rPr/>
        <w:t>Comitê de Investimentos também foi sugerido como</w:t>
      </w:r>
      <w:r>
        <w:rPr>
          <w:spacing w:val="40"/>
        </w:rPr>
        <w:t> </w:t>
      </w:r>
      <w:r>
        <w:rPr/>
        <w:t>“COMVEST” ou “CMINVEST”, a ser definido pela referida comissão. Em assuntos gerais, houve um amplo debate sobre a questão do equilíbrio financeiro e atuarial do Instituto. Neste item, a gestora previdenciária, Adriana Catarina, sugeriu a presença do atuário, numa reunião extraordinária do Comitê, para que ele apresente o estudo atuarial, argumentando que as funções deste Comitê são intimamente ligadas a tal estudo, tendo em vista que o percentual de atingimento da meta atuarial anual vai influenciar no cálculo de déficit/superávit atuarial, razão pela qual, considerando o nível de profissionalização dos membros integrantes desta instância, sugere que novos estudos sejam sempre apresentados e discutidos também com este Comitê, antes mesmo de disponibilização em outros meios. Solicita, ainda, que nesta reunião ele esclareça quanto à viabilidade da troca do índice que utilizamos para atingimento da meta atuarial, tendo em vista que, até o presente momento,</w:t>
      </w:r>
      <w:r>
        <w:rPr>
          <w:spacing w:val="36"/>
        </w:rPr>
        <w:t> </w:t>
      </w:r>
      <w:r>
        <w:rPr/>
        <w:t>não</w:t>
      </w:r>
      <w:r>
        <w:rPr>
          <w:spacing w:val="34"/>
        </w:rPr>
        <w:t> </w:t>
      </w:r>
      <w:r>
        <w:rPr/>
        <w:t>obtivemos</w:t>
      </w:r>
      <w:r>
        <w:rPr>
          <w:spacing w:val="36"/>
        </w:rPr>
        <w:t> </w:t>
      </w:r>
      <w:r>
        <w:rPr/>
        <w:t>a</w:t>
      </w:r>
      <w:r>
        <w:rPr>
          <w:spacing w:val="33"/>
        </w:rPr>
        <w:t> </w:t>
      </w:r>
      <w:r>
        <w:rPr/>
        <w:t>resposta</w:t>
      </w:r>
      <w:r>
        <w:rPr>
          <w:spacing w:val="35"/>
        </w:rPr>
        <w:t> </w:t>
      </w:r>
      <w:r>
        <w:rPr/>
        <w:t>solicitada</w:t>
      </w:r>
      <w:r>
        <w:rPr>
          <w:spacing w:val="35"/>
        </w:rPr>
        <w:t> </w:t>
      </w:r>
      <w:r>
        <w:rPr/>
        <w:t>por</w:t>
      </w:r>
      <w:r>
        <w:rPr>
          <w:spacing w:val="34"/>
        </w:rPr>
        <w:t> </w:t>
      </w:r>
      <w:r>
        <w:rPr/>
        <w:t>email.</w:t>
      </w:r>
      <w:r>
        <w:rPr>
          <w:spacing w:val="38"/>
        </w:rPr>
        <w:t> </w:t>
      </w:r>
      <w:r>
        <w:rPr/>
        <w:t>A</w:t>
      </w:r>
      <w:r>
        <w:rPr>
          <w:spacing w:val="35"/>
        </w:rPr>
        <w:t> </w:t>
      </w:r>
      <w:r>
        <w:rPr/>
        <w:t>gestora</w:t>
      </w:r>
      <w:r>
        <w:rPr>
          <w:spacing w:val="35"/>
        </w:rPr>
        <w:t> </w:t>
      </w:r>
      <w:r>
        <w:rPr/>
        <w:t>Carla</w:t>
      </w:r>
      <w:r>
        <w:rPr>
          <w:spacing w:val="35"/>
        </w:rPr>
        <w:t> </w:t>
      </w:r>
      <w:r>
        <w:rPr/>
        <w:t>Cristina</w:t>
      </w:r>
      <w:r>
        <w:rPr>
          <w:spacing w:val="35"/>
        </w:rPr>
        <w:t> </w:t>
      </w:r>
      <w:r>
        <w:rPr/>
        <w:t>também</w:t>
      </w:r>
    </w:p>
    <w:p>
      <w:pPr>
        <w:pStyle w:val="BodyText"/>
        <w:spacing w:after="0" w:line="360" w:lineRule="auto"/>
        <w:jc w:val="both"/>
        <w:sectPr>
          <w:pgSz w:w="12240" w:h="15840"/>
          <w:pgMar w:header="952" w:footer="1565" w:top="1880" w:bottom="1760" w:left="1800" w:right="1080"/>
        </w:sectPr>
      </w:pPr>
    </w:p>
    <w:p>
      <w:pPr>
        <w:pStyle w:val="BodyText"/>
        <w:spacing w:before="177"/>
      </w:pPr>
    </w:p>
    <w:p>
      <w:pPr>
        <w:pStyle w:val="BodyText"/>
        <w:spacing w:line="360" w:lineRule="auto"/>
        <w:ind w:left="188" w:right="24"/>
        <w:jc w:val="both"/>
      </w:pPr>
      <w:r>
        <w:rPr/>
        <w:t>falou da importância da presença do atuário para sanar algumas dúvidas sobre as receitas previdenciárias</w:t>
      </w:r>
      <w:r>
        <w:rPr>
          <w:spacing w:val="-3"/>
        </w:rPr>
        <w:t> </w:t>
      </w:r>
      <w:r>
        <w:rPr/>
        <w:t>contidas</w:t>
      </w:r>
      <w:r>
        <w:rPr>
          <w:spacing w:val="-3"/>
        </w:rPr>
        <w:t> </w:t>
      </w:r>
      <w:r>
        <w:rPr/>
        <w:t>na</w:t>
      </w:r>
      <w:r>
        <w:rPr>
          <w:spacing w:val="-6"/>
        </w:rPr>
        <w:t> </w:t>
      </w:r>
      <w:r>
        <w:rPr/>
        <w:t>projeção</w:t>
      </w:r>
      <w:r>
        <w:rPr>
          <w:spacing w:val="-4"/>
        </w:rPr>
        <w:t> </w:t>
      </w:r>
      <w:r>
        <w:rPr/>
        <w:t>atuarial</w:t>
      </w:r>
      <w:r>
        <w:rPr>
          <w:spacing w:val="-2"/>
        </w:rPr>
        <w:t> </w:t>
      </w:r>
      <w:r>
        <w:rPr/>
        <w:t>publicada</w:t>
      </w:r>
      <w:r>
        <w:rPr>
          <w:spacing w:val="-4"/>
        </w:rPr>
        <w:t> </w:t>
      </w:r>
      <w:r>
        <w:rPr/>
        <w:t>no</w:t>
      </w:r>
      <w:r>
        <w:rPr>
          <w:spacing w:val="-5"/>
        </w:rPr>
        <w:t> </w:t>
      </w:r>
      <w:r>
        <w:rPr/>
        <w:t>Diário</w:t>
      </w:r>
      <w:r>
        <w:rPr>
          <w:spacing w:val="-4"/>
        </w:rPr>
        <w:t> </w:t>
      </w:r>
      <w:r>
        <w:rPr/>
        <w:t>Oficial</w:t>
      </w:r>
      <w:r>
        <w:rPr>
          <w:spacing w:val="-2"/>
        </w:rPr>
        <w:t> </w:t>
      </w:r>
      <w:r>
        <w:rPr/>
        <w:t>como</w:t>
      </w:r>
      <w:r>
        <w:rPr>
          <w:spacing w:val="-4"/>
        </w:rPr>
        <w:t> </w:t>
      </w:r>
      <w:r>
        <w:rPr/>
        <w:t>anexo</w:t>
      </w:r>
      <w:r>
        <w:rPr>
          <w:spacing w:val="-4"/>
        </w:rPr>
        <w:t> </w:t>
      </w:r>
      <w:r>
        <w:rPr/>
        <w:t>da</w:t>
      </w:r>
      <w:r>
        <w:rPr>
          <w:spacing w:val="-6"/>
        </w:rPr>
        <w:t> </w:t>
      </w:r>
      <w:r>
        <w:rPr/>
        <w:t>Lei</w:t>
      </w:r>
      <w:r>
        <w:rPr>
          <w:spacing w:val="-4"/>
        </w:rPr>
        <w:t> </w:t>
      </w:r>
      <w:r>
        <w:rPr/>
        <w:t>de Diretrizes Orçamentárias. O Diretor Financeiro disse que vai solicitar ao Presidente a presença do</w:t>
      </w:r>
      <w:r>
        <w:rPr>
          <w:spacing w:val="-2"/>
        </w:rPr>
        <w:t> </w:t>
      </w:r>
      <w:r>
        <w:rPr/>
        <w:t>atuário na</w:t>
      </w:r>
      <w:r>
        <w:rPr>
          <w:spacing w:val="-1"/>
        </w:rPr>
        <w:t> </w:t>
      </w:r>
      <w:r>
        <w:rPr/>
        <w:t>reunião extraordinária do</w:t>
      </w:r>
      <w:r>
        <w:rPr>
          <w:spacing w:val="-2"/>
        </w:rPr>
        <w:t> </w:t>
      </w:r>
      <w:r>
        <w:rPr/>
        <w:t>Comitê e</w:t>
      </w:r>
      <w:r>
        <w:rPr>
          <w:spacing w:val="-1"/>
        </w:rPr>
        <w:t> </w:t>
      </w:r>
      <w:r>
        <w:rPr/>
        <w:t>também relatou que</w:t>
      </w:r>
      <w:r>
        <w:rPr>
          <w:spacing w:val="-1"/>
        </w:rPr>
        <w:t> </w:t>
      </w:r>
      <w:r>
        <w:rPr/>
        <w:t>foi</w:t>
      </w:r>
      <w:r>
        <w:rPr>
          <w:spacing w:val="-1"/>
        </w:rPr>
        <w:t> </w:t>
      </w:r>
      <w:r>
        <w:rPr/>
        <w:t>formado um</w:t>
      </w:r>
      <w:r>
        <w:rPr>
          <w:spacing w:val="-1"/>
        </w:rPr>
        <w:t> </w:t>
      </w:r>
      <w:r>
        <w:rPr/>
        <w:t>grupo</w:t>
      </w:r>
      <w:r>
        <w:rPr>
          <w:spacing w:val="-2"/>
        </w:rPr>
        <w:t> </w:t>
      </w:r>
      <w:r>
        <w:rPr/>
        <w:t>de trabalho com alguns servidores do INPAS para discutirem, conjuntamente com o Poder Executivo, soluções para o desequilíbrio financeiro e atuarial do Instituto. Quanto ao credenciamento das instituições financeiras, a gestora previdenciária, Carla Cristina, informou que já fez uma prévia análise dos processos do Banco Itaú e da CEF, juntamente com as servidoras Claudia e Michele. Nessa análise foram anotados os documentos faltantes. No entanto, sugeriu que somente após todos os membros analisarem os processos é que</w:t>
      </w:r>
      <w:r>
        <w:rPr>
          <w:spacing w:val="-2"/>
        </w:rPr>
        <w:t> </w:t>
      </w:r>
      <w:r>
        <w:rPr/>
        <w:t>deverá ser encaminhada, no mesmo dia, uma correspondência oficial às instituições financeiras para que elas façam as adequações pertinentes. Tal proposta foi aprovada pelo Comitê. Sendo assim, os citados processos de credenciamento da CEF e do Banco Itaú foram entregues ao Diretor Financeiro para análise. O processo do Banco do Brasil ainda está sendo analisado pela servidora Adriana Catarina. Sem mais, a Presidente encerrou a reunião às 12 horas e 05 minutos, e a presente Ata segue lavrada por mim, Carla Maduro Vogas Tavares, Secretária deste Comitê, que a submeterei à aprovação dos demais membros e devidamente colherei suas </w:t>
      </w:r>
      <w:r>
        <w:rPr>
          <w:spacing w:val="-2"/>
        </w:rPr>
        <w:t>assinaturas.</w:t>
      </w:r>
    </w:p>
    <w:p>
      <w:pPr>
        <w:pStyle w:val="BodyText"/>
        <w:spacing w:before="151"/>
        <w:rPr>
          <w:sz w:val="20"/>
        </w:rPr>
      </w:pPr>
    </w:p>
    <w:p>
      <w:pPr>
        <w:pStyle w:val="BodyText"/>
        <w:spacing w:after="0"/>
        <w:rPr>
          <w:sz w:val="20"/>
        </w:rPr>
        <w:sectPr>
          <w:pgSz w:w="12240" w:h="15840"/>
          <w:pgMar w:header="952" w:footer="1565" w:top="1880" w:bottom="1760" w:left="1800" w:right="1080"/>
        </w:sectPr>
      </w:pPr>
    </w:p>
    <w:p>
      <w:pPr>
        <w:pStyle w:val="BodyText"/>
        <w:spacing w:line="360" w:lineRule="auto" w:before="90"/>
        <w:ind w:left="574" w:right="38" w:firstLine="566"/>
      </w:pPr>
      <w:r>
        <w:rPr/>
        <w:t>Lucimar Glória Gomes Chefe</w:t>
      </w:r>
      <w:r>
        <w:rPr>
          <w:spacing w:val="-12"/>
        </w:rPr>
        <w:t> </w:t>
      </w:r>
      <w:r>
        <w:rPr/>
        <w:t>da</w:t>
      </w:r>
      <w:r>
        <w:rPr>
          <w:spacing w:val="-10"/>
        </w:rPr>
        <w:t> </w:t>
      </w:r>
      <w:r>
        <w:rPr/>
        <w:t>Divisão</w:t>
      </w:r>
      <w:r>
        <w:rPr>
          <w:spacing w:val="-11"/>
        </w:rPr>
        <w:t> </w:t>
      </w:r>
      <w:r>
        <w:rPr/>
        <w:t>de</w:t>
      </w:r>
      <w:r>
        <w:rPr>
          <w:spacing w:val="-12"/>
        </w:rPr>
        <w:t> </w:t>
      </w:r>
      <w:r>
        <w:rPr/>
        <w:t>Contabilidade</w:t>
      </w:r>
    </w:p>
    <w:p>
      <w:pPr>
        <w:pStyle w:val="BodyText"/>
        <w:ind w:left="1752"/>
      </w:pPr>
      <w:r>
        <w:rPr>
          <w:spacing w:val="-2"/>
        </w:rPr>
        <w:t>Presidente</w:t>
      </w:r>
    </w:p>
    <w:p>
      <w:pPr>
        <w:pStyle w:val="BodyText"/>
        <w:spacing w:line="360" w:lineRule="auto" w:before="90"/>
        <w:ind w:left="240" w:right="202"/>
        <w:jc w:val="center"/>
      </w:pPr>
      <w:r>
        <w:rPr/>
        <w:br w:type="column"/>
      </w:r>
      <w:r>
        <w:rPr/>
        <w:t>Carla</w:t>
      </w:r>
      <w:r>
        <w:rPr>
          <w:spacing w:val="-8"/>
        </w:rPr>
        <w:t> </w:t>
      </w:r>
      <w:r>
        <w:rPr/>
        <w:t>Cristina</w:t>
      </w:r>
      <w:r>
        <w:rPr>
          <w:spacing w:val="-9"/>
        </w:rPr>
        <w:t> </w:t>
      </w:r>
      <w:r>
        <w:rPr/>
        <w:t>Correia</w:t>
      </w:r>
      <w:r>
        <w:rPr>
          <w:spacing w:val="-8"/>
        </w:rPr>
        <w:t> </w:t>
      </w:r>
      <w:r>
        <w:rPr/>
        <w:t>M.</w:t>
      </w:r>
      <w:r>
        <w:rPr>
          <w:spacing w:val="-9"/>
        </w:rPr>
        <w:t> </w:t>
      </w:r>
      <w:r>
        <w:rPr/>
        <w:t>V.</w:t>
      </w:r>
      <w:r>
        <w:rPr>
          <w:spacing w:val="-9"/>
        </w:rPr>
        <w:t> </w:t>
      </w:r>
      <w:r>
        <w:rPr/>
        <w:t>Tavares Gestora Previdenciária</w:t>
      </w:r>
    </w:p>
    <w:p>
      <w:pPr>
        <w:pStyle w:val="BodyText"/>
        <w:ind w:left="240" w:right="258"/>
        <w:jc w:val="center"/>
      </w:pPr>
      <w:r>
        <w:rPr>
          <w:spacing w:val="-2"/>
        </w:rPr>
        <w:t>Secretária</w:t>
      </w:r>
    </w:p>
    <w:p>
      <w:pPr>
        <w:pStyle w:val="BodyText"/>
        <w:spacing w:after="0"/>
        <w:jc w:val="center"/>
        <w:sectPr>
          <w:type w:val="continuous"/>
          <w:pgSz w:w="12240" w:h="15840"/>
          <w:pgMar w:header="952" w:footer="1565" w:top="1880" w:bottom="1760" w:left="1800" w:right="1080"/>
          <w:cols w:num="2" w:equalWidth="0">
            <w:col w:w="3968" w:space="720"/>
            <w:col w:w="4672"/>
          </w:cols>
        </w:sectPr>
      </w:pPr>
    </w:p>
    <w:p>
      <w:pPr>
        <w:pStyle w:val="BodyText"/>
        <w:spacing w:before="204"/>
        <w:rPr>
          <w:sz w:val="20"/>
        </w:rPr>
      </w:pPr>
    </w:p>
    <w:p>
      <w:pPr>
        <w:pStyle w:val="BodyText"/>
        <w:spacing w:after="0"/>
        <w:rPr>
          <w:sz w:val="20"/>
        </w:rPr>
        <w:sectPr>
          <w:type w:val="continuous"/>
          <w:pgSz w:w="12240" w:h="15840"/>
          <w:pgMar w:header="952" w:footer="1565" w:top="1880" w:bottom="1760" w:left="1800" w:right="1080"/>
        </w:sectPr>
      </w:pPr>
    </w:p>
    <w:p>
      <w:pPr>
        <w:pStyle w:val="BodyText"/>
        <w:spacing w:line="360" w:lineRule="auto" w:before="90"/>
        <w:ind w:left="1362" w:right="38" w:hanging="302"/>
      </w:pPr>
      <w:r>
        <w:rPr/>
        <w:t>Robson</w:t>
      </w:r>
      <w:r>
        <w:rPr>
          <w:spacing w:val="-14"/>
        </w:rPr>
        <w:t> </w:t>
      </w:r>
      <w:r>
        <w:rPr/>
        <w:t>Carneiro</w:t>
      </w:r>
      <w:r>
        <w:rPr>
          <w:spacing w:val="-13"/>
        </w:rPr>
        <w:t> </w:t>
      </w:r>
      <w:r>
        <w:rPr/>
        <w:t>da</w:t>
      </w:r>
      <w:r>
        <w:rPr>
          <w:spacing w:val="-13"/>
        </w:rPr>
        <w:t> </w:t>
      </w:r>
      <w:r>
        <w:rPr/>
        <w:t>Cruz Diretor Financeiro</w:t>
      </w:r>
    </w:p>
    <w:p>
      <w:pPr>
        <w:pStyle w:val="BodyText"/>
        <w:spacing w:line="360" w:lineRule="auto" w:before="90"/>
        <w:ind w:left="1078" w:right="1099" w:hanging="18"/>
      </w:pPr>
      <w:r>
        <w:rPr/>
        <w:br w:type="column"/>
      </w:r>
      <w:r>
        <w:rPr/>
        <w:t>Michele</w:t>
      </w:r>
      <w:r>
        <w:rPr>
          <w:spacing w:val="-1"/>
        </w:rPr>
        <w:t> </w:t>
      </w:r>
      <w:r>
        <w:rPr/>
        <w:t>Schifller Forster Gestora</w:t>
      </w:r>
      <w:r>
        <w:rPr>
          <w:spacing w:val="-3"/>
        </w:rPr>
        <w:t> </w:t>
      </w:r>
      <w:r>
        <w:rPr/>
        <w:t>de</w:t>
      </w:r>
      <w:r>
        <w:rPr>
          <w:spacing w:val="-4"/>
        </w:rPr>
        <w:t> </w:t>
      </w:r>
      <w:r>
        <w:rPr>
          <w:spacing w:val="-2"/>
        </w:rPr>
        <w:t>Investimentos</w:t>
      </w:r>
    </w:p>
    <w:p>
      <w:pPr>
        <w:pStyle w:val="BodyText"/>
        <w:spacing w:after="0" w:line="360" w:lineRule="auto"/>
        <w:sectPr>
          <w:type w:val="continuous"/>
          <w:pgSz w:w="12240" w:h="15840"/>
          <w:pgMar w:header="952" w:footer="1565" w:top="1880" w:bottom="1760" w:left="1800" w:right="1080"/>
          <w:cols w:num="2" w:equalWidth="0">
            <w:col w:w="3545" w:space="1203"/>
            <w:col w:w="4612"/>
          </w:cols>
        </w:sectPr>
      </w:pPr>
    </w:p>
    <w:p>
      <w:pPr>
        <w:pStyle w:val="BodyText"/>
        <w:spacing w:before="110"/>
      </w:pPr>
    </w:p>
    <w:p>
      <w:pPr>
        <w:pStyle w:val="BodyText"/>
        <w:spacing w:line="360" w:lineRule="auto"/>
        <w:ind w:left="1156" w:right="5151" w:hanging="172"/>
      </w:pPr>
      <w:r>
        <w:rPr/>
        <w:t>Adriana</w:t>
      </w:r>
      <w:r>
        <w:rPr>
          <w:spacing w:val="-14"/>
        </w:rPr>
        <w:t> </w:t>
      </w:r>
      <w:r>
        <w:rPr/>
        <w:t>Catarina</w:t>
      </w:r>
      <w:r>
        <w:rPr>
          <w:spacing w:val="-12"/>
        </w:rPr>
        <w:t> </w:t>
      </w:r>
      <w:r>
        <w:rPr/>
        <w:t>da</w:t>
      </w:r>
      <w:r>
        <w:rPr>
          <w:spacing w:val="-15"/>
        </w:rPr>
        <w:t> </w:t>
      </w:r>
      <w:r>
        <w:rPr/>
        <w:t>Costa Gestora Previdenciária</w:t>
      </w:r>
    </w:p>
    <w:p>
      <w:pPr>
        <w:pStyle w:val="BodyText"/>
        <w:spacing w:after="0" w:line="360" w:lineRule="auto"/>
        <w:sectPr>
          <w:type w:val="continuous"/>
          <w:pgSz w:w="12240" w:h="15840"/>
          <w:pgMar w:header="952" w:footer="1565" w:top="1880" w:bottom="1760" w:left="1800" w:right="1080"/>
        </w:sectPr>
      </w:pPr>
    </w:p>
    <w:p>
      <w:pPr>
        <w:pStyle w:val="BodyText"/>
        <w:spacing w:before="4"/>
        <w:rPr>
          <w:sz w:val="17"/>
        </w:rPr>
      </w:pPr>
    </w:p>
    <w:sectPr>
      <w:pgSz w:w="12240" w:h="15840"/>
      <w:pgMar w:header="952" w:footer="1565" w:top="1880" w:bottom="1760" w:left="18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7904">
              <wp:simplePos x="0" y="0"/>
              <wp:positionH relativeFrom="page">
                <wp:posOffset>1652270</wp:posOffset>
              </wp:positionH>
              <wp:positionV relativeFrom="page">
                <wp:posOffset>8925150</wp:posOffset>
              </wp:positionV>
              <wp:extent cx="3363595" cy="3962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63595" cy="396240"/>
                      </a:xfrm>
                      <a:prstGeom prst="rect">
                        <a:avLst/>
                      </a:prstGeom>
                    </wps:spPr>
                    <wps:txbx>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3"/>
                              <w:sz w:val="12"/>
                            </w:rPr>
                            <w:t> </w:t>
                          </w:r>
                          <w:r>
                            <w:rPr>
                              <w:rFonts w:ascii="Verdana" w:hAnsi="Verdana"/>
                              <w:sz w:val="12"/>
                            </w:rPr>
                            <w:t>Lima,</w:t>
                          </w:r>
                          <w:r>
                            <w:rPr>
                              <w:rFonts w:ascii="Verdana" w:hAnsi="Verdana"/>
                              <w:spacing w:val="-1"/>
                              <w:sz w:val="12"/>
                            </w:rPr>
                            <w:t> </w:t>
                          </w:r>
                          <w:r>
                            <w:rPr>
                              <w:rFonts w:ascii="Verdana" w:hAnsi="Verdana"/>
                              <w:sz w:val="12"/>
                            </w:rPr>
                            <w:t>35</w:t>
                          </w:r>
                          <w:r>
                            <w:rPr>
                              <w:rFonts w:ascii="Verdana" w:hAnsi="Verdana"/>
                              <w:spacing w:val="-4"/>
                              <w:sz w:val="12"/>
                            </w:rPr>
                            <w:t> </w:t>
                          </w:r>
                          <w:r>
                            <w:rPr>
                              <w:rFonts w:ascii="Verdana" w:hAnsi="Verdana"/>
                              <w:sz w:val="12"/>
                            </w:rPr>
                            <w:t>–</w:t>
                          </w:r>
                          <w:r>
                            <w:rPr>
                              <w:rFonts w:ascii="Verdana" w:hAnsi="Verdana"/>
                              <w:spacing w:val="-2"/>
                              <w:sz w:val="12"/>
                            </w:rPr>
                            <w:t> </w:t>
                          </w:r>
                          <w:r>
                            <w:rPr>
                              <w:rFonts w:ascii="Verdana" w:hAnsi="Verdana"/>
                              <w:sz w:val="12"/>
                            </w:rPr>
                            <w:t>salas</w:t>
                          </w:r>
                          <w:r>
                            <w:rPr>
                              <w:rFonts w:ascii="Verdana" w:hAnsi="Verdana"/>
                              <w:spacing w:val="-4"/>
                              <w:sz w:val="12"/>
                            </w:rPr>
                            <w:t> </w:t>
                          </w:r>
                          <w:r>
                            <w:rPr>
                              <w:rFonts w:ascii="Verdana" w:hAnsi="Verdana"/>
                              <w:sz w:val="12"/>
                            </w:rPr>
                            <w:t>101/115 -</w:t>
                          </w:r>
                          <w:r>
                            <w:rPr>
                              <w:rFonts w:ascii="Verdana" w:hAnsi="Verdana"/>
                              <w:spacing w:val="-4"/>
                              <w:sz w:val="12"/>
                            </w:rPr>
                            <w:t> </w:t>
                          </w:r>
                          <w:r>
                            <w:rPr>
                              <w:rFonts w:ascii="Verdana" w:hAnsi="Verdana"/>
                              <w:sz w:val="12"/>
                            </w:rPr>
                            <w:t>Centro</w:t>
                          </w:r>
                          <w:r>
                            <w:rPr>
                              <w:rFonts w:ascii="Verdana" w:hAnsi="Verdana"/>
                              <w:spacing w:val="-3"/>
                              <w:sz w:val="12"/>
                            </w:rPr>
                            <w:t> </w:t>
                          </w:r>
                          <w:r>
                            <w:rPr>
                              <w:rFonts w:ascii="Verdana" w:hAnsi="Verdana"/>
                              <w:sz w:val="12"/>
                            </w:rPr>
                            <w:t>-</w:t>
                          </w:r>
                          <w:r>
                            <w:rPr>
                              <w:rFonts w:ascii="Verdana" w:hAnsi="Verdana"/>
                              <w:spacing w:val="-4"/>
                              <w:sz w:val="12"/>
                            </w:rPr>
                            <w:t> </w:t>
                          </w:r>
                          <w:r>
                            <w:rPr>
                              <w:rFonts w:ascii="Verdana" w:hAnsi="Verdana"/>
                              <w:sz w:val="12"/>
                            </w:rPr>
                            <w:t>Petrópolis</w:t>
                          </w:r>
                          <w:r>
                            <w:rPr>
                              <w:rFonts w:ascii="Verdana" w:hAnsi="Verdana"/>
                              <w:spacing w:val="-2"/>
                              <w:sz w:val="12"/>
                            </w:rPr>
                            <w:t> </w:t>
                          </w:r>
                          <w:r>
                            <w:rPr>
                              <w:rFonts w:ascii="Verdana" w:hAnsi="Verdana"/>
                              <w:sz w:val="12"/>
                            </w:rPr>
                            <w:t>-</w:t>
                          </w:r>
                          <w:r>
                            <w:rPr>
                              <w:rFonts w:ascii="Verdana" w:hAnsi="Verdana"/>
                              <w:spacing w:val="-2"/>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4"/>
                              <w:sz w:val="12"/>
                            </w:rPr>
                            <w:t> </w:t>
                          </w:r>
                          <w:r>
                            <w:rPr>
                              <w:rFonts w:ascii="Verdana" w:hAnsi="Verdana"/>
                              <w:sz w:val="12"/>
                            </w:rPr>
                            <w:t>25620-050 CNPJ 31.157.589/0001-60 - tel.: (24) 2220-9200</w:t>
                          </w:r>
                        </w:p>
                        <w:p>
                          <w:pPr>
                            <w:spacing w:before="0"/>
                            <w:ind w:left="352" w:right="347" w:firstLine="0"/>
                            <w:jc w:val="center"/>
                            <w:rPr>
                              <w:rFonts w:ascii="Verdana" w:hAnsi="Verdana"/>
                              <w:sz w:val="12"/>
                            </w:rPr>
                          </w:pPr>
                          <w:r>
                            <w:rPr>
                              <w:rFonts w:ascii="Verdana" w:hAnsi="Verdana"/>
                              <w:sz w:val="12"/>
                            </w:rPr>
                            <w:t>DAF-</w:t>
                          </w:r>
                          <w:r>
                            <w:rPr>
                              <w:rFonts w:ascii="Verdana" w:hAnsi="Verdana"/>
                              <w:spacing w:val="-6"/>
                              <w:sz w:val="12"/>
                            </w:rPr>
                            <w:t> </w:t>
                          </w:r>
                          <w:r>
                            <w:rPr>
                              <w:rFonts w:ascii="Verdana" w:hAnsi="Verdana"/>
                              <w:sz w:val="12"/>
                            </w:rPr>
                            <w:t>Diretoria</w:t>
                          </w:r>
                          <w:r>
                            <w:rPr>
                              <w:rFonts w:ascii="Verdana" w:hAnsi="Verdana"/>
                              <w:spacing w:val="-8"/>
                              <w:sz w:val="12"/>
                            </w:rPr>
                            <w:t> </w:t>
                          </w:r>
                          <w:r>
                            <w:rPr>
                              <w:rFonts w:ascii="Verdana" w:hAnsi="Verdana"/>
                              <w:sz w:val="12"/>
                            </w:rPr>
                            <w:t>de</w:t>
                          </w:r>
                          <w:r>
                            <w:rPr>
                              <w:rFonts w:ascii="Verdana" w:hAnsi="Verdana"/>
                              <w:spacing w:val="-5"/>
                              <w:sz w:val="12"/>
                            </w:rPr>
                            <w:t> </w:t>
                          </w:r>
                          <w:r>
                            <w:rPr>
                              <w:rFonts w:ascii="Verdana" w:hAnsi="Verdana"/>
                              <w:sz w:val="12"/>
                            </w:rPr>
                            <w:t>Administração</w:t>
                          </w:r>
                          <w:r>
                            <w:rPr>
                              <w:rFonts w:ascii="Verdana" w:hAnsi="Verdana"/>
                              <w:spacing w:val="-7"/>
                              <w:sz w:val="12"/>
                            </w:rPr>
                            <w:t> </w:t>
                          </w:r>
                          <w:r>
                            <w:rPr>
                              <w:rFonts w:ascii="Verdana" w:hAnsi="Verdana"/>
                              <w:sz w:val="12"/>
                            </w:rPr>
                            <w:t>e</w:t>
                          </w:r>
                          <w:r>
                            <w:rPr>
                              <w:rFonts w:ascii="Verdana" w:hAnsi="Verdana"/>
                              <w:spacing w:val="-7"/>
                              <w:sz w:val="12"/>
                            </w:rPr>
                            <w:t> </w:t>
                          </w:r>
                          <w:r>
                            <w:rPr>
                              <w:rFonts w:ascii="Verdana" w:hAnsi="Verdana"/>
                              <w:sz w:val="12"/>
                            </w:rPr>
                            <w:t>Finanças.</w:t>
                          </w:r>
                          <w:r>
                            <w:rPr>
                              <w:rFonts w:ascii="Verdana" w:hAnsi="Verdana"/>
                              <w:spacing w:val="-5"/>
                              <w:sz w:val="12"/>
                            </w:rPr>
                            <w:t> </w:t>
                          </w:r>
                          <w:r>
                            <w:rPr>
                              <w:rFonts w:ascii="Verdana" w:hAnsi="Verdana"/>
                              <w:sz w:val="12"/>
                            </w:rPr>
                            <w:t>E-mail:</w:t>
                          </w:r>
                          <w:r>
                            <w:rPr>
                              <w:rFonts w:ascii="Verdana" w:hAnsi="Verdana"/>
                              <w:spacing w:val="-5"/>
                              <w:sz w:val="12"/>
                            </w:rPr>
                            <w:t> </w:t>
                          </w:r>
                          <w:hyperlink r:id="rId1">
                            <w:r>
                              <w:rPr>
                                <w:rFonts w:ascii="Verdana" w:hAnsi="Verdana"/>
                                <w:color w:val="0000FF"/>
                                <w:sz w:val="12"/>
                                <w:u w:val="single" w:color="0000FF"/>
                              </w:rPr>
                              <w:t>daf@inpas.rj.gov.br</w:t>
                            </w:r>
                          </w:hyperlink>
                          <w:r>
                            <w:rPr>
                              <w:rFonts w:ascii="Verdana" w:hAnsi="Verdana"/>
                              <w:color w:val="0000FF"/>
                              <w:sz w:val="12"/>
                            </w:rPr>
                            <w:t> </w:t>
                          </w:r>
                          <w:r>
                            <w:rPr>
                              <w:rFonts w:ascii="Verdana" w:hAnsi="Verdana"/>
                              <w:sz w:val="12"/>
                            </w:rPr>
                            <w:t>Site:</w:t>
                          </w:r>
                          <w:r>
                            <w:rPr>
                              <w:rFonts w:ascii="Verdana" w:hAnsi="Verdana"/>
                              <w:spacing w:val="-1"/>
                              <w:sz w:val="12"/>
                            </w:rPr>
                            <w:t> </w:t>
                          </w:r>
                          <w:hyperlink r:id="rId2">
                            <w:r>
                              <w:rPr>
                                <w:rFonts w:ascii="Verdana" w:hAnsi="Verdana"/>
                                <w:color w:val="0000FF"/>
                                <w:sz w:val="12"/>
                                <w:u w:val="single" w:color="0000FF"/>
                              </w:rPr>
                              <w:t>www.inpas.rj.gov.br</w:t>
                            </w:r>
                          </w:hyperlink>
                        </w:p>
                      </w:txbxContent>
                    </wps:txbx>
                    <wps:bodyPr wrap="square" lIns="0" tIns="0" rIns="0" bIns="0" rtlCol="0">
                      <a:noAutofit/>
                    </wps:bodyPr>
                  </wps:wsp>
                </a:graphicData>
              </a:graphic>
            </wp:anchor>
          </w:drawing>
        </mc:Choice>
        <mc:Fallback>
          <w:pict>
            <v:shape style="position:absolute;margin-left:130.100006pt;margin-top:702.767761pt;width:264.850pt;height:31.2pt;mso-position-horizontal-relative:page;mso-position-vertical-relative:page;z-index:-15768576" type="#_x0000_t202" id="docshape2" filled="false" stroked="false">
              <v:textbox inset="0,0,0,0">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3"/>
                        <w:sz w:val="12"/>
                      </w:rPr>
                      <w:t> </w:t>
                    </w:r>
                    <w:r>
                      <w:rPr>
                        <w:rFonts w:ascii="Verdana" w:hAnsi="Verdana"/>
                        <w:sz w:val="12"/>
                      </w:rPr>
                      <w:t>Lima,</w:t>
                    </w:r>
                    <w:r>
                      <w:rPr>
                        <w:rFonts w:ascii="Verdana" w:hAnsi="Verdana"/>
                        <w:spacing w:val="-1"/>
                        <w:sz w:val="12"/>
                      </w:rPr>
                      <w:t> </w:t>
                    </w:r>
                    <w:r>
                      <w:rPr>
                        <w:rFonts w:ascii="Verdana" w:hAnsi="Verdana"/>
                        <w:sz w:val="12"/>
                      </w:rPr>
                      <w:t>35</w:t>
                    </w:r>
                    <w:r>
                      <w:rPr>
                        <w:rFonts w:ascii="Verdana" w:hAnsi="Verdana"/>
                        <w:spacing w:val="-4"/>
                        <w:sz w:val="12"/>
                      </w:rPr>
                      <w:t> </w:t>
                    </w:r>
                    <w:r>
                      <w:rPr>
                        <w:rFonts w:ascii="Verdana" w:hAnsi="Verdana"/>
                        <w:sz w:val="12"/>
                      </w:rPr>
                      <w:t>–</w:t>
                    </w:r>
                    <w:r>
                      <w:rPr>
                        <w:rFonts w:ascii="Verdana" w:hAnsi="Verdana"/>
                        <w:spacing w:val="-2"/>
                        <w:sz w:val="12"/>
                      </w:rPr>
                      <w:t> </w:t>
                    </w:r>
                    <w:r>
                      <w:rPr>
                        <w:rFonts w:ascii="Verdana" w:hAnsi="Verdana"/>
                        <w:sz w:val="12"/>
                      </w:rPr>
                      <w:t>salas</w:t>
                    </w:r>
                    <w:r>
                      <w:rPr>
                        <w:rFonts w:ascii="Verdana" w:hAnsi="Verdana"/>
                        <w:spacing w:val="-4"/>
                        <w:sz w:val="12"/>
                      </w:rPr>
                      <w:t> </w:t>
                    </w:r>
                    <w:r>
                      <w:rPr>
                        <w:rFonts w:ascii="Verdana" w:hAnsi="Verdana"/>
                        <w:sz w:val="12"/>
                      </w:rPr>
                      <w:t>101/115 -</w:t>
                    </w:r>
                    <w:r>
                      <w:rPr>
                        <w:rFonts w:ascii="Verdana" w:hAnsi="Verdana"/>
                        <w:spacing w:val="-4"/>
                        <w:sz w:val="12"/>
                      </w:rPr>
                      <w:t> </w:t>
                    </w:r>
                    <w:r>
                      <w:rPr>
                        <w:rFonts w:ascii="Verdana" w:hAnsi="Verdana"/>
                        <w:sz w:val="12"/>
                      </w:rPr>
                      <w:t>Centro</w:t>
                    </w:r>
                    <w:r>
                      <w:rPr>
                        <w:rFonts w:ascii="Verdana" w:hAnsi="Verdana"/>
                        <w:spacing w:val="-3"/>
                        <w:sz w:val="12"/>
                      </w:rPr>
                      <w:t> </w:t>
                    </w:r>
                    <w:r>
                      <w:rPr>
                        <w:rFonts w:ascii="Verdana" w:hAnsi="Verdana"/>
                        <w:sz w:val="12"/>
                      </w:rPr>
                      <w:t>-</w:t>
                    </w:r>
                    <w:r>
                      <w:rPr>
                        <w:rFonts w:ascii="Verdana" w:hAnsi="Verdana"/>
                        <w:spacing w:val="-4"/>
                        <w:sz w:val="12"/>
                      </w:rPr>
                      <w:t> </w:t>
                    </w:r>
                    <w:r>
                      <w:rPr>
                        <w:rFonts w:ascii="Verdana" w:hAnsi="Verdana"/>
                        <w:sz w:val="12"/>
                      </w:rPr>
                      <w:t>Petrópolis</w:t>
                    </w:r>
                    <w:r>
                      <w:rPr>
                        <w:rFonts w:ascii="Verdana" w:hAnsi="Verdana"/>
                        <w:spacing w:val="-2"/>
                        <w:sz w:val="12"/>
                      </w:rPr>
                      <w:t> </w:t>
                    </w:r>
                    <w:r>
                      <w:rPr>
                        <w:rFonts w:ascii="Verdana" w:hAnsi="Verdana"/>
                        <w:sz w:val="12"/>
                      </w:rPr>
                      <w:t>-</w:t>
                    </w:r>
                    <w:r>
                      <w:rPr>
                        <w:rFonts w:ascii="Verdana" w:hAnsi="Verdana"/>
                        <w:spacing w:val="-2"/>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4"/>
                        <w:sz w:val="12"/>
                      </w:rPr>
                      <w:t> </w:t>
                    </w:r>
                    <w:r>
                      <w:rPr>
                        <w:rFonts w:ascii="Verdana" w:hAnsi="Verdana"/>
                        <w:sz w:val="12"/>
                      </w:rPr>
                      <w:t>25620-050 CNPJ 31.157.589/0001-60 - tel.: (24) 2220-9200</w:t>
                    </w:r>
                  </w:p>
                  <w:p>
                    <w:pPr>
                      <w:spacing w:before="0"/>
                      <w:ind w:left="352" w:right="347" w:firstLine="0"/>
                      <w:jc w:val="center"/>
                      <w:rPr>
                        <w:rFonts w:ascii="Verdana" w:hAnsi="Verdana"/>
                        <w:sz w:val="12"/>
                      </w:rPr>
                    </w:pPr>
                    <w:r>
                      <w:rPr>
                        <w:rFonts w:ascii="Verdana" w:hAnsi="Verdana"/>
                        <w:sz w:val="12"/>
                      </w:rPr>
                      <w:t>DAF-</w:t>
                    </w:r>
                    <w:r>
                      <w:rPr>
                        <w:rFonts w:ascii="Verdana" w:hAnsi="Verdana"/>
                        <w:spacing w:val="-6"/>
                        <w:sz w:val="12"/>
                      </w:rPr>
                      <w:t> </w:t>
                    </w:r>
                    <w:r>
                      <w:rPr>
                        <w:rFonts w:ascii="Verdana" w:hAnsi="Verdana"/>
                        <w:sz w:val="12"/>
                      </w:rPr>
                      <w:t>Diretoria</w:t>
                    </w:r>
                    <w:r>
                      <w:rPr>
                        <w:rFonts w:ascii="Verdana" w:hAnsi="Verdana"/>
                        <w:spacing w:val="-8"/>
                        <w:sz w:val="12"/>
                      </w:rPr>
                      <w:t> </w:t>
                    </w:r>
                    <w:r>
                      <w:rPr>
                        <w:rFonts w:ascii="Verdana" w:hAnsi="Verdana"/>
                        <w:sz w:val="12"/>
                      </w:rPr>
                      <w:t>de</w:t>
                    </w:r>
                    <w:r>
                      <w:rPr>
                        <w:rFonts w:ascii="Verdana" w:hAnsi="Verdana"/>
                        <w:spacing w:val="-5"/>
                        <w:sz w:val="12"/>
                      </w:rPr>
                      <w:t> </w:t>
                    </w:r>
                    <w:r>
                      <w:rPr>
                        <w:rFonts w:ascii="Verdana" w:hAnsi="Verdana"/>
                        <w:sz w:val="12"/>
                      </w:rPr>
                      <w:t>Administração</w:t>
                    </w:r>
                    <w:r>
                      <w:rPr>
                        <w:rFonts w:ascii="Verdana" w:hAnsi="Verdana"/>
                        <w:spacing w:val="-7"/>
                        <w:sz w:val="12"/>
                      </w:rPr>
                      <w:t> </w:t>
                    </w:r>
                    <w:r>
                      <w:rPr>
                        <w:rFonts w:ascii="Verdana" w:hAnsi="Verdana"/>
                        <w:sz w:val="12"/>
                      </w:rPr>
                      <w:t>e</w:t>
                    </w:r>
                    <w:r>
                      <w:rPr>
                        <w:rFonts w:ascii="Verdana" w:hAnsi="Verdana"/>
                        <w:spacing w:val="-7"/>
                        <w:sz w:val="12"/>
                      </w:rPr>
                      <w:t> </w:t>
                    </w:r>
                    <w:r>
                      <w:rPr>
                        <w:rFonts w:ascii="Verdana" w:hAnsi="Verdana"/>
                        <w:sz w:val="12"/>
                      </w:rPr>
                      <w:t>Finanças.</w:t>
                    </w:r>
                    <w:r>
                      <w:rPr>
                        <w:rFonts w:ascii="Verdana" w:hAnsi="Verdana"/>
                        <w:spacing w:val="-5"/>
                        <w:sz w:val="12"/>
                      </w:rPr>
                      <w:t> </w:t>
                    </w:r>
                    <w:r>
                      <w:rPr>
                        <w:rFonts w:ascii="Verdana" w:hAnsi="Verdana"/>
                        <w:sz w:val="12"/>
                      </w:rPr>
                      <w:t>E-mail:</w:t>
                    </w:r>
                    <w:r>
                      <w:rPr>
                        <w:rFonts w:ascii="Verdana" w:hAnsi="Verdana"/>
                        <w:spacing w:val="-5"/>
                        <w:sz w:val="12"/>
                      </w:rPr>
                      <w:t> </w:t>
                    </w:r>
                    <w:hyperlink r:id="rId1">
                      <w:r>
                        <w:rPr>
                          <w:rFonts w:ascii="Verdana" w:hAnsi="Verdana"/>
                          <w:color w:val="0000FF"/>
                          <w:sz w:val="12"/>
                          <w:u w:val="single" w:color="0000FF"/>
                        </w:rPr>
                        <w:t>daf@inpas.rj.gov.br</w:t>
                      </w:r>
                    </w:hyperlink>
                    <w:r>
                      <w:rPr>
                        <w:rFonts w:ascii="Verdana" w:hAnsi="Verdana"/>
                        <w:color w:val="0000FF"/>
                        <w:sz w:val="12"/>
                      </w:rPr>
                      <w:t> </w:t>
                    </w:r>
                    <w:r>
                      <w:rPr>
                        <w:rFonts w:ascii="Verdana" w:hAnsi="Verdana"/>
                        <w:sz w:val="12"/>
                      </w:rPr>
                      <w:t>Site:</w:t>
                    </w:r>
                    <w:r>
                      <w:rPr>
                        <w:rFonts w:ascii="Verdana" w:hAnsi="Verdana"/>
                        <w:spacing w:val="-1"/>
                        <w:sz w:val="12"/>
                      </w:rPr>
                      <w:t> </w:t>
                    </w:r>
                    <w:hyperlink r:id="rId2">
                      <w:r>
                        <w:rPr>
                          <w:rFonts w:ascii="Verdana" w:hAnsi="Verdana"/>
                          <w:color w:val="0000FF"/>
                          <w:sz w:val="12"/>
                          <w:u w:val="single" w:color="0000FF"/>
                        </w:rPr>
                        <w:t>www.inpas.rj.gov.br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6880">
          <wp:simplePos x="0" y="0"/>
          <wp:positionH relativeFrom="page">
            <wp:posOffset>1108710</wp:posOffset>
          </wp:positionH>
          <wp:positionV relativeFrom="page">
            <wp:posOffset>604519</wp:posOffset>
          </wp:positionV>
          <wp:extent cx="1337310" cy="5041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37310" cy="5041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7392">
              <wp:simplePos x="0" y="0"/>
              <wp:positionH relativeFrom="page">
                <wp:posOffset>2508250</wp:posOffset>
              </wp:positionH>
              <wp:positionV relativeFrom="page">
                <wp:posOffset>596096</wp:posOffset>
              </wp:positionV>
              <wp:extent cx="3477260" cy="3714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77260" cy="371475"/>
                      </a:xfrm>
                      <a:prstGeom prst="rect">
                        <a:avLst/>
                      </a:prstGeom>
                    </wps:spPr>
                    <wps:txbx>
                      <w:txbxContent>
                        <w:p>
                          <w:pPr>
                            <w:spacing w:before="12"/>
                            <w:ind w:left="20" w:right="18" w:firstLine="0"/>
                            <w:jc w:val="left"/>
                            <w:rPr>
                              <w:rFonts w:ascii="Arial" w:hAnsi="Arial"/>
                              <w:b/>
                              <w:sz w:val="24"/>
                            </w:rPr>
                          </w:pPr>
                          <w:r>
                            <w:rPr>
                              <w:rFonts w:ascii="Arial" w:hAnsi="Arial"/>
                              <w:b/>
                              <w:sz w:val="24"/>
                            </w:rPr>
                            <w:t>Instituto</w:t>
                          </w:r>
                          <w:r>
                            <w:rPr>
                              <w:rFonts w:ascii="Arial" w:hAnsi="Arial"/>
                              <w:b/>
                              <w:spacing w:val="-7"/>
                              <w:sz w:val="24"/>
                            </w:rPr>
                            <w:t> </w:t>
                          </w:r>
                          <w:r>
                            <w:rPr>
                              <w:rFonts w:ascii="Arial" w:hAnsi="Arial"/>
                              <w:b/>
                              <w:sz w:val="24"/>
                            </w:rPr>
                            <w:t>de</w:t>
                          </w:r>
                          <w:r>
                            <w:rPr>
                              <w:rFonts w:ascii="Arial" w:hAnsi="Arial"/>
                              <w:b/>
                              <w:spacing w:val="-9"/>
                              <w:sz w:val="24"/>
                            </w:rPr>
                            <w:t> </w:t>
                          </w:r>
                          <w:r>
                            <w:rPr>
                              <w:rFonts w:ascii="Arial" w:hAnsi="Arial"/>
                              <w:b/>
                              <w:sz w:val="24"/>
                            </w:rPr>
                            <w:t>Previdência</w:t>
                          </w:r>
                          <w:r>
                            <w:rPr>
                              <w:rFonts w:ascii="Arial" w:hAnsi="Arial"/>
                              <w:b/>
                              <w:spacing w:val="-6"/>
                              <w:sz w:val="24"/>
                            </w:rPr>
                            <w:t> </w:t>
                          </w:r>
                          <w:r>
                            <w:rPr>
                              <w:rFonts w:ascii="Arial" w:hAnsi="Arial"/>
                              <w:b/>
                              <w:sz w:val="24"/>
                            </w:rPr>
                            <w:t>e</w:t>
                          </w:r>
                          <w:r>
                            <w:rPr>
                              <w:rFonts w:ascii="Arial" w:hAnsi="Arial"/>
                              <w:b/>
                              <w:spacing w:val="-9"/>
                              <w:sz w:val="24"/>
                            </w:rPr>
                            <w:t> </w:t>
                          </w:r>
                          <w:r>
                            <w:rPr>
                              <w:rFonts w:ascii="Arial" w:hAnsi="Arial"/>
                              <w:b/>
                              <w:sz w:val="24"/>
                            </w:rPr>
                            <w:t>Assistência</w:t>
                          </w:r>
                          <w:r>
                            <w:rPr>
                              <w:rFonts w:ascii="Arial" w:hAnsi="Arial"/>
                              <w:b/>
                              <w:spacing w:val="-8"/>
                              <w:sz w:val="24"/>
                            </w:rPr>
                            <w:t> </w:t>
                          </w:r>
                          <w:r>
                            <w:rPr>
                              <w:rFonts w:ascii="Arial" w:hAnsi="Arial"/>
                              <w:b/>
                              <w:sz w:val="24"/>
                            </w:rPr>
                            <w:t>Social</w:t>
                          </w:r>
                          <w:r>
                            <w:rPr>
                              <w:rFonts w:ascii="Arial" w:hAnsi="Arial"/>
                              <w:b/>
                              <w:spacing w:val="-8"/>
                              <w:sz w:val="24"/>
                            </w:rPr>
                            <w:t> </w:t>
                          </w:r>
                          <w:r>
                            <w:rPr>
                              <w:rFonts w:ascii="Arial" w:hAnsi="Arial"/>
                              <w:b/>
                              <w:sz w:val="24"/>
                            </w:rPr>
                            <w:t>do Servidor Público do Município de Petrópolis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5pt;margin-top:46.936718pt;width:273.8pt;height:29.25pt;mso-position-horizontal-relative:page;mso-position-vertical-relative:page;z-index:-15769088" type="#_x0000_t202" id="docshape1" filled="false" stroked="false">
              <v:textbox inset="0,0,0,0">
                <w:txbxContent>
                  <w:p>
                    <w:pPr>
                      <w:spacing w:before="12"/>
                      <w:ind w:left="20" w:right="18" w:firstLine="0"/>
                      <w:jc w:val="left"/>
                      <w:rPr>
                        <w:rFonts w:ascii="Arial" w:hAnsi="Arial"/>
                        <w:b/>
                        <w:sz w:val="24"/>
                      </w:rPr>
                    </w:pPr>
                    <w:r>
                      <w:rPr>
                        <w:rFonts w:ascii="Arial" w:hAnsi="Arial"/>
                        <w:b/>
                        <w:sz w:val="24"/>
                      </w:rPr>
                      <w:t>Instituto</w:t>
                    </w:r>
                    <w:r>
                      <w:rPr>
                        <w:rFonts w:ascii="Arial" w:hAnsi="Arial"/>
                        <w:b/>
                        <w:spacing w:val="-7"/>
                        <w:sz w:val="24"/>
                      </w:rPr>
                      <w:t> </w:t>
                    </w:r>
                    <w:r>
                      <w:rPr>
                        <w:rFonts w:ascii="Arial" w:hAnsi="Arial"/>
                        <w:b/>
                        <w:sz w:val="24"/>
                      </w:rPr>
                      <w:t>de</w:t>
                    </w:r>
                    <w:r>
                      <w:rPr>
                        <w:rFonts w:ascii="Arial" w:hAnsi="Arial"/>
                        <w:b/>
                        <w:spacing w:val="-9"/>
                        <w:sz w:val="24"/>
                      </w:rPr>
                      <w:t> </w:t>
                    </w:r>
                    <w:r>
                      <w:rPr>
                        <w:rFonts w:ascii="Arial" w:hAnsi="Arial"/>
                        <w:b/>
                        <w:sz w:val="24"/>
                      </w:rPr>
                      <w:t>Previdência</w:t>
                    </w:r>
                    <w:r>
                      <w:rPr>
                        <w:rFonts w:ascii="Arial" w:hAnsi="Arial"/>
                        <w:b/>
                        <w:spacing w:val="-6"/>
                        <w:sz w:val="24"/>
                      </w:rPr>
                      <w:t> </w:t>
                    </w:r>
                    <w:r>
                      <w:rPr>
                        <w:rFonts w:ascii="Arial" w:hAnsi="Arial"/>
                        <w:b/>
                        <w:sz w:val="24"/>
                      </w:rPr>
                      <w:t>e</w:t>
                    </w:r>
                    <w:r>
                      <w:rPr>
                        <w:rFonts w:ascii="Arial" w:hAnsi="Arial"/>
                        <w:b/>
                        <w:spacing w:val="-9"/>
                        <w:sz w:val="24"/>
                      </w:rPr>
                      <w:t> </w:t>
                    </w:r>
                    <w:r>
                      <w:rPr>
                        <w:rFonts w:ascii="Arial" w:hAnsi="Arial"/>
                        <w:b/>
                        <w:sz w:val="24"/>
                      </w:rPr>
                      <w:t>Assistência</w:t>
                    </w:r>
                    <w:r>
                      <w:rPr>
                        <w:rFonts w:ascii="Arial" w:hAnsi="Arial"/>
                        <w:b/>
                        <w:spacing w:val="-8"/>
                        <w:sz w:val="24"/>
                      </w:rPr>
                      <w:t> </w:t>
                    </w:r>
                    <w:r>
                      <w:rPr>
                        <w:rFonts w:ascii="Arial" w:hAnsi="Arial"/>
                        <w:b/>
                        <w:sz w:val="24"/>
                      </w:rPr>
                      <w:t>Social</w:t>
                    </w:r>
                    <w:r>
                      <w:rPr>
                        <w:rFonts w:ascii="Arial" w:hAnsi="Arial"/>
                        <w:b/>
                        <w:spacing w:val="-8"/>
                        <w:sz w:val="24"/>
                      </w:rPr>
                      <w:t> </w:t>
                    </w:r>
                    <w:r>
                      <w:rPr>
                        <w:rFonts w:ascii="Arial" w:hAnsi="Arial"/>
                        <w:b/>
                        <w:sz w:val="24"/>
                      </w:rPr>
                      <w:t>do Servidor Público do Município de Petrópolis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12"/>
      <w:ind w:left="20" w:right="18"/>
    </w:pPr>
    <w:rPr>
      <w:rFonts w:ascii="Arial" w:hAnsi="Arial" w:eastAsia="Arial" w:cs="Arial"/>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f@inpas.rj.gov.br" TargetMode="External"/><Relationship Id="rId2" Type="http://schemas.openxmlformats.org/officeDocument/2006/relationships/hyperlink" Target="http://www.inpa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2025-05-16T19:01:17Z</dcterms:created>
  <dcterms:modified xsi:type="dcterms:W3CDTF">2025-05-16T19:01:17Z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3-Heights(TM) PDF Security Shell 4.8.25.2 (http://www.pdf-tools.com)</vt:lpwstr>
  </property>
</Properties>
</file>