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7"/>
      </w:pPr>
    </w:p>
    <w:p>
      <w:pPr>
        <w:pStyle w:val="BodyText"/>
        <w:spacing w:line="360" w:lineRule="auto"/>
        <w:ind w:left="188" w:right="17"/>
        <w:jc w:val="both"/>
      </w:pPr>
      <w:r>
        <w:rPr/>
        <w:t>Ata da quinquagésima nona reunião ordinária do Comitê de Investimentos do Instituto de Previdência e Assistência Social do Servidor Público do Município de Petrópolis – INPAS. Aos dezesseis de outubro do ano de dois mil e dezessete, às dez horas e vinte minutos, no Auditório do Instituto de Previdência e Assistência Social do Servidor Público do Município</w:t>
      </w:r>
      <w:r>
        <w:rPr>
          <w:spacing w:val="40"/>
        </w:rPr>
        <w:t> </w:t>
      </w:r>
      <w:r>
        <w:rPr/>
        <w:t>de Petrópolis, reuniram-se os seguintes membros do Comitê de Investimentos deste Regime Próprio de Previdência Social: a)- Diretor Financeiro do INPAS, senhor Robson Carneiro da Cruz; b)- Chefe da Divisão de Contabilidade, senhora Lucimar da Glória Gomes, Presidente eleita deste Comitê; c) Gestora Previdenciária, senhora Carla Cristina Correia Maduro Vogas Tavares, secretária deste Comitê; d) Gestora de Investimentos, senhora Michele Schiffler Forster; e) Gestora Previdenciária, senhora Adriana Catarina da Costa; f) Chefe da Divisão de Tesouraria, senhora Claudia Miranda do Nascimento. Registra-se a ausência do Diretor- Presidente, Sr. Fernando Leite Fortes, por motivo de reunião. Com esta composição iniciou-se a referida reunião para atendimento à pauta do dia, que teve a seguinte ordem: 1-apresentação sobre a viabilidade da troca de índice utilizado como cálculo da meta atuarial, a ser feita pelo atuário, Julio Machado Passos; 2-leitura da ata da reunião anterior; 3-análise do cenário macroeconômico, bem como as expectativas de mercado; 4-análise do fluxo de caixa, considerando</w:t>
      </w:r>
      <w:r>
        <w:rPr>
          <w:spacing w:val="-1"/>
        </w:rPr>
        <w:t> </w:t>
      </w:r>
      <w:r>
        <w:rPr/>
        <w:t>as</w:t>
      </w:r>
      <w:r>
        <w:rPr>
          <w:spacing w:val="-2"/>
        </w:rPr>
        <w:t> </w:t>
      </w:r>
      <w:r>
        <w:rPr/>
        <w:t>obrigações previdenciárias e</w:t>
      </w:r>
      <w:r>
        <w:rPr>
          <w:spacing w:val="-2"/>
        </w:rPr>
        <w:t> </w:t>
      </w:r>
      <w:r>
        <w:rPr/>
        <w:t>administrativas para</w:t>
      </w:r>
      <w:r>
        <w:rPr>
          <w:spacing w:val="-2"/>
        </w:rPr>
        <w:t> </w:t>
      </w:r>
      <w:r>
        <w:rPr/>
        <w:t>o</w:t>
      </w:r>
      <w:r>
        <w:rPr>
          <w:spacing w:val="-1"/>
        </w:rPr>
        <w:t> </w:t>
      </w:r>
      <w:r>
        <w:rPr/>
        <w:t>mês em</w:t>
      </w:r>
      <w:r>
        <w:rPr>
          <w:spacing w:val="-2"/>
        </w:rPr>
        <w:t> </w:t>
      </w:r>
      <w:r>
        <w:rPr/>
        <w:t>curso;</w:t>
      </w:r>
      <w:r>
        <w:rPr>
          <w:spacing w:val="-2"/>
        </w:rPr>
        <w:t> </w:t>
      </w:r>
      <w:r>
        <w:rPr/>
        <w:t>5-avaliação dos investimentos que compõem o patrimônio dos diversos segmentos de aplicação; 6- proposições de investimentos/desinvestimentos; 7-análise da minuta da Política de Investimentos para 2018; 8-assuntos gerais. A Presidente do Comitê iniciou a reunião agradecendo a presença de todos e informou que a matéria do primeiro item da pauta não será discutida, tendo em vista o não comparecimento do atuário. Diante dessa ausência, o Comitê decidiu que a Presidente enviará um e-mail ao atuário solicitando a sua presença, em dia por ele escolhido, para que possamos fazer uma reunião extraordinária, se possível, até o dia 20 de outubro. No que se refere à ata da 58ª reunião ordinária, enviada por e-mail a todos os membros</w:t>
      </w:r>
      <w:r>
        <w:rPr>
          <w:spacing w:val="-3"/>
        </w:rPr>
        <w:t> </w:t>
      </w:r>
      <w:r>
        <w:rPr/>
        <w:t>do</w:t>
      </w:r>
      <w:r>
        <w:rPr>
          <w:spacing w:val="-5"/>
        </w:rPr>
        <w:t> </w:t>
      </w:r>
      <w:r>
        <w:rPr/>
        <w:t>Comitê,</w:t>
      </w:r>
      <w:r>
        <w:rPr>
          <w:spacing w:val="-2"/>
        </w:rPr>
        <w:t> </w:t>
      </w:r>
      <w:r>
        <w:rPr/>
        <w:t>não</w:t>
      </w:r>
      <w:r>
        <w:rPr>
          <w:spacing w:val="-5"/>
        </w:rPr>
        <w:t> </w:t>
      </w:r>
      <w:r>
        <w:rPr/>
        <w:t>houve</w:t>
      </w:r>
      <w:r>
        <w:rPr>
          <w:spacing w:val="-6"/>
        </w:rPr>
        <w:t> </w:t>
      </w:r>
      <w:r>
        <w:rPr/>
        <w:t>retificações,</w:t>
      </w:r>
      <w:r>
        <w:rPr>
          <w:spacing w:val="-4"/>
        </w:rPr>
        <w:t> </w:t>
      </w:r>
      <w:r>
        <w:rPr/>
        <w:t>tendo</w:t>
      </w:r>
      <w:r>
        <w:rPr>
          <w:spacing w:val="-4"/>
        </w:rPr>
        <w:t> </w:t>
      </w:r>
      <w:r>
        <w:rPr/>
        <w:t>sido</w:t>
      </w:r>
      <w:r>
        <w:rPr>
          <w:spacing w:val="-5"/>
        </w:rPr>
        <w:t> </w:t>
      </w:r>
      <w:r>
        <w:rPr/>
        <w:t>integralmente</w:t>
      </w:r>
      <w:r>
        <w:rPr>
          <w:spacing w:val="-4"/>
        </w:rPr>
        <w:t> </w:t>
      </w:r>
      <w:r>
        <w:rPr/>
        <w:t>aprovada.</w:t>
      </w:r>
      <w:r>
        <w:rPr>
          <w:spacing w:val="-4"/>
        </w:rPr>
        <w:t> </w:t>
      </w:r>
      <w:r>
        <w:rPr/>
        <w:t>Passando</w:t>
      </w:r>
      <w:r>
        <w:rPr>
          <w:spacing w:val="-4"/>
        </w:rPr>
        <w:t> </w:t>
      </w:r>
      <w:r>
        <w:rPr/>
        <w:t>para o segundo ponto de pauta, a Gestora de Investimentos, Sra. Michele Schiffler Forster, comentou</w:t>
      </w:r>
      <w:r>
        <w:rPr>
          <w:spacing w:val="26"/>
        </w:rPr>
        <w:t> </w:t>
      </w:r>
      <w:r>
        <w:rPr/>
        <w:t>que</w:t>
      </w:r>
      <w:r>
        <w:rPr>
          <w:spacing w:val="23"/>
        </w:rPr>
        <w:t> </w:t>
      </w:r>
      <w:r>
        <w:rPr/>
        <w:t>o</w:t>
      </w:r>
      <w:r>
        <w:rPr>
          <w:spacing w:val="24"/>
        </w:rPr>
        <w:t> </w:t>
      </w:r>
      <w:r>
        <w:rPr/>
        <w:t>Copom,</w:t>
      </w:r>
      <w:r>
        <w:rPr>
          <w:spacing w:val="26"/>
        </w:rPr>
        <w:t> </w:t>
      </w:r>
      <w:r>
        <w:rPr/>
        <w:t>em</w:t>
      </w:r>
      <w:r>
        <w:rPr>
          <w:spacing w:val="23"/>
        </w:rPr>
        <w:t> </w:t>
      </w:r>
      <w:r>
        <w:rPr/>
        <w:t>sua</w:t>
      </w:r>
      <w:r>
        <w:rPr>
          <w:spacing w:val="23"/>
        </w:rPr>
        <w:t> </w:t>
      </w:r>
      <w:r>
        <w:rPr/>
        <w:t>última</w:t>
      </w:r>
      <w:r>
        <w:rPr>
          <w:spacing w:val="25"/>
        </w:rPr>
        <w:t> </w:t>
      </w:r>
      <w:r>
        <w:rPr/>
        <w:t>reunião</w:t>
      </w:r>
      <w:r>
        <w:rPr>
          <w:spacing w:val="24"/>
        </w:rPr>
        <w:t> </w:t>
      </w:r>
      <w:r>
        <w:rPr/>
        <w:t>realizada</w:t>
      </w:r>
      <w:r>
        <w:rPr>
          <w:spacing w:val="25"/>
        </w:rPr>
        <w:t> </w:t>
      </w:r>
      <w:r>
        <w:rPr/>
        <w:t>em</w:t>
      </w:r>
      <w:r>
        <w:rPr>
          <w:spacing w:val="23"/>
        </w:rPr>
        <w:t> </w:t>
      </w:r>
      <w:r>
        <w:rPr/>
        <w:t>06/09,</w:t>
      </w:r>
      <w:r>
        <w:rPr>
          <w:spacing w:val="24"/>
        </w:rPr>
        <w:t> </w:t>
      </w:r>
      <w:r>
        <w:rPr/>
        <w:t>reduziu</w:t>
      </w:r>
      <w:r>
        <w:rPr>
          <w:spacing w:val="24"/>
        </w:rPr>
        <w:t> </w:t>
      </w:r>
      <w:r>
        <w:rPr/>
        <w:t>a</w:t>
      </w:r>
      <w:r>
        <w:rPr>
          <w:spacing w:val="23"/>
        </w:rPr>
        <w:t> </w:t>
      </w:r>
      <w:r>
        <w:rPr/>
        <w:t>taxa</w:t>
      </w:r>
      <w:r>
        <w:rPr>
          <w:spacing w:val="23"/>
        </w:rPr>
        <w:t> </w:t>
      </w:r>
      <w:r>
        <w:rPr/>
        <w:t>selic</w:t>
      </w:r>
      <w:r>
        <w:rPr>
          <w:spacing w:val="25"/>
        </w:rPr>
        <w:t> </w:t>
      </w:r>
      <w:r>
        <w:rPr/>
        <w:t>em</w:t>
      </w:r>
    </w:p>
    <w:p>
      <w:pPr>
        <w:pStyle w:val="BodyText"/>
        <w:spacing w:after="0" w:line="360" w:lineRule="auto"/>
        <w:jc w:val="both"/>
        <w:sectPr>
          <w:headerReference w:type="default" r:id="rId5"/>
          <w:footerReference w:type="default" r:id="rId6"/>
          <w:type w:val="continuous"/>
          <w:pgSz w:w="12240" w:h="15840"/>
          <w:pgMar w:header="952" w:footer="1481" w:top="1880" w:bottom="1680" w:left="1800" w:right="1080"/>
          <w:pgNumType w:start="1"/>
        </w:sectPr>
      </w:pPr>
    </w:p>
    <w:p>
      <w:pPr>
        <w:pStyle w:val="BodyText"/>
        <w:spacing w:before="177"/>
      </w:pPr>
    </w:p>
    <w:p>
      <w:pPr>
        <w:pStyle w:val="BodyText"/>
        <w:spacing w:line="360" w:lineRule="auto"/>
        <w:ind w:left="188" w:right="25"/>
        <w:jc w:val="both"/>
      </w:pPr>
      <w:r>
        <w:rPr/>
        <w:t>1%, estando agora </w:t>
      </w:r>
      <w:bookmarkStart w:name="Instituto de Previdência e Assistência S" w:id="1"/>
      <w:bookmarkEnd w:id="1"/>
      <w:r>
        <w:rPr/>
        <w:t>e</w:t>
      </w:r>
      <w:r>
        <w:rPr/>
        <w:t>m 8,25%, mas ressaltou que o desencontro de opiniões entre os seus membros está mais frequente. A próxima reunião do Copom será em 25 de outubro e, se as previsões de mercado estiverem certas, teremos o penúltimo movimento de corte. Após, apresentou a variação dos índices do mês de setembro mais utilizados e/ou acompanhados por esta</w:t>
      </w:r>
      <w:r>
        <w:rPr>
          <w:spacing w:val="22"/>
        </w:rPr>
        <w:t> </w:t>
      </w:r>
      <w:r>
        <w:rPr/>
        <w:t>Autarquia,</w:t>
      </w:r>
      <w:r>
        <w:rPr>
          <w:spacing w:val="27"/>
        </w:rPr>
        <w:t> </w:t>
      </w:r>
      <w:r>
        <w:rPr/>
        <w:t>sendo:</w:t>
      </w:r>
      <w:r>
        <w:rPr>
          <w:spacing w:val="25"/>
        </w:rPr>
        <w:t> </w:t>
      </w:r>
      <w:r>
        <w:rPr/>
        <w:t>IRFM1:</w:t>
      </w:r>
      <w:r>
        <w:rPr>
          <w:spacing w:val="24"/>
        </w:rPr>
        <w:t> </w:t>
      </w:r>
      <w:r>
        <w:rPr/>
        <w:t>0,7446;</w:t>
      </w:r>
      <w:r>
        <w:rPr>
          <w:spacing w:val="25"/>
        </w:rPr>
        <w:t> </w:t>
      </w:r>
      <w:r>
        <w:rPr/>
        <w:t>IRFM1+:</w:t>
      </w:r>
      <w:r>
        <w:rPr>
          <w:spacing w:val="25"/>
        </w:rPr>
        <w:t> </w:t>
      </w:r>
      <w:r>
        <w:rPr/>
        <w:t>1,7251;</w:t>
      </w:r>
      <w:r>
        <w:rPr>
          <w:spacing w:val="24"/>
        </w:rPr>
        <w:t> </w:t>
      </w:r>
      <w:r>
        <w:rPr/>
        <w:t>IRFM:</w:t>
      </w:r>
      <w:r>
        <w:rPr>
          <w:spacing w:val="25"/>
        </w:rPr>
        <w:t> </w:t>
      </w:r>
      <w:r>
        <w:rPr/>
        <w:t>1,4789;</w:t>
      </w:r>
      <w:r>
        <w:rPr>
          <w:spacing w:val="24"/>
        </w:rPr>
        <w:t> </w:t>
      </w:r>
      <w:r>
        <w:rPr/>
        <w:t>IMA</w:t>
      </w:r>
      <w:r>
        <w:rPr>
          <w:spacing w:val="27"/>
        </w:rPr>
        <w:t> </w:t>
      </w:r>
      <w:r>
        <w:rPr/>
        <w:t>B</w:t>
      </w:r>
      <w:r>
        <w:rPr>
          <w:spacing w:val="25"/>
        </w:rPr>
        <w:t> </w:t>
      </w:r>
      <w:r>
        <w:rPr/>
        <w:t>5:</w:t>
      </w:r>
      <w:r>
        <w:rPr>
          <w:spacing w:val="25"/>
        </w:rPr>
        <w:t> </w:t>
      </w:r>
      <w:r>
        <w:rPr>
          <w:spacing w:val="-2"/>
        </w:rPr>
        <w:t>1,0066;</w:t>
      </w:r>
    </w:p>
    <w:p>
      <w:pPr>
        <w:pStyle w:val="BodyText"/>
        <w:ind w:left="188"/>
        <w:jc w:val="both"/>
      </w:pPr>
      <w:r>
        <w:rPr/>
        <w:t>IMA</w:t>
      </w:r>
      <w:r>
        <w:rPr>
          <w:spacing w:val="50"/>
          <w:w w:val="150"/>
        </w:rPr>
        <w:t>  </w:t>
      </w:r>
      <w:r>
        <w:rPr/>
        <w:t>B</w:t>
      </w:r>
      <w:r>
        <w:rPr>
          <w:spacing w:val="50"/>
          <w:w w:val="150"/>
        </w:rPr>
        <w:t>  </w:t>
      </w:r>
      <w:r>
        <w:rPr/>
        <w:t>5+:</w:t>
      </w:r>
      <w:r>
        <w:rPr>
          <w:spacing w:val="50"/>
          <w:w w:val="150"/>
        </w:rPr>
        <w:t>  </w:t>
      </w:r>
      <w:r>
        <w:rPr/>
        <w:t>2,3987;</w:t>
      </w:r>
      <w:r>
        <w:rPr>
          <w:spacing w:val="51"/>
          <w:w w:val="150"/>
        </w:rPr>
        <w:t>  </w:t>
      </w:r>
      <w:r>
        <w:rPr/>
        <w:t>IMA</w:t>
      </w:r>
      <w:r>
        <w:rPr>
          <w:spacing w:val="50"/>
          <w:w w:val="150"/>
        </w:rPr>
        <w:t>  </w:t>
      </w:r>
      <w:r>
        <w:rPr/>
        <w:t>B:</w:t>
      </w:r>
      <w:r>
        <w:rPr>
          <w:spacing w:val="50"/>
          <w:w w:val="150"/>
        </w:rPr>
        <w:t>  </w:t>
      </w:r>
      <w:r>
        <w:rPr/>
        <w:t>1,8108;</w:t>
      </w:r>
      <w:r>
        <w:rPr>
          <w:spacing w:val="50"/>
          <w:w w:val="150"/>
        </w:rPr>
        <w:t>  </w:t>
      </w:r>
      <w:r>
        <w:rPr/>
        <w:t>IMA</w:t>
      </w:r>
      <w:r>
        <w:rPr>
          <w:spacing w:val="51"/>
          <w:w w:val="150"/>
        </w:rPr>
        <w:t>  </w:t>
      </w:r>
      <w:r>
        <w:rPr/>
        <w:t>Geral:</w:t>
      </w:r>
      <w:r>
        <w:rPr>
          <w:spacing w:val="51"/>
          <w:w w:val="150"/>
        </w:rPr>
        <w:t>  </w:t>
      </w:r>
      <w:r>
        <w:rPr/>
        <w:t>1,3344;</w:t>
      </w:r>
      <w:r>
        <w:rPr>
          <w:spacing w:val="50"/>
          <w:w w:val="150"/>
        </w:rPr>
        <w:t>  </w:t>
      </w:r>
      <w:r>
        <w:rPr/>
        <w:t>CDI:</w:t>
      </w:r>
      <w:r>
        <w:rPr>
          <w:spacing w:val="50"/>
          <w:w w:val="150"/>
        </w:rPr>
        <w:t>  </w:t>
      </w:r>
      <w:r>
        <w:rPr>
          <w:spacing w:val="-2"/>
        </w:rPr>
        <w:t>0,6400</w:t>
      </w:r>
    </w:p>
    <w:p>
      <w:pPr>
        <w:pStyle w:val="BodyText"/>
        <w:spacing w:line="360" w:lineRule="auto" w:before="138"/>
        <w:ind w:left="188" w:right="24"/>
        <w:jc w:val="both"/>
      </w:pPr>
      <w:r>
        <w:rPr/>
        <w:t>.Na rentabilidade acumulada – 2017, o melhor desempenho foi do IRFMI+, com 15,17; o IRFM teve rendimento de 13,57; o IMAB5 de 10,94; o IRFM1 de 9,14 e o DI de 8,03. Quanto ao câmbio, registrou que o dólar comercial teve valorização de 0,57% e a Bolsa de Valores fechou o mês de setembro com uma valorização de 4,88%, conforme veiculado pelo jornal Valor Econômico. Na análise do Relatório Focus de seis de outubro do corrente ano, ressaltou que o IPCA está com expectativa de alta em relação à semana anterior e a meta da taxa SELIC está com expectativa de ficar estável em 7% até o fechamento de 2017. Após, apresentou as movimentações financeiras do Instituto referentes ao mês de setembro. As aplicações, nesse mês, somaram R$ 467.000,00 e os resgates, R$ 265.000,00. O saldo anterior era de R$ 311.348,48. O retorno financeiro foi de R$ 3.903,23 e o percentual de retorno de 0,7614%. O atingimento da meta atuarial no mês foi de 117,57%. Comparando o INPC e o IPCA, o primeiro registrou um acumulado de 1,24% e o segundo, 1,78%. A senhora Michele ainda apresentou o relatório de rentabilidade e risco dos ativos que compõem a carteira do Instituto. A volatilidade apresentada em 12 meses foi a seguinte: IRFM do Banco do Brasil: 2,560%; IRFM1</w:t>
      </w:r>
      <w:r>
        <w:rPr>
          <w:spacing w:val="-1"/>
        </w:rPr>
        <w:t> </w:t>
      </w:r>
      <w:r>
        <w:rPr/>
        <w:t>da</w:t>
      </w:r>
      <w:r>
        <w:rPr>
          <w:spacing w:val="-1"/>
        </w:rPr>
        <w:t> </w:t>
      </w:r>
      <w:r>
        <w:rPr/>
        <w:t>CEF:</w:t>
      </w:r>
      <w:r>
        <w:rPr>
          <w:spacing w:val="-1"/>
        </w:rPr>
        <w:t> </w:t>
      </w:r>
      <w:r>
        <w:rPr/>
        <w:t>0,47%;</w:t>
      </w:r>
      <w:r>
        <w:rPr>
          <w:spacing w:val="-1"/>
        </w:rPr>
        <w:t> </w:t>
      </w:r>
      <w:r>
        <w:rPr/>
        <w:t>IRFM1</w:t>
      </w:r>
      <w:r>
        <w:rPr>
          <w:spacing w:val="-1"/>
        </w:rPr>
        <w:t> </w:t>
      </w:r>
      <w:r>
        <w:rPr/>
        <w:t>do</w:t>
      </w:r>
      <w:r>
        <w:rPr>
          <w:spacing w:val="-1"/>
        </w:rPr>
        <w:t> </w:t>
      </w:r>
      <w:r>
        <w:rPr/>
        <w:t>BB:</w:t>
      </w:r>
      <w:r>
        <w:rPr>
          <w:spacing w:val="-1"/>
        </w:rPr>
        <w:t> </w:t>
      </w:r>
      <w:r>
        <w:rPr/>
        <w:t>0,47%;</w:t>
      </w:r>
      <w:r>
        <w:rPr>
          <w:spacing w:val="-2"/>
        </w:rPr>
        <w:t> </w:t>
      </w:r>
      <w:r>
        <w:rPr/>
        <w:t>CDI</w:t>
      </w:r>
      <w:r>
        <w:rPr>
          <w:spacing w:val="-1"/>
        </w:rPr>
        <w:t> </w:t>
      </w:r>
      <w:r>
        <w:rPr/>
        <w:t>do</w:t>
      </w:r>
      <w:r>
        <w:rPr>
          <w:spacing w:val="-1"/>
        </w:rPr>
        <w:t> </w:t>
      </w:r>
      <w:r>
        <w:rPr/>
        <w:t>Banco</w:t>
      </w:r>
      <w:r>
        <w:rPr>
          <w:spacing w:val="-1"/>
        </w:rPr>
        <w:t> </w:t>
      </w:r>
      <w:r>
        <w:rPr/>
        <w:t>do</w:t>
      </w:r>
      <w:r>
        <w:rPr>
          <w:spacing w:val="-1"/>
        </w:rPr>
        <w:t> </w:t>
      </w:r>
      <w:r>
        <w:rPr/>
        <w:t>Brasil: 0,48%</w:t>
      </w:r>
      <w:r>
        <w:rPr>
          <w:spacing w:val="-1"/>
        </w:rPr>
        <w:t> </w:t>
      </w:r>
      <w:r>
        <w:rPr/>
        <w:t>e</w:t>
      </w:r>
      <w:r>
        <w:rPr>
          <w:spacing w:val="-1"/>
        </w:rPr>
        <w:t> </w:t>
      </w:r>
      <w:r>
        <w:rPr/>
        <w:t>CDI</w:t>
      </w:r>
      <w:r>
        <w:rPr>
          <w:spacing w:val="-1"/>
        </w:rPr>
        <w:t> </w:t>
      </w:r>
      <w:r>
        <w:rPr/>
        <w:t>da</w:t>
      </w:r>
      <w:r>
        <w:rPr>
          <w:spacing w:val="-1"/>
        </w:rPr>
        <w:t> </w:t>
      </w:r>
      <w:r>
        <w:rPr/>
        <w:t>CEF 0,48%. Por fim, falou sobre a recomendação do consultor da empresa Di Blasi Consultoria,</w:t>
      </w:r>
      <w:r>
        <w:rPr>
          <w:spacing w:val="40"/>
        </w:rPr>
        <w:t> </w:t>
      </w:r>
      <w:r>
        <w:rPr/>
        <w:t>que considerou o seguinte: a) a renda fixa deverá estar concentrada em Títulos Públicos Federais, tendo em vista a redução da taxa de juros; b) os fundos da família IRFM estão com taxas de juros próximas a 8,50% a.a, havendo ainda pequena capacidade de gerar ganhos; c) fundos</w:t>
      </w:r>
      <w:r>
        <w:rPr>
          <w:spacing w:val="-3"/>
        </w:rPr>
        <w:t> </w:t>
      </w:r>
      <w:r>
        <w:rPr/>
        <w:t>da</w:t>
      </w:r>
      <w:r>
        <w:rPr>
          <w:spacing w:val="-3"/>
        </w:rPr>
        <w:t> </w:t>
      </w:r>
      <w:r>
        <w:rPr/>
        <w:t>família</w:t>
      </w:r>
      <w:r>
        <w:rPr>
          <w:spacing w:val="-1"/>
        </w:rPr>
        <w:t> </w:t>
      </w:r>
      <w:r>
        <w:rPr/>
        <w:t>IMA-B(mais</w:t>
      </w:r>
      <w:r>
        <w:rPr>
          <w:spacing w:val="-1"/>
        </w:rPr>
        <w:t> </w:t>
      </w:r>
      <w:r>
        <w:rPr/>
        <w:t>longos)</w:t>
      </w:r>
      <w:r>
        <w:rPr>
          <w:spacing w:val="-3"/>
        </w:rPr>
        <w:t> </w:t>
      </w:r>
      <w:r>
        <w:rPr/>
        <w:t>podem</w:t>
      </w:r>
      <w:r>
        <w:rPr>
          <w:spacing w:val="-3"/>
        </w:rPr>
        <w:t> </w:t>
      </w:r>
      <w:r>
        <w:rPr/>
        <w:t>apresentar</w:t>
      </w:r>
      <w:r>
        <w:rPr>
          <w:spacing w:val="-2"/>
        </w:rPr>
        <w:t> </w:t>
      </w:r>
      <w:r>
        <w:rPr/>
        <w:t>algum</w:t>
      </w:r>
      <w:r>
        <w:rPr>
          <w:spacing w:val="-3"/>
        </w:rPr>
        <w:t> </w:t>
      </w:r>
      <w:r>
        <w:rPr/>
        <w:t>espaço</w:t>
      </w:r>
      <w:r>
        <w:rPr>
          <w:spacing w:val="-3"/>
        </w:rPr>
        <w:t> </w:t>
      </w:r>
      <w:r>
        <w:rPr/>
        <w:t>para</w:t>
      </w:r>
      <w:r>
        <w:rPr>
          <w:spacing w:val="-3"/>
        </w:rPr>
        <w:t> </w:t>
      </w:r>
      <w:r>
        <w:rPr/>
        <w:t>valorização;</w:t>
      </w:r>
      <w:r>
        <w:rPr>
          <w:spacing w:val="-2"/>
        </w:rPr>
        <w:t> </w:t>
      </w:r>
      <w:r>
        <w:rPr/>
        <w:t>d)</w:t>
      </w:r>
      <w:r>
        <w:rPr>
          <w:spacing w:val="-3"/>
        </w:rPr>
        <w:t> </w:t>
      </w:r>
      <w:r>
        <w:rPr/>
        <w:t>os fundos CDI (referenciados) estão abaixo da meta atuarial. Com relação ao FASSE, o saldo final</w:t>
      </w:r>
      <w:r>
        <w:rPr>
          <w:spacing w:val="28"/>
        </w:rPr>
        <w:t> </w:t>
      </w:r>
      <w:r>
        <w:rPr/>
        <w:t>de</w:t>
      </w:r>
      <w:r>
        <w:rPr>
          <w:spacing w:val="29"/>
        </w:rPr>
        <w:t> </w:t>
      </w:r>
      <w:r>
        <w:rPr/>
        <w:t>setembro</w:t>
      </w:r>
      <w:r>
        <w:rPr>
          <w:spacing w:val="31"/>
        </w:rPr>
        <w:t> </w:t>
      </w:r>
      <w:r>
        <w:rPr/>
        <w:t>somou</w:t>
      </w:r>
      <w:r>
        <w:rPr>
          <w:spacing w:val="30"/>
        </w:rPr>
        <w:t> </w:t>
      </w:r>
      <w:r>
        <w:rPr/>
        <w:t>R$</w:t>
      </w:r>
      <w:r>
        <w:rPr>
          <w:spacing w:val="27"/>
        </w:rPr>
        <w:t> </w:t>
      </w:r>
      <w:r>
        <w:rPr/>
        <w:t>295.070,68,</w:t>
      </w:r>
      <w:r>
        <w:rPr>
          <w:spacing w:val="29"/>
        </w:rPr>
        <w:t> </w:t>
      </w:r>
      <w:r>
        <w:rPr/>
        <w:t>com</w:t>
      </w:r>
      <w:r>
        <w:rPr>
          <w:spacing w:val="28"/>
        </w:rPr>
        <w:t> </w:t>
      </w:r>
      <w:r>
        <w:rPr/>
        <w:t>um</w:t>
      </w:r>
      <w:r>
        <w:rPr>
          <w:spacing w:val="29"/>
        </w:rPr>
        <w:t> </w:t>
      </w:r>
      <w:r>
        <w:rPr/>
        <w:t>total</w:t>
      </w:r>
      <w:r>
        <w:rPr>
          <w:spacing w:val="29"/>
        </w:rPr>
        <w:t> </w:t>
      </w:r>
      <w:r>
        <w:rPr/>
        <w:t>de</w:t>
      </w:r>
      <w:r>
        <w:rPr>
          <w:spacing w:val="29"/>
        </w:rPr>
        <w:t> </w:t>
      </w:r>
      <w:r>
        <w:rPr/>
        <w:t>294.472,92</w:t>
      </w:r>
      <w:r>
        <w:rPr>
          <w:spacing w:val="28"/>
        </w:rPr>
        <w:t> </w:t>
      </w:r>
      <w:r>
        <w:rPr/>
        <w:t>de</w:t>
      </w:r>
      <w:r>
        <w:rPr>
          <w:spacing w:val="27"/>
        </w:rPr>
        <w:t> </w:t>
      </w:r>
      <w:r>
        <w:rPr/>
        <w:t>saldo</w:t>
      </w:r>
      <w:r>
        <w:rPr>
          <w:spacing w:val="29"/>
        </w:rPr>
        <w:t> </w:t>
      </w:r>
      <w:r>
        <w:rPr/>
        <w:t>anterior,</w:t>
      </w:r>
      <w:r>
        <w:rPr>
          <w:spacing w:val="31"/>
        </w:rPr>
        <w:t> </w:t>
      </w:r>
      <w:r>
        <w:rPr>
          <w:spacing w:val="-5"/>
        </w:rPr>
        <w:t>R$</w:t>
      </w:r>
    </w:p>
    <w:p>
      <w:pPr>
        <w:pStyle w:val="BodyText"/>
        <w:spacing w:after="0" w:line="360" w:lineRule="auto"/>
        <w:jc w:val="both"/>
        <w:sectPr>
          <w:pgSz w:w="12240" w:h="15840"/>
          <w:pgMar w:header="952" w:footer="1481" w:top="1880" w:bottom="1680" w:left="1800" w:right="1080"/>
        </w:sectPr>
      </w:pPr>
    </w:p>
    <w:p>
      <w:pPr>
        <w:pStyle w:val="BodyText"/>
        <w:spacing w:before="177"/>
      </w:pPr>
    </w:p>
    <w:p>
      <w:pPr>
        <w:pStyle w:val="BodyText"/>
        <w:spacing w:line="360" w:lineRule="auto"/>
        <w:ind w:left="188" w:right="18"/>
        <w:jc w:val="both"/>
      </w:pPr>
      <w:r>
        <w:rPr/>
        <w:t>1.800,00 de resgates, e R$ 2.397,76 de rendimentos. No quarto item da pauta, houve a apresentação do fluxo de caixa pelo Diretor-Financeiro. Informou que o saldo final previsto para o mês de outubro, na conta previdenciária, é de R$ 100.892,56, ressaltando que foi considerada a previsão de um aporte de R$ 5.500.000,00 a ser feito pela Prefeitura Municipal. Na conta administrativa, o saldo final previsto para outubro é de R$ 999.677,54, já</w:t>
      </w:r>
      <w:r>
        <w:rPr>
          <w:spacing w:val="40"/>
        </w:rPr>
        <w:t> </w:t>
      </w:r>
      <w:r>
        <w:rPr/>
        <w:t>considerado</w:t>
      </w:r>
      <w:r>
        <w:rPr>
          <w:spacing w:val="-3"/>
        </w:rPr>
        <w:t> </w:t>
      </w:r>
      <w:r>
        <w:rPr/>
        <w:t>o</w:t>
      </w:r>
      <w:r>
        <w:rPr>
          <w:spacing w:val="-4"/>
        </w:rPr>
        <w:t> </w:t>
      </w:r>
      <w:r>
        <w:rPr/>
        <w:t>recebimento</w:t>
      </w:r>
      <w:r>
        <w:rPr>
          <w:spacing w:val="-1"/>
        </w:rPr>
        <w:t> </w:t>
      </w:r>
      <w:r>
        <w:rPr/>
        <w:t>de</w:t>
      </w:r>
      <w:r>
        <w:rPr>
          <w:spacing w:val="-5"/>
        </w:rPr>
        <w:t> </w:t>
      </w:r>
      <w:r>
        <w:rPr/>
        <w:t>todos</w:t>
      </w:r>
      <w:r>
        <w:rPr>
          <w:spacing w:val="-4"/>
        </w:rPr>
        <w:t> </w:t>
      </w:r>
      <w:r>
        <w:rPr/>
        <w:t>os</w:t>
      </w:r>
      <w:r>
        <w:rPr>
          <w:spacing w:val="-4"/>
        </w:rPr>
        <w:t> </w:t>
      </w:r>
      <w:r>
        <w:rPr/>
        <w:t>valores</w:t>
      </w:r>
      <w:r>
        <w:rPr>
          <w:spacing w:val="-2"/>
        </w:rPr>
        <w:t> </w:t>
      </w:r>
      <w:r>
        <w:rPr/>
        <w:t>devidos.</w:t>
      </w:r>
      <w:r>
        <w:rPr>
          <w:spacing w:val="-4"/>
        </w:rPr>
        <w:t> </w:t>
      </w:r>
      <w:r>
        <w:rPr/>
        <w:t>Após</w:t>
      </w:r>
      <w:r>
        <w:rPr>
          <w:spacing w:val="-4"/>
        </w:rPr>
        <w:t> </w:t>
      </w:r>
      <w:r>
        <w:rPr/>
        <w:t>a</w:t>
      </w:r>
      <w:r>
        <w:rPr>
          <w:spacing w:val="-5"/>
        </w:rPr>
        <w:t> </w:t>
      </w:r>
      <w:r>
        <w:rPr/>
        <w:t>apresentação</w:t>
      </w:r>
      <w:r>
        <w:rPr>
          <w:spacing w:val="-3"/>
        </w:rPr>
        <w:t> </w:t>
      </w:r>
      <w:r>
        <w:rPr/>
        <w:t>do</w:t>
      </w:r>
      <w:r>
        <w:rPr>
          <w:spacing w:val="-4"/>
        </w:rPr>
        <w:t> </w:t>
      </w:r>
      <w:r>
        <w:rPr/>
        <w:t>fluxo</w:t>
      </w:r>
      <w:r>
        <w:rPr>
          <w:spacing w:val="-3"/>
        </w:rPr>
        <w:t> </w:t>
      </w:r>
      <w:r>
        <w:rPr/>
        <w:t>de</w:t>
      </w:r>
      <w:r>
        <w:rPr>
          <w:spacing w:val="-5"/>
        </w:rPr>
        <w:t> </w:t>
      </w:r>
      <w:r>
        <w:rPr/>
        <w:t>caixa, a Gestora Adriana disse que através do conselheiro Carlos, suplente da titular Rosane, ambos representantes do SINDIFISC, teve a informação de que valores devidos ao INPAS, de consignação e do município que deveriam estar sendo apropriados nos processos de</w:t>
      </w:r>
      <w:r>
        <w:rPr>
          <w:spacing w:val="40"/>
        </w:rPr>
        <w:t> </w:t>
      </w:r>
      <w:r>
        <w:rPr/>
        <w:t>precatórios judiciais e repassados a esta autarquia, não estão ocorrendo. Em carta, que foi lida por esta servidora, os últimos cinco anos totalizam um valor aproximado de quatro milhões de reais. Segundo o Diretor Financeiro, Robson, este assunto já era de conhecimento e está sendo analisado pela Procuradoria O quinto e o sexto itens da pauta foram analisados em conjunto, e o Comitê decidiu que as aplicações deverão permanecer da mesma forma como já decidido anteriormente. No sétimo item – Política de Investimentos - o Comitê analisou o documento enviado pela Consultoria Di Blasi e promoveu algumas alterações, tanto no texto legal quanto na tabela que contém o resumo da política de investimentos. Neste resumo, ficou decidido que o INPAS poderá aplicar: a)- até 10% em Títulos do Tesouro Nacional; b)- até 100% em FI 100% títulos TN; c)- até 10% em FI Renda Fixa/Referenciados RF; d)- até 10% em FI de Índices Referenciados em RF Subíndices ANBIMA; e)- até 30% em FI de Índices Referenciados em Renda Fixa. A aprovação desses ativos e respectivos limites foi unânime, com exceção da aplicação em FI de Renda Fixa/Referenciados RF. Neste item, a gestora previdenciária, Adriana Catarina da Costa, foi contrária a sua previsão na Política de Investimentos por entender que na sua composição há créditos privados. Porém, a gestora de investimentos informou que também há créditos privados nos índices referenciados em RF subíndices Ambima, que foi aprovado pelo Comitê. Assim, com exceção da senhora Adriana, todos os membros do Comitê votaram favoravelmente a essa previsão, apenas com a redução de</w:t>
      </w:r>
      <w:r>
        <w:rPr>
          <w:spacing w:val="40"/>
        </w:rPr>
        <w:t> </w:t>
      </w:r>
      <w:r>
        <w:rPr/>
        <w:t>80%</w:t>
      </w:r>
      <w:r>
        <w:rPr>
          <w:spacing w:val="40"/>
        </w:rPr>
        <w:t> </w:t>
      </w:r>
      <w:r>
        <w:rPr/>
        <w:t>para</w:t>
      </w:r>
      <w:r>
        <w:rPr>
          <w:spacing w:val="56"/>
        </w:rPr>
        <w:t> </w:t>
      </w:r>
      <w:r>
        <w:rPr/>
        <w:t>10%</w:t>
      </w:r>
      <w:r>
        <w:rPr>
          <w:spacing w:val="40"/>
        </w:rPr>
        <w:t> </w:t>
      </w:r>
      <w:r>
        <w:rPr/>
        <w:t>do</w:t>
      </w:r>
      <w:r>
        <w:rPr>
          <w:spacing w:val="40"/>
        </w:rPr>
        <w:t> </w:t>
      </w:r>
      <w:r>
        <w:rPr/>
        <w:t>limite</w:t>
      </w:r>
      <w:r>
        <w:rPr>
          <w:spacing w:val="56"/>
        </w:rPr>
        <w:t> </w:t>
      </w:r>
      <w:r>
        <w:rPr/>
        <w:t>previsto,</w:t>
      </w:r>
      <w:r>
        <w:rPr>
          <w:spacing w:val="56"/>
        </w:rPr>
        <w:t> </w:t>
      </w:r>
      <w:r>
        <w:rPr/>
        <w:t>tendo</w:t>
      </w:r>
      <w:r>
        <w:rPr>
          <w:spacing w:val="56"/>
        </w:rPr>
        <w:t> </w:t>
      </w:r>
      <w:r>
        <w:rPr/>
        <w:t>em</w:t>
      </w:r>
      <w:r>
        <w:rPr>
          <w:spacing w:val="40"/>
        </w:rPr>
        <w:t> </w:t>
      </w:r>
      <w:r>
        <w:rPr/>
        <w:t>vista</w:t>
      </w:r>
      <w:r>
        <w:rPr>
          <w:spacing w:val="56"/>
        </w:rPr>
        <w:t> </w:t>
      </w:r>
      <w:r>
        <w:rPr/>
        <w:t>ser</w:t>
      </w:r>
      <w:r>
        <w:rPr>
          <w:spacing w:val="40"/>
        </w:rPr>
        <w:t> </w:t>
      </w:r>
      <w:r>
        <w:rPr/>
        <w:t>um</w:t>
      </w:r>
      <w:r>
        <w:rPr>
          <w:spacing w:val="40"/>
        </w:rPr>
        <w:t> </w:t>
      </w:r>
      <w:r>
        <w:rPr/>
        <w:t>investimento</w:t>
      </w:r>
      <w:r>
        <w:rPr>
          <w:spacing w:val="58"/>
        </w:rPr>
        <w:t> </w:t>
      </w:r>
      <w:r>
        <w:rPr/>
        <w:t>indicado</w:t>
      </w:r>
      <w:r>
        <w:rPr>
          <w:spacing w:val="56"/>
        </w:rPr>
        <w:t> </w:t>
      </w:r>
      <w:r>
        <w:rPr/>
        <w:t>para</w:t>
      </w:r>
    </w:p>
    <w:p>
      <w:pPr>
        <w:pStyle w:val="BodyText"/>
        <w:spacing w:after="0" w:line="360" w:lineRule="auto"/>
        <w:jc w:val="both"/>
        <w:sectPr>
          <w:pgSz w:w="12240" w:h="15840"/>
          <w:pgMar w:header="952" w:footer="1481" w:top="1880" w:bottom="1680" w:left="1800" w:right="1080"/>
        </w:sectPr>
      </w:pPr>
    </w:p>
    <w:p>
      <w:pPr>
        <w:pStyle w:val="BodyText"/>
        <w:spacing w:before="177"/>
      </w:pPr>
    </w:p>
    <w:p>
      <w:pPr>
        <w:pStyle w:val="BodyText"/>
        <w:spacing w:line="360" w:lineRule="auto"/>
        <w:ind w:left="188" w:right="21"/>
        <w:jc w:val="both"/>
      </w:pPr>
      <w:r>
        <w:rPr/>
        <w:t>períodos de juros baixos e ainda por ser apenas uma previsão, e não uma determinação de aplicação,</w:t>
      </w:r>
      <w:r>
        <w:rPr>
          <w:spacing w:val="-1"/>
        </w:rPr>
        <w:t> </w:t>
      </w:r>
      <w:r>
        <w:rPr/>
        <w:t>ou</w:t>
      </w:r>
      <w:r>
        <w:rPr>
          <w:spacing w:val="-4"/>
        </w:rPr>
        <w:t> </w:t>
      </w:r>
      <w:r>
        <w:rPr/>
        <w:t>seja,</w:t>
      </w:r>
      <w:r>
        <w:rPr>
          <w:spacing w:val="-4"/>
        </w:rPr>
        <w:t> </w:t>
      </w:r>
      <w:r>
        <w:rPr/>
        <w:t>no</w:t>
      </w:r>
      <w:r>
        <w:rPr>
          <w:spacing w:val="-4"/>
        </w:rPr>
        <w:t> </w:t>
      </w:r>
      <w:r>
        <w:rPr/>
        <w:t>momento</w:t>
      </w:r>
      <w:r>
        <w:rPr>
          <w:spacing w:val="-3"/>
        </w:rPr>
        <w:t> </w:t>
      </w:r>
      <w:r>
        <w:rPr/>
        <w:t>oportuno,</w:t>
      </w:r>
      <w:r>
        <w:rPr>
          <w:spacing w:val="-3"/>
        </w:rPr>
        <w:t> </w:t>
      </w:r>
      <w:r>
        <w:rPr/>
        <w:t>o</w:t>
      </w:r>
      <w:r>
        <w:rPr>
          <w:spacing w:val="-4"/>
        </w:rPr>
        <w:t> </w:t>
      </w:r>
      <w:r>
        <w:rPr/>
        <w:t>Comitê</w:t>
      </w:r>
      <w:r>
        <w:rPr>
          <w:spacing w:val="-3"/>
        </w:rPr>
        <w:t> </w:t>
      </w:r>
      <w:r>
        <w:rPr/>
        <w:t>deverá</w:t>
      </w:r>
      <w:r>
        <w:rPr>
          <w:spacing w:val="-3"/>
        </w:rPr>
        <w:t> </w:t>
      </w:r>
      <w:r>
        <w:rPr/>
        <w:t>avaliar</w:t>
      </w:r>
      <w:r>
        <w:rPr>
          <w:spacing w:val="-3"/>
        </w:rPr>
        <w:t> </w:t>
      </w:r>
      <w:r>
        <w:rPr/>
        <w:t>as</w:t>
      </w:r>
      <w:r>
        <w:rPr>
          <w:spacing w:val="-4"/>
        </w:rPr>
        <w:t> </w:t>
      </w:r>
      <w:r>
        <w:rPr/>
        <w:t>condições</w:t>
      </w:r>
      <w:r>
        <w:rPr>
          <w:spacing w:val="-2"/>
        </w:rPr>
        <w:t> </w:t>
      </w:r>
      <w:r>
        <w:rPr/>
        <w:t>de</w:t>
      </w:r>
      <w:r>
        <w:rPr>
          <w:spacing w:val="-5"/>
        </w:rPr>
        <w:t> </w:t>
      </w:r>
      <w:r>
        <w:rPr/>
        <w:t>mercado</w:t>
      </w:r>
      <w:r>
        <w:rPr>
          <w:spacing w:val="-3"/>
        </w:rPr>
        <w:t> </w:t>
      </w:r>
      <w:r>
        <w:rPr/>
        <w:t>e</w:t>
      </w:r>
      <w:r>
        <w:rPr>
          <w:spacing w:val="-5"/>
        </w:rPr>
        <w:t> </w:t>
      </w:r>
      <w:r>
        <w:rPr/>
        <w:t>a viabilidade de aplicação nesse tipo de ativo. Tais alterações foram consolidadas num documento</w:t>
      </w:r>
      <w:r>
        <w:rPr>
          <w:spacing w:val="40"/>
        </w:rPr>
        <w:t> </w:t>
      </w:r>
      <w:r>
        <w:rPr/>
        <w:t>e, em seguida, será encaminhada ao CMPP para análise e aprovação. Em assuntos gerais, foi ressaltado que será solicitado à Consultoria Di Blasi um apoio na análise dos</w:t>
      </w:r>
      <w:r>
        <w:rPr>
          <w:spacing w:val="40"/>
        </w:rPr>
        <w:t> </w:t>
      </w:r>
      <w:r>
        <w:rPr/>
        <w:t>Fundos das instituições que estão solicitando o credenciamento no INPAS. Sem mais, a Presidente encerrou a reunião às 12:30h, e a presente Ata segue lavrada por mim, Carla Maduro Vogas Tavares, Secretária deste Comitê, que a submeterei à aprovação dos demais membros e devidamente colherei suas assinaturas.</w:t>
      </w:r>
    </w:p>
    <w:p>
      <w:pPr>
        <w:pStyle w:val="BodyText"/>
        <w:spacing w:before="150"/>
        <w:rPr>
          <w:sz w:val="20"/>
        </w:rPr>
      </w:pPr>
    </w:p>
    <w:p>
      <w:pPr>
        <w:pStyle w:val="BodyText"/>
        <w:spacing w:after="0"/>
        <w:rPr>
          <w:sz w:val="20"/>
        </w:rPr>
        <w:sectPr>
          <w:pgSz w:w="12240" w:h="15840"/>
          <w:pgMar w:header="952" w:footer="1481" w:top="1880" w:bottom="1680" w:left="1800" w:right="1080"/>
        </w:sectPr>
      </w:pPr>
    </w:p>
    <w:p>
      <w:pPr>
        <w:pStyle w:val="BodyText"/>
        <w:spacing w:line="360" w:lineRule="auto" w:before="90"/>
        <w:ind w:left="574" w:right="38" w:firstLine="566"/>
      </w:pPr>
      <w:r>
        <w:rPr/>
        <w:t>Lucimar Glória Gomes Chefe</w:t>
      </w:r>
      <w:r>
        <w:rPr>
          <w:spacing w:val="-12"/>
        </w:rPr>
        <w:t> </w:t>
      </w:r>
      <w:r>
        <w:rPr/>
        <w:t>da</w:t>
      </w:r>
      <w:r>
        <w:rPr>
          <w:spacing w:val="-10"/>
        </w:rPr>
        <w:t> </w:t>
      </w:r>
      <w:r>
        <w:rPr/>
        <w:t>Divisão</w:t>
      </w:r>
      <w:r>
        <w:rPr>
          <w:spacing w:val="-11"/>
        </w:rPr>
        <w:t> </w:t>
      </w:r>
      <w:r>
        <w:rPr/>
        <w:t>de</w:t>
      </w:r>
      <w:r>
        <w:rPr>
          <w:spacing w:val="-12"/>
        </w:rPr>
        <w:t> </w:t>
      </w:r>
      <w:r>
        <w:rPr/>
        <w:t>Contabilidade</w:t>
      </w:r>
    </w:p>
    <w:p>
      <w:pPr>
        <w:pStyle w:val="BodyText"/>
        <w:ind w:left="1752"/>
      </w:pPr>
      <w:r>
        <w:rPr>
          <w:spacing w:val="-2"/>
        </w:rPr>
        <w:t>Presidente</w:t>
      </w:r>
    </w:p>
    <w:p>
      <w:pPr>
        <w:pStyle w:val="BodyText"/>
        <w:spacing w:line="360" w:lineRule="auto" w:before="90"/>
        <w:ind w:left="617" w:right="754" w:hanging="44"/>
      </w:pPr>
      <w:r>
        <w:rPr/>
        <w:br w:type="column"/>
      </w:r>
      <w:r>
        <w:rPr/>
        <w:t>Claudia</w:t>
      </w:r>
      <w:r>
        <w:rPr>
          <w:spacing w:val="-14"/>
        </w:rPr>
        <w:t> </w:t>
      </w:r>
      <w:r>
        <w:rPr/>
        <w:t>Miranda</w:t>
      </w:r>
      <w:r>
        <w:rPr>
          <w:spacing w:val="-14"/>
        </w:rPr>
        <w:t> </w:t>
      </w:r>
      <w:r>
        <w:rPr/>
        <w:t>do</w:t>
      </w:r>
      <w:r>
        <w:rPr>
          <w:spacing w:val="-15"/>
        </w:rPr>
        <w:t> </w:t>
      </w:r>
      <w:r>
        <w:rPr/>
        <w:t>Nascimento Chefe</w:t>
      </w:r>
      <w:r>
        <w:rPr>
          <w:spacing w:val="-1"/>
        </w:rPr>
        <w:t> </w:t>
      </w:r>
      <w:r>
        <w:rPr/>
        <w:t>da Divisão de</w:t>
      </w:r>
      <w:r>
        <w:rPr>
          <w:spacing w:val="-1"/>
        </w:rPr>
        <w:t> </w:t>
      </w:r>
      <w:r>
        <w:rPr/>
        <w:t>Tesouraria</w:t>
      </w:r>
    </w:p>
    <w:p>
      <w:pPr>
        <w:pStyle w:val="BodyText"/>
        <w:spacing w:after="0" w:line="360" w:lineRule="auto"/>
        <w:sectPr>
          <w:type w:val="continuous"/>
          <w:pgSz w:w="12240" w:h="15840"/>
          <w:pgMar w:header="952" w:footer="1481" w:top="1880" w:bottom="1680" w:left="1800" w:right="1080"/>
          <w:cols w:num="2" w:equalWidth="0">
            <w:col w:w="3968" w:space="940"/>
            <w:col w:w="4452"/>
          </w:cols>
        </w:sectPr>
      </w:pPr>
    </w:p>
    <w:p>
      <w:pPr>
        <w:pStyle w:val="BodyText"/>
        <w:spacing w:before="204"/>
        <w:rPr>
          <w:sz w:val="20"/>
        </w:rPr>
      </w:pPr>
    </w:p>
    <w:p>
      <w:pPr>
        <w:pStyle w:val="BodyText"/>
        <w:spacing w:after="0"/>
        <w:rPr>
          <w:sz w:val="20"/>
        </w:rPr>
        <w:sectPr>
          <w:type w:val="continuous"/>
          <w:pgSz w:w="12240" w:h="15840"/>
          <w:pgMar w:header="952" w:footer="1481" w:top="1880" w:bottom="1680" w:left="1800" w:right="1080"/>
        </w:sectPr>
      </w:pPr>
    </w:p>
    <w:p>
      <w:pPr>
        <w:pStyle w:val="BodyText"/>
        <w:spacing w:line="360" w:lineRule="auto" w:before="90"/>
        <w:ind w:left="1362" w:right="38" w:hanging="302"/>
      </w:pPr>
      <w:r>
        <w:rPr/>
        <w:t>Robson</w:t>
      </w:r>
      <w:r>
        <w:rPr>
          <w:spacing w:val="-14"/>
        </w:rPr>
        <w:t> </w:t>
      </w:r>
      <w:r>
        <w:rPr/>
        <w:t>Carneiro</w:t>
      </w:r>
      <w:r>
        <w:rPr>
          <w:spacing w:val="-13"/>
        </w:rPr>
        <w:t> </w:t>
      </w:r>
      <w:r>
        <w:rPr/>
        <w:t>da</w:t>
      </w:r>
      <w:r>
        <w:rPr>
          <w:spacing w:val="-13"/>
        </w:rPr>
        <w:t> </w:t>
      </w:r>
      <w:r>
        <w:rPr/>
        <w:t>Cruz Diretor Financeiro</w:t>
      </w:r>
    </w:p>
    <w:p>
      <w:pPr>
        <w:pStyle w:val="BodyText"/>
        <w:spacing w:line="360" w:lineRule="auto" w:before="90"/>
        <w:ind w:left="1078" w:right="1099" w:hanging="18"/>
      </w:pPr>
      <w:r>
        <w:rPr/>
        <w:br w:type="column"/>
      </w:r>
      <w:r>
        <w:rPr/>
        <w:t>Michele</w:t>
      </w:r>
      <w:r>
        <w:rPr>
          <w:spacing w:val="-1"/>
        </w:rPr>
        <w:t> </w:t>
      </w:r>
      <w:r>
        <w:rPr/>
        <w:t>Schifller Forster Gestora</w:t>
      </w:r>
      <w:r>
        <w:rPr>
          <w:spacing w:val="-3"/>
        </w:rPr>
        <w:t> </w:t>
      </w:r>
      <w:r>
        <w:rPr/>
        <w:t>de</w:t>
      </w:r>
      <w:r>
        <w:rPr>
          <w:spacing w:val="-4"/>
        </w:rPr>
        <w:t> </w:t>
      </w:r>
      <w:r>
        <w:rPr>
          <w:spacing w:val="-2"/>
        </w:rPr>
        <w:t>Investimentos</w:t>
      </w:r>
    </w:p>
    <w:p>
      <w:pPr>
        <w:pStyle w:val="BodyText"/>
        <w:spacing w:after="0" w:line="360" w:lineRule="auto"/>
        <w:sectPr>
          <w:type w:val="continuous"/>
          <w:pgSz w:w="12240" w:h="15840"/>
          <w:pgMar w:header="952" w:footer="1481" w:top="1880" w:bottom="1680" w:left="1800" w:right="1080"/>
          <w:cols w:num="2" w:equalWidth="0">
            <w:col w:w="3545" w:space="1203"/>
            <w:col w:w="4612"/>
          </w:cols>
        </w:sectPr>
      </w:pPr>
    </w:p>
    <w:p>
      <w:pPr>
        <w:pStyle w:val="BodyText"/>
        <w:spacing w:before="66"/>
        <w:rPr>
          <w:sz w:val="20"/>
        </w:rPr>
      </w:pPr>
    </w:p>
    <w:p>
      <w:pPr>
        <w:pStyle w:val="BodyText"/>
        <w:spacing w:after="0"/>
        <w:rPr>
          <w:sz w:val="20"/>
        </w:rPr>
        <w:sectPr>
          <w:type w:val="continuous"/>
          <w:pgSz w:w="12240" w:h="15840"/>
          <w:pgMar w:header="952" w:footer="1481" w:top="1880" w:bottom="1680" w:left="1800" w:right="1080"/>
        </w:sectPr>
      </w:pPr>
    </w:p>
    <w:p>
      <w:pPr>
        <w:pStyle w:val="BodyText"/>
        <w:spacing w:line="360" w:lineRule="auto" w:before="90"/>
        <w:ind w:left="1156" w:right="38" w:hanging="172"/>
      </w:pPr>
      <w:r>
        <w:rPr/>
        <w:t>Adriana</w:t>
      </w:r>
      <w:r>
        <w:rPr>
          <w:spacing w:val="-14"/>
        </w:rPr>
        <w:t> </w:t>
      </w:r>
      <w:r>
        <w:rPr/>
        <w:t>Catarina</w:t>
      </w:r>
      <w:r>
        <w:rPr>
          <w:spacing w:val="-12"/>
        </w:rPr>
        <w:t> </w:t>
      </w:r>
      <w:r>
        <w:rPr/>
        <w:t>da</w:t>
      </w:r>
      <w:r>
        <w:rPr>
          <w:spacing w:val="-15"/>
        </w:rPr>
        <w:t> </w:t>
      </w:r>
      <w:r>
        <w:rPr/>
        <w:t>Costa Gestora Previdenciária</w:t>
      </w:r>
    </w:p>
    <w:p>
      <w:pPr>
        <w:pStyle w:val="BodyText"/>
        <w:spacing w:line="360" w:lineRule="auto" w:before="90"/>
        <w:ind w:left="650" w:right="202"/>
        <w:jc w:val="center"/>
      </w:pPr>
      <w:r>
        <w:rPr/>
        <w:br w:type="column"/>
      </w:r>
      <w:r>
        <w:rPr/>
        <w:t>Carla</w:t>
      </w:r>
      <w:r>
        <w:rPr>
          <w:spacing w:val="-8"/>
        </w:rPr>
        <w:t> </w:t>
      </w:r>
      <w:r>
        <w:rPr/>
        <w:t>Cristina</w:t>
      </w:r>
      <w:r>
        <w:rPr>
          <w:spacing w:val="-9"/>
        </w:rPr>
        <w:t> </w:t>
      </w:r>
      <w:r>
        <w:rPr/>
        <w:t>Correia</w:t>
      </w:r>
      <w:r>
        <w:rPr>
          <w:spacing w:val="-8"/>
        </w:rPr>
        <w:t> </w:t>
      </w:r>
      <w:r>
        <w:rPr/>
        <w:t>M.</w:t>
      </w:r>
      <w:r>
        <w:rPr>
          <w:spacing w:val="-9"/>
        </w:rPr>
        <w:t> </w:t>
      </w:r>
      <w:r>
        <w:rPr/>
        <w:t>V.</w:t>
      </w:r>
      <w:r>
        <w:rPr>
          <w:spacing w:val="-9"/>
        </w:rPr>
        <w:t> </w:t>
      </w:r>
      <w:r>
        <w:rPr/>
        <w:t>Tavares Gestora Previdenciária</w:t>
      </w:r>
    </w:p>
    <w:p>
      <w:pPr>
        <w:pStyle w:val="BodyText"/>
        <w:ind w:left="650" w:right="261"/>
        <w:jc w:val="center"/>
      </w:pPr>
      <w:r>
        <w:rPr>
          <w:spacing w:val="-2"/>
        </w:rPr>
        <w:t>Secretária</w:t>
      </w:r>
    </w:p>
    <w:sectPr>
      <w:type w:val="continuous"/>
      <w:pgSz w:w="12240" w:h="15840"/>
      <w:pgMar w:header="952" w:footer="1481" w:top="1880" w:bottom="1680" w:left="1800" w:right="1080"/>
      <w:cols w:num="2" w:equalWidth="0">
        <w:col w:w="3561" w:space="717"/>
        <w:col w:w="508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7904">
              <wp:simplePos x="0" y="0"/>
              <wp:positionH relativeFrom="page">
                <wp:posOffset>1652270</wp:posOffset>
              </wp:positionH>
              <wp:positionV relativeFrom="page">
                <wp:posOffset>8978490</wp:posOffset>
              </wp:positionV>
              <wp:extent cx="3363595" cy="3962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63595" cy="396240"/>
                      </a:xfrm>
                      <a:prstGeom prst="rect">
                        <a:avLst/>
                      </a:prstGeom>
                    </wps:spPr>
                    <wps:txbx>
                      <w:txbxContent>
                        <w:p>
                          <w:pPr>
                            <w:spacing w:before="20"/>
                            <w:ind w:left="1" w:right="0" w:firstLine="0"/>
                            <w:jc w:val="center"/>
                            <w:rPr>
                              <w:rFonts w:ascii="Verdana" w:hAnsi="Verdana"/>
                              <w:sz w:val="12"/>
                            </w:rPr>
                          </w:pPr>
                          <w:r>
                            <w:rPr>
                              <w:rFonts w:ascii="Verdana" w:hAnsi="Verdana"/>
                              <w:sz w:val="12"/>
                            </w:rPr>
                            <w:t>Rua</w:t>
                          </w:r>
                          <w:r>
                            <w:rPr>
                              <w:rFonts w:ascii="Verdana" w:hAnsi="Verdana"/>
                              <w:spacing w:val="-4"/>
                              <w:sz w:val="12"/>
                            </w:rPr>
                            <w:t> </w:t>
                          </w:r>
                          <w:r>
                            <w:rPr>
                              <w:rFonts w:ascii="Verdana" w:hAnsi="Verdana"/>
                              <w:sz w:val="12"/>
                            </w:rPr>
                            <w:t>Dr.</w:t>
                          </w:r>
                          <w:r>
                            <w:rPr>
                              <w:rFonts w:ascii="Verdana" w:hAnsi="Verdana"/>
                              <w:spacing w:val="-3"/>
                              <w:sz w:val="12"/>
                            </w:rPr>
                            <w:t> </w:t>
                          </w:r>
                          <w:r>
                            <w:rPr>
                              <w:rFonts w:ascii="Verdana" w:hAnsi="Verdana"/>
                              <w:sz w:val="12"/>
                            </w:rPr>
                            <w:t>Alencar</w:t>
                          </w:r>
                          <w:r>
                            <w:rPr>
                              <w:rFonts w:ascii="Verdana" w:hAnsi="Verdana"/>
                              <w:spacing w:val="-3"/>
                              <w:sz w:val="12"/>
                            </w:rPr>
                            <w:t> </w:t>
                          </w:r>
                          <w:r>
                            <w:rPr>
                              <w:rFonts w:ascii="Verdana" w:hAnsi="Verdana"/>
                              <w:sz w:val="12"/>
                            </w:rPr>
                            <w:t>Lima,</w:t>
                          </w:r>
                          <w:r>
                            <w:rPr>
                              <w:rFonts w:ascii="Verdana" w:hAnsi="Verdana"/>
                              <w:spacing w:val="-1"/>
                              <w:sz w:val="12"/>
                            </w:rPr>
                            <w:t> </w:t>
                          </w:r>
                          <w:r>
                            <w:rPr>
                              <w:rFonts w:ascii="Verdana" w:hAnsi="Verdana"/>
                              <w:sz w:val="12"/>
                            </w:rPr>
                            <w:t>35</w:t>
                          </w:r>
                          <w:r>
                            <w:rPr>
                              <w:rFonts w:ascii="Verdana" w:hAnsi="Verdana"/>
                              <w:spacing w:val="-4"/>
                              <w:sz w:val="12"/>
                            </w:rPr>
                            <w:t> </w:t>
                          </w:r>
                          <w:r>
                            <w:rPr>
                              <w:rFonts w:ascii="Verdana" w:hAnsi="Verdana"/>
                              <w:sz w:val="12"/>
                            </w:rPr>
                            <w:t>–</w:t>
                          </w:r>
                          <w:r>
                            <w:rPr>
                              <w:rFonts w:ascii="Verdana" w:hAnsi="Verdana"/>
                              <w:spacing w:val="-2"/>
                              <w:sz w:val="12"/>
                            </w:rPr>
                            <w:t> </w:t>
                          </w:r>
                          <w:r>
                            <w:rPr>
                              <w:rFonts w:ascii="Verdana" w:hAnsi="Verdana"/>
                              <w:sz w:val="12"/>
                            </w:rPr>
                            <w:t>salas</w:t>
                          </w:r>
                          <w:r>
                            <w:rPr>
                              <w:rFonts w:ascii="Verdana" w:hAnsi="Verdana"/>
                              <w:spacing w:val="-4"/>
                              <w:sz w:val="12"/>
                            </w:rPr>
                            <w:t> </w:t>
                          </w:r>
                          <w:r>
                            <w:rPr>
                              <w:rFonts w:ascii="Verdana" w:hAnsi="Verdana"/>
                              <w:sz w:val="12"/>
                            </w:rPr>
                            <w:t>101/115 -</w:t>
                          </w:r>
                          <w:r>
                            <w:rPr>
                              <w:rFonts w:ascii="Verdana" w:hAnsi="Verdana"/>
                              <w:spacing w:val="-4"/>
                              <w:sz w:val="12"/>
                            </w:rPr>
                            <w:t> </w:t>
                          </w:r>
                          <w:r>
                            <w:rPr>
                              <w:rFonts w:ascii="Verdana" w:hAnsi="Verdana"/>
                              <w:sz w:val="12"/>
                            </w:rPr>
                            <w:t>Centro</w:t>
                          </w:r>
                          <w:r>
                            <w:rPr>
                              <w:rFonts w:ascii="Verdana" w:hAnsi="Verdana"/>
                              <w:spacing w:val="-3"/>
                              <w:sz w:val="12"/>
                            </w:rPr>
                            <w:t> </w:t>
                          </w:r>
                          <w:r>
                            <w:rPr>
                              <w:rFonts w:ascii="Verdana" w:hAnsi="Verdana"/>
                              <w:sz w:val="12"/>
                            </w:rPr>
                            <w:t>-</w:t>
                          </w:r>
                          <w:r>
                            <w:rPr>
                              <w:rFonts w:ascii="Verdana" w:hAnsi="Verdana"/>
                              <w:spacing w:val="-4"/>
                              <w:sz w:val="12"/>
                            </w:rPr>
                            <w:t> </w:t>
                          </w:r>
                          <w:r>
                            <w:rPr>
                              <w:rFonts w:ascii="Verdana" w:hAnsi="Verdana"/>
                              <w:sz w:val="12"/>
                            </w:rPr>
                            <w:t>Petrópolis</w:t>
                          </w:r>
                          <w:r>
                            <w:rPr>
                              <w:rFonts w:ascii="Verdana" w:hAnsi="Verdana"/>
                              <w:spacing w:val="-2"/>
                              <w:sz w:val="12"/>
                            </w:rPr>
                            <w:t> </w:t>
                          </w:r>
                          <w:r>
                            <w:rPr>
                              <w:rFonts w:ascii="Verdana" w:hAnsi="Verdana"/>
                              <w:sz w:val="12"/>
                            </w:rPr>
                            <w:t>-</w:t>
                          </w:r>
                          <w:r>
                            <w:rPr>
                              <w:rFonts w:ascii="Verdana" w:hAnsi="Verdana"/>
                              <w:spacing w:val="-2"/>
                              <w:sz w:val="12"/>
                            </w:rPr>
                            <w:t> </w:t>
                          </w:r>
                          <w:r>
                            <w:rPr>
                              <w:rFonts w:ascii="Verdana" w:hAnsi="Verdana"/>
                              <w:sz w:val="12"/>
                            </w:rPr>
                            <w:t>RJ</w:t>
                          </w:r>
                          <w:r>
                            <w:rPr>
                              <w:rFonts w:ascii="Verdana" w:hAnsi="Verdana"/>
                              <w:spacing w:val="-4"/>
                              <w:sz w:val="12"/>
                            </w:rPr>
                            <w:t> </w:t>
                          </w:r>
                          <w:r>
                            <w:rPr>
                              <w:rFonts w:ascii="Verdana" w:hAnsi="Verdana"/>
                              <w:sz w:val="12"/>
                            </w:rPr>
                            <w:t>-</w:t>
                          </w:r>
                          <w:r>
                            <w:rPr>
                              <w:rFonts w:ascii="Verdana" w:hAnsi="Verdana"/>
                              <w:spacing w:val="-4"/>
                              <w:sz w:val="12"/>
                            </w:rPr>
                            <w:t> </w:t>
                          </w:r>
                          <w:r>
                            <w:rPr>
                              <w:rFonts w:ascii="Verdana" w:hAnsi="Verdana"/>
                              <w:sz w:val="12"/>
                            </w:rPr>
                            <w:t>CEP.:</w:t>
                          </w:r>
                          <w:r>
                            <w:rPr>
                              <w:rFonts w:ascii="Verdana" w:hAnsi="Verdana"/>
                              <w:spacing w:val="-4"/>
                              <w:sz w:val="12"/>
                            </w:rPr>
                            <w:t> </w:t>
                          </w:r>
                          <w:r>
                            <w:rPr>
                              <w:rFonts w:ascii="Verdana" w:hAnsi="Verdana"/>
                              <w:sz w:val="12"/>
                            </w:rPr>
                            <w:t>25620-050 CNPJ 31.157.589/0001-60 - tel.: (24) 2220-9200</w:t>
                          </w:r>
                        </w:p>
                        <w:p>
                          <w:pPr>
                            <w:spacing w:before="0"/>
                            <w:ind w:left="352" w:right="347" w:firstLine="0"/>
                            <w:jc w:val="center"/>
                            <w:rPr>
                              <w:rFonts w:ascii="Verdana" w:hAnsi="Verdana"/>
                              <w:sz w:val="12"/>
                            </w:rPr>
                          </w:pPr>
                          <w:r>
                            <w:rPr>
                              <w:rFonts w:ascii="Verdana" w:hAnsi="Verdana"/>
                              <w:sz w:val="12"/>
                            </w:rPr>
                            <w:t>DAF-</w:t>
                          </w:r>
                          <w:r>
                            <w:rPr>
                              <w:rFonts w:ascii="Verdana" w:hAnsi="Verdana"/>
                              <w:spacing w:val="-6"/>
                              <w:sz w:val="12"/>
                            </w:rPr>
                            <w:t> </w:t>
                          </w:r>
                          <w:r>
                            <w:rPr>
                              <w:rFonts w:ascii="Verdana" w:hAnsi="Verdana"/>
                              <w:sz w:val="12"/>
                            </w:rPr>
                            <w:t>Diretoria</w:t>
                          </w:r>
                          <w:r>
                            <w:rPr>
                              <w:rFonts w:ascii="Verdana" w:hAnsi="Verdana"/>
                              <w:spacing w:val="-8"/>
                              <w:sz w:val="12"/>
                            </w:rPr>
                            <w:t> </w:t>
                          </w:r>
                          <w:r>
                            <w:rPr>
                              <w:rFonts w:ascii="Verdana" w:hAnsi="Verdana"/>
                              <w:sz w:val="12"/>
                            </w:rPr>
                            <w:t>de</w:t>
                          </w:r>
                          <w:r>
                            <w:rPr>
                              <w:rFonts w:ascii="Verdana" w:hAnsi="Verdana"/>
                              <w:spacing w:val="-5"/>
                              <w:sz w:val="12"/>
                            </w:rPr>
                            <w:t> </w:t>
                          </w:r>
                          <w:r>
                            <w:rPr>
                              <w:rFonts w:ascii="Verdana" w:hAnsi="Verdana"/>
                              <w:sz w:val="12"/>
                            </w:rPr>
                            <w:t>Administração</w:t>
                          </w:r>
                          <w:r>
                            <w:rPr>
                              <w:rFonts w:ascii="Verdana" w:hAnsi="Verdana"/>
                              <w:spacing w:val="-7"/>
                              <w:sz w:val="12"/>
                            </w:rPr>
                            <w:t> </w:t>
                          </w:r>
                          <w:r>
                            <w:rPr>
                              <w:rFonts w:ascii="Verdana" w:hAnsi="Verdana"/>
                              <w:sz w:val="12"/>
                            </w:rPr>
                            <w:t>e</w:t>
                          </w:r>
                          <w:r>
                            <w:rPr>
                              <w:rFonts w:ascii="Verdana" w:hAnsi="Verdana"/>
                              <w:spacing w:val="-7"/>
                              <w:sz w:val="12"/>
                            </w:rPr>
                            <w:t> </w:t>
                          </w:r>
                          <w:r>
                            <w:rPr>
                              <w:rFonts w:ascii="Verdana" w:hAnsi="Verdana"/>
                              <w:sz w:val="12"/>
                            </w:rPr>
                            <w:t>Finanças.</w:t>
                          </w:r>
                          <w:r>
                            <w:rPr>
                              <w:rFonts w:ascii="Verdana" w:hAnsi="Verdana"/>
                              <w:spacing w:val="-5"/>
                              <w:sz w:val="12"/>
                            </w:rPr>
                            <w:t> </w:t>
                          </w:r>
                          <w:r>
                            <w:rPr>
                              <w:rFonts w:ascii="Verdana" w:hAnsi="Verdana"/>
                              <w:sz w:val="12"/>
                            </w:rPr>
                            <w:t>E-mail:</w:t>
                          </w:r>
                          <w:r>
                            <w:rPr>
                              <w:rFonts w:ascii="Verdana" w:hAnsi="Verdana"/>
                              <w:spacing w:val="-5"/>
                              <w:sz w:val="12"/>
                            </w:rPr>
                            <w:t> </w:t>
                          </w:r>
                          <w:hyperlink r:id="rId1">
                            <w:r>
                              <w:rPr>
                                <w:rFonts w:ascii="Verdana" w:hAnsi="Verdana"/>
                                <w:color w:val="0000FF"/>
                                <w:sz w:val="12"/>
                                <w:u w:val="single" w:color="0000FF"/>
                              </w:rPr>
                              <w:t>daf@inpas.rj.gov.br</w:t>
                            </w:r>
                          </w:hyperlink>
                          <w:r>
                            <w:rPr>
                              <w:rFonts w:ascii="Verdana" w:hAnsi="Verdana"/>
                              <w:color w:val="0000FF"/>
                              <w:sz w:val="12"/>
                            </w:rPr>
                            <w:t> </w:t>
                          </w:r>
                          <w:r>
                            <w:rPr>
                              <w:rFonts w:ascii="Verdana" w:hAnsi="Verdana"/>
                              <w:sz w:val="12"/>
                            </w:rPr>
                            <w:t>Site:</w:t>
                          </w:r>
                          <w:r>
                            <w:rPr>
                              <w:rFonts w:ascii="Verdana" w:hAnsi="Verdana"/>
                              <w:spacing w:val="-1"/>
                              <w:sz w:val="12"/>
                            </w:rPr>
                            <w:t> </w:t>
                          </w:r>
                          <w:hyperlink r:id="rId2">
                            <w:r>
                              <w:rPr>
                                <w:rFonts w:ascii="Verdana" w:hAnsi="Verdana"/>
                                <w:color w:val="0000FF"/>
                                <w:sz w:val="12"/>
                                <w:u w:val="single" w:color="0000FF"/>
                              </w:rPr>
                              <w:t>www.inpas.rj.gov.br</w:t>
                            </w:r>
                          </w:hyperlink>
                        </w:p>
                      </w:txbxContent>
                    </wps:txbx>
                    <wps:bodyPr wrap="square" lIns="0" tIns="0" rIns="0" bIns="0" rtlCol="0">
                      <a:noAutofit/>
                    </wps:bodyPr>
                  </wps:wsp>
                </a:graphicData>
              </a:graphic>
            </wp:anchor>
          </w:drawing>
        </mc:Choice>
        <mc:Fallback>
          <w:pict>
            <v:shape style="position:absolute;margin-left:130.100006pt;margin-top:706.967773pt;width:264.850pt;height:31.2pt;mso-position-horizontal-relative:page;mso-position-vertical-relative:page;z-index:-15768576" type="#_x0000_t202" id="docshape2" filled="false" stroked="false">
              <v:textbox inset="0,0,0,0">
                <w:txbxContent>
                  <w:p>
                    <w:pPr>
                      <w:spacing w:before="20"/>
                      <w:ind w:left="1" w:right="0" w:firstLine="0"/>
                      <w:jc w:val="center"/>
                      <w:rPr>
                        <w:rFonts w:ascii="Verdana" w:hAnsi="Verdana"/>
                        <w:sz w:val="12"/>
                      </w:rPr>
                    </w:pPr>
                    <w:r>
                      <w:rPr>
                        <w:rFonts w:ascii="Verdana" w:hAnsi="Verdana"/>
                        <w:sz w:val="12"/>
                      </w:rPr>
                      <w:t>Rua</w:t>
                    </w:r>
                    <w:r>
                      <w:rPr>
                        <w:rFonts w:ascii="Verdana" w:hAnsi="Verdana"/>
                        <w:spacing w:val="-4"/>
                        <w:sz w:val="12"/>
                      </w:rPr>
                      <w:t> </w:t>
                    </w:r>
                    <w:r>
                      <w:rPr>
                        <w:rFonts w:ascii="Verdana" w:hAnsi="Verdana"/>
                        <w:sz w:val="12"/>
                      </w:rPr>
                      <w:t>Dr.</w:t>
                    </w:r>
                    <w:r>
                      <w:rPr>
                        <w:rFonts w:ascii="Verdana" w:hAnsi="Verdana"/>
                        <w:spacing w:val="-3"/>
                        <w:sz w:val="12"/>
                      </w:rPr>
                      <w:t> </w:t>
                    </w:r>
                    <w:r>
                      <w:rPr>
                        <w:rFonts w:ascii="Verdana" w:hAnsi="Verdana"/>
                        <w:sz w:val="12"/>
                      </w:rPr>
                      <w:t>Alencar</w:t>
                    </w:r>
                    <w:r>
                      <w:rPr>
                        <w:rFonts w:ascii="Verdana" w:hAnsi="Verdana"/>
                        <w:spacing w:val="-3"/>
                        <w:sz w:val="12"/>
                      </w:rPr>
                      <w:t> </w:t>
                    </w:r>
                    <w:r>
                      <w:rPr>
                        <w:rFonts w:ascii="Verdana" w:hAnsi="Verdana"/>
                        <w:sz w:val="12"/>
                      </w:rPr>
                      <w:t>Lima,</w:t>
                    </w:r>
                    <w:r>
                      <w:rPr>
                        <w:rFonts w:ascii="Verdana" w:hAnsi="Verdana"/>
                        <w:spacing w:val="-1"/>
                        <w:sz w:val="12"/>
                      </w:rPr>
                      <w:t> </w:t>
                    </w:r>
                    <w:r>
                      <w:rPr>
                        <w:rFonts w:ascii="Verdana" w:hAnsi="Verdana"/>
                        <w:sz w:val="12"/>
                      </w:rPr>
                      <w:t>35</w:t>
                    </w:r>
                    <w:r>
                      <w:rPr>
                        <w:rFonts w:ascii="Verdana" w:hAnsi="Verdana"/>
                        <w:spacing w:val="-4"/>
                        <w:sz w:val="12"/>
                      </w:rPr>
                      <w:t> </w:t>
                    </w:r>
                    <w:r>
                      <w:rPr>
                        <w:rFonts w:ascii="Verdana" w:hAnsi="Verdana"/>
                        <w:sz w:val="12"/>
                      </w:rPr>
                      <w:t>–</w:t>
                    </w:r>
                    <w:r>
                      <w:rPr>
                        <w:rFonts w:ascii="Verdana" w:hAnsi="Verdana"/>
                        <w:spacing w:val="-2"/>
                        <w:sz w:val="12"/>
                      </w:rPr>
                      <w:t> </w:t>
                    </w:r>
                    <w:r>
                      <w:rPr>
                        <w:rFonts w:ascii="Verdana" w:hAnsi="Verdana"/>
                        <w:sz w:val="12"/>
                      </w:rPr>
                      <w:t>salas</w:t>
                    </w:r>
                    <w:r>
                      <w:rPr>
                        <w:rFonts w:ascii="Verdana" w:hAnsi="Verdana"/>
                        <w:spacing w:val="-4"/>
                        <w:sz w:val="12"/>
                      </w:rPr>
                      <w:t> </w:t>
                    </w:r>
                    <w:r>
                      <w:rPr>
                        <w:rFonts w:ascii="Verdana" w:hAnsi="Verdana"/>
                        <w:sz w:val="12"/>
                      </w:rPr>
                      <w:t>101/115 -</w:t>
                    </w:r>
                    <w:r>
                      <w:rPr>
                        <w:rFonts w:ascii="Verdana" w:hAnsi="Verdana"/>
                        <w:spacing w:val="-4"/>
                        <w:sz w:val="12"/>
                      </w:rPr>
                      <w:t> </w:t>
                    </w:r>
                    <w:r>
                      <w:rPr>
                        <w:rFonts w:ascii="Verdana" w:hAnsi="Verdana"/>
                        <w:sz w:val="12"/>
                      </w:rPr>
                      <w:t>Centro</w:t>
                    </w:r>
                    <w:r>
                      <w:rPr>
                        <w:rFonts w:ascii="Verdana" w:hAnsi="Verdana"/>
                        <w:spacing w:val="-3"/>
                        <w:sz w:val="12"/>
                      </w:rPr>
                      <w:t> </w:t>
                    </w:r>
                    <w:r>
                      <w:rPr>
                        <w:rFonts w:ascii="Verdana" w:hAnsi="Verdana"/>
                        <w:sz w:val="12"/>
                      </w:rPr>
                      <w:t>-</w:t>
                    </w:r>
                    <w:r>
                      <w:rPr>
                        <w:rFonts w:ascii="Verdana" w:hAnsi="Verdana"/>
                        <w:spacing w:val="-4"/>
                        <w:sz w:val="12"/>
                      </w:rPr>
                      <w:t> </w:t>
                    </w:r>
                    <w:r>
                      <w:rPr>
                        <w:rFonts w:ascii="Verdana" w:hAnsi="Verdana"/>
                        <w:sz w:val="12"/>
                      </w:rPr>
                      <w:t>Petrópolis</w:t>
                    </w:r>
                    <w:r>
                      <w:rPr>
                        <w:rFonts w:ascii="Verdana" w:hAnsi="Verdana"/>
                        <w:spacing w:val="-2"/>
                        <w:sz w:val="12"/>
                      </w:rPr>
                      <w:t> </w:t>
                    </w:r>
                    <w:r>
                      <w:rPr>
                        <w:rFonts w:ascii="Verdana" w:hAnsi="Verdana"/>
                        <w:sz w:val="12"/>
                      </w:rPr>
                      <w:t>-</w:t>
                    </w:r>
                    <w:r>
                      <w:rPr>
                        <w:rFonts w:ascii="Verdana" w:hAnsi="Verdana"/>
                        <w:spacing w:val="-2"/>
                        <w:sz w:val="12"/>
                      </w:rPr>
                      <w:t> </w:t>
                    </w:r>
                    <w:r>
                      <w:rPr>
                        <w:rFonts w:ascii="Verdana" w:hAnsi="Verdana"/>
                        <w:sz w:val="12"/>
                      </w:rPr>
                      <w:t>RJ</w:t>
                    </w:r>
                    <w:r>
                      <w:rPr>
                        <w:rFonts w:ascii="Verdana" w:hAnsi="Verdana"/>
                        <w:spacing w:val="-4"/>
                        <w:sz w:val="12"/>
                      </w:rPr>
                      <w:t> </w:t>
                    </w:r>
                    <w:r>
                      <w:rPr>
                        <w:rFonts w:ascii="Verdana" w:hAnsi="Verdana"/>
                        <w:sz w:val="12"/>
                      </w:rPr>
                      <w:t>-</w:t>
                    </w:r>
                    <w:r>
                      <w:rPr>
                        <w:rFonts w:ascii="Verdana" w:hAnsi="Verdana"/>
                        <w:spacing w:val="-4"/>
                        <w:sz w:val="12"/>
                      </w:rPr>
                      <w:t> </w:t>
                    </w:r>
                    <w:r>
                      <w:rPr>
                        <w:rFonts w:ascii="Verdana" w:hAnsi="Verdana"/>
                        <w:sz w:val="12"/>
                      </w:rPr>
                      <w:t>CEP.:</w:t>
                    </w:r>
                    <w:r>
                      <w:rPr>
                        <w:rFonts w:ascii="Verdana" w:hAnsi="Verdana"/>
                        <w:spacing w:val="-4"/>
                        <w:sz w:val="12"/>
                      </w:rPr>
                      <w:t> </w:t>
                    </w:r>
                    <w:r>
                      <w:rPr>
                        <w:rFonts w:ascii="Verdana" w:hAnsi="Verdana"/>
                        <w:sz w:val="12"/>
                      </w:rPr>
                      <w:t>25620-050 CNPJ 31.157.589/0001-60 - tel.: (24) 2220-9200</w:t>
                    </w:r>
                  </w:p>
                  <w:p>
                    <w:pPr>
                      <w:spacing w:before="0"/>
                      <w:ind w:left="352" w:right="347" w:firstLine="0"/>
                      <w:jc w:val="center"/>
                      <w:rPr>
                        <w:rFonts w:ascii="Verdana" w:hAnsi="Verdana"/>
                        <w:sz w:val="12"/>
                      </w:rPr>
                    </w:pPr>
                    <w:r>
                      <w:rPr>
                        <w:rFonts w:ascii="Verdana" w:hAnsi="Verdana"/>
                        <w:sz w:val="12"/>
                      </w:rPr>
                      <w:t>DAF-</w:t>
                    </w:r>
                    <w:r>
                      <w:rPr>
                        <w:rFonts w:ascii="Verdana" w:hAnsi="Verdana"/>
                        <w:spacing w:val="-6"/>
                        <w:sz w:val="12"/>
                      </w:rPr>
                      <w:t> </w:t>
                    </w:r>
                    <w:r>
                      <w:rPr>
                        <w:rFonts w:ascii="Verdana" w:hAnsi="Verdana"/>
                        <w:sz w:val="12"/>
                      </w:rPr>
                      <w:t>Diretoria</w:t>
                    </w:r>
                    <w:r>
                      <w:rPr>
                        <w:rFonts w:ascii="Verdana" w:hAnsi="Verdana"/>
                        <w:spacing w:val="-8"/>
                        <w:sz w:val="12"/>
                      </w:rPr>
                      <w:t> </w:t>
                    </w:r>
                    <w:r>
                      <w:rPr>
                        <w:rFonts w:ascii="Verdana" w:hAnsi="Verdana"/>
                        <w:sz w:val="12"/>
                      </w:rPr>
                      <w:t>de</w:t>
                    </w:r>
                    <w:r>
                      <w:rPr>
                        <w:rFonts w:ascii="Verdana" w:hAnsi="Verdana"/>
                        <w:spacing w:val="-5"/>
                        <w:sz w:val="12"/>
                      </w:rPr>
                      <w:t> </w:t>
                    </w:r>
                    <w:r>
                      <w:rPr>
                        <w:rFonts w:ascii="Verdana" w:hAnsi="Verdana"/>
                        <w:sz w:val="12"/>
                      </w:rPr>
                      <w:t>Administração</w:t>
                    </w:r>
                    <w:r>
                      <w:rPr>
                        <w:rFonts w:ascii="Verdana" w:hAnsi="Verdana"/>
                        <w:spacing w:val="-7"/>
                        <w:sz w:val="12"/>
                      </w:rPr>
                      <w:t> </w:t>
                    </w:r>
                    <w:r>
                      <w:rPr>
                        <w:rFonts w:ascii="Verdana" w:hAnsi="Verdana"/>
                        <w:sz w:val="12"/>
                      </w:rPr>
                      <w:t>e</w:t>
                    </w:r>
                    <w:r>
                      <w:rPr>
                        <w:rFonts w:ascii="Verdana" w:hAnsi="Verdana"/>
                        <w:spacing w:val="-7"/>
                        <w:sz w:val="12"/>
                      </w:rPr>
                      <w:t> </w:t>
                    </w:r>
                    <w:r>
                      <w:rPr>
                        <w:rFonts w:ascii="Verdana" w:hAnsi="Verdana"/>
                        <w:sz w:val="12"/>
                      </w:rPr>
                      <w:t>Finanças.</w:t>
                    </w:r>
                    <w:r>
                      <w:rPr>
                        <w:rFonts w:ascii="Verdana" w:hAnsi="Verdana"/>
                        <w:spacing w:val="-5"/>
                        <w:sz w:val="12"/>
                      </w:rPr>
                      <w:t> </w:t>
                    </w:r>
                    <w:r>
                      <w:rPr>
                        <w:rFonts w:ascii="Verdana" w:hAnsi="Verdana"/>
                        <w:sz w:val="12"/>
                      </w:rPr>
                      <w:t>E-mail:</w:t>
                    </w:r>
                    <w:r>
                      <w:rPr>
                        <w:rFonts w:ascii="Verdana" w:hAnsi="Verdana"/>
                        <w:spacing w:val="-5"/>
                        <w:sz w:val="12"/>
                      </w:rPr>
                      <w:t> </w:t>
                    </w:r>
                    <w:hyperlink r:id="rId1">
                      <w:r>
                        <w:rPr>
                          <w:rFonts w:ascii="Verdana" w:hAnsi="Verdana"/>
                          <w:color w:val="0000FF"/>
                          <w:sz w:val="12"/>
                          <w:u w:val="single" w:color="0000FF"/>
                        </w:rPr>
                        <w:t>daf@inpas.rj.gov.br</w:t>
                      </w:r>
                    </w:hyperlink>
                    <w:r>
                      <w:rPr>
                        <w:rFonts w:ascii="Verdana" w:hAnsi="Verdana"/>
                        <w:color w:val="0000FF"/>
                        <w:sz w:val="12"/>
                      </w:rPr>
                      <w:t> </w:t>
                    </w:r>
                    <w:r>
                      <w:rPr>
                        <w:rFonts w:ascii="Verdana" w:hAnsi="Verdana"/>
                        <w:sz w:val="12"/>
                      </w:rPr>
                      <w:t>Site:</w:t>
                    </w:r>
                    <w:r>
                      <w:rPr>
                        <w:rFonts w:ascii="Verdana" w:hAnsi="Verdana"/>
                        <w:spacing w:val="-1"/>
                        <w:sz w:val="12"/>
                      </w:rPr>
                      <w:t> </w:t>
                    </w:r>
                    <w:hyperlink r:id="rId2">
                      <w:r>
                        <w:rPr>
                          <w:rFonts w:ascii="Verdana" w:hAnsi="Verdana"/>
                          <w:color w:val="0000FF"/>
                          <w:sz w:val="12"/>
                          <w:u w:val="single" w:color="0000FF"/>
                        </w:rPr>
                        <w:t>www.inpas.rj.gov.br</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46880">
          <wp:simplePos x="0" y="0"/>
          <wp:positionH relativeFrom="page">
            <wp:posOffset>1108710</wp:posOffset>
          </wp:positionH>
          <wp:positionV relativeFrom="page">
            <wp:posOffset>604519</wp:posOffset>
          </wp:positionV>
          <wp:extent cx="1337310" cy="5041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37310" cy="50419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7392">
              <wp:simplePos x="0" y="0"/>
              <wp:positionH relativeFrom="page">
                <wp:posOffset>2508250</wp:posOffset>
              </wp:positionH>
              <wp:positionV relativeFrom="page">
                <wp:posOffset>596096</wp:posOffset>
              </wp:positionV>
              <wp:extent cx="3477260" cy="3714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77260" cy="371475"/>
                      </a:xfrm>
                      <a:prstGeom prst="rect">
                        <a:avLst/>
                      </a:prstGeom>
                    </wps:spPr>
                    <wps:txbx>
                      <w:txbxContent>
                        <w:p>
                          <w:pPr>
                            <w:spacing w:before="12"/>
                            <w:ind w:left="20" w:right="18" w:firstLine="0"/>
                            <w:jc w:val="left"/>
                            <w:rPr>
                              <w:rFonts w:ascii="Arial" w:hAnsi="Arial"/>
                              <w:b/>
                              <w:sz w:val="24"/>
                            </w:rPr>
                          </w:pPr>
                          <w:r>
                            <w:rPr>
                              <w:rFonts w:ascii="Arial" w:hAnsi="Arial"/>
                              <w:b/>
                              <w:sz w:val="24"/>
                            </w:rPr>
                            <w:t>Instituto</w:t>
                          </w:r>
                          <w:r>
                            <w:rPr>
                              <w:rFonts w:ascii="Arial" w:hAnsi="Arial"/>
                              <w:b/>
                              <w:spacing w:val="-7"/>
                              <w:sz w:val="24"/>
                            </w:rPr>
                            <w:t> </w:t>
                          </w:r>
                          <w:r>
                            <w:rPr>
                              <w:rFonts w:ascii="Arial" w:hAnsi="Arial"/>
                              <w:b/>
                              <w:sz w:val="24"/>
                            </w:rPr>
                            <w:t>de</w:t>
                          </w:r>
                          <w:r>
                            <w:rPr>
                              <w:rFonts w:ascii="Arial" w:hAnsi="Arial"/>
                              <w:b/>
                              <w:spacing w:val="-9"/>
                              <w:sz w:val="24"/>
                            </w:rPr>
                            <w:t> </w:t>
                          </w:r>
                          <w:r>
                            <w:rPr>
                              <w:rFonts w:ascii="Arial" w:hAnsi="Arial"/>
                              <w:b/>
                              <w:sz w:val="24"/>
                            </w:rPr>
                            <w:t>Previdência</w:t>
                          </w:r>
                          <w:r>
                            <w:rPr>
                              <w:rFonts w:ascii="Arial" w:hAnsi="Arial"/>
                              <w:b/>
                              <w:spacing w:val="-6"/>
                              <w:sz w:val="24"/>
                            </w:rPr>
                            <w:t> </w:t>
                          </w:r>
                          <w:r>
                            <w:rPr>
                              <w:rFonts w:ascii="Arial" w:hAnsi="Arial"/>
                              <w:b/>
                              <w:sz w:val="24"/>
                            </w:rPr>
                            <w:t>e</w:t>
                          </w:r>
                          <w:r>
                            <w:rPr>
                              <w:rFonts w:ascii="Arial" w:hAnsi="Arial"/>
                              <w:b/>
                              <w:spacing w:val="-9"/>
                              <w:sz w:val="24"/>
                            </w:rPr>
                            <w:t> </w:t>
                          </w:r>
                          <w:r>
                            <w:rPr>
                              <w:rFonts w:ascii="Arial" w:hAnsi="Arial"/>
                              <w:b/>
                              <w:sz w:val="24"/>
                            </w:rPr>
                            <w:t>Assistência</w:t>
                          </w:r>
                          <w:r>
                            <w:rPr>
                              <w:rFonts w:ascii="Arial" w:hAnsi="Arial"/>
                              <w:b/>
                              <w:spacing w:val="-8"/>
                              <w:sz w:val="24"/>
                            </w:rPr>
                            <w:t> </w:t>
                          </w:r>
                          <w:r>
                            <w:rPr>
                              <w:rFonts w:ascii="Arial" w:hAnsi="Arial"/>
                              <w:b/>
                              <w:sz w:val="24"/>
                            </w:rPr>
                            <w:t>Social</w:t>
                          </w:r>
                          <w:r>
                            <w:rPr>
                              <w:rFonts w:ascii="Arial" w:hAnsi="Arial"/>
                              <w:b/>
                              <w:spacing w:val="-8"/>
                              <w:sz w:val="24"/>
                            </w:rPr>
                            <w:t> </w:t>
                          </w:r>
                          <w:r>
                            <w:rPr>
                              <w:rFonts w:ascii="Arial" w:hAnsi="Arial"/>
                              <w:b/>
                              <w:sz w:val="24"/>
                            </w:rPr>
                            <w:t>do Servidor Público do Município de Petrópolis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5pt;margin-top:46.936718pt;width:273.8pt;height:29.25pt;mso-position-horizontal-relative:page;mso-position-vertical-relative:page;z-index:-15769088" type="#_x0000_t202" id="docshape1" filled="false" stroked="false">
              <v:textbox inset="0,0,0,0">
                <w:txbxContent>
                  <w:p>
                    <w:pPr>
                      <w:spacing w:before="12"/>
                      <w:ind w:left="20" w:right="18" w:firstLine="0"/>
                      <w:jc w:val="left"/>
                      <w:rPr>
                        <w:rFonts w:ascii="Arial" w:hAnsi="Arial"/>
                        <w:b/>
                        <w:sz w:val="24"/>
                      </w:rPr>
                    </w:pPr>
                    <w:r>
                      <w:rPr>
                        <w:rFonts w:ascii="Arial" w:hAnsi="Arial"/>
                        <w:b/>
                        <w:sz w:val="24"/>
                      </w:rPr>
                      <w:t>Instituto</w:t>
                    </w:r>
                    <w:r>
                      <w:rPr>
                        <w:rFonts w:ascii="Arial" w:hAnsi="Arial"/>
                        <w:b/>
                        <w:spacing w:val="-7"/>
                        <w:sz w:val="24"/>
                      </w:rPr>
                      <w:t> </w:t>
                    </w:r>
                    <w:r>
                      <w:rPr>
                        <w:rFonts w:ascii="Arial" w:hAnsi="Arial"/>
                        <w:b/>
                        <w:sz w:val="24"/>
                      </w:rPr>
                      <w:t>de</w:t>
                    </w:r>
                    <w:r>
                      <w:rPr>
                        <w:rFonts w:ascii="Arial" w:hAnsi="Arial"/>
                        <w:b/>
                        <w:spacing w:val="-9"/>
                        <w:sz w:val="24"/>
                      </w:rPr>
                      <w:t> </w:t>
                    </w:r>
                    <w:r>
                      <w:rPr>
                        <w:rFonts w:ascii="Arial" w:hAnsi="Arial"/>
                        <w:b/>
                        <w:sz w:val="24"/>
                      </w:rPr>
                      <w:t>Previdência</w:t>
                    </w:r>
                    <w:r>
                      <w:rPr>
                        <w:rFonts w:ascii="Arial" w:hAnsi="Arial"/>
                        <w:b/>
                        <w:spacing w:val="-6"/>
                        <w:sz w:val="24"/>
                      </w:rPr>
                      <w:t> </w:t>
                    </w:r>
                    <w:r>
                      <w:rPr>
                        <w:rFonts w:ascii="Arial" w:hAnsi="Arial"/>
                        <w:b/>
                        <w:sz w:val="24"/>
                      </w:rPr>
                      <w:t>e</w:t>
                    </w:r>
                    <w:r>
                      <w:rPr>
                        <w:rFonts w:ascii="Arial" w:hAnsi="Arial"/>
                        <w:b/>
                        <w:spacing w:val="-9"/>
                        <w:sz w:val="24"/>
                      </w:rPr>
                      <w:t> </w:t>
                    </w:r>
                    <w:r>
                      <w:rPr>
                        <w:rFonts w:ascii="Arial" w:hAnsi="Arial"/>
                        <w:b/>
                        <w:sz w:val="24"/>
                      </w:rPr>
                      <w:t>Assistência</w:t>
                    </w:r>
                    <w:r>
                      <w:rPr>
                        <w:rFonts w:ascii="Arial" w:hAnsi="Arial"/>
                        <w:b/>
                        <w:spacing w:val="-8"/>
                        <w:sz w:val="24"/>
                      </w:rPr>
                      <w:t> </w:t>
                    </w:r>
                    <w:r>
                      <w:rPr>
                        <w:rFonts w:ascii="Arial" w:hAnsi="Arial"/>
                        <w:b/>
                        <w:sz w:val="24"/>
                      </w:rPr>
                      <w:t>Social</w:t>
                    </w:r>
                    <w:r>
                      <w:rPr>
                        <w:rFonts w:ascii="Arial" w:hAnsi="Arial"/>
                        <w:b/>
                        <w:spacing w:val="-8"/>
                        <w:sz w:val="24"/>
                      </w:rPr>
                      <w:t> </w:t>
                    </w:r>
                    <w:r>
                      <w:rPr>
                        <w:rFonts w:ascii="Arial" w:hAnsi="Arial"/>
                        <w:b/>
                        <w:sz w:val="24"/>
                      </w:rPr>
                      <w:t>do Servidor Público do Município de Petrópolis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Title" w:type="paragraph">
    <w:name w:val="Title"/>
    <w:basedOn w:val="Normal"/>
    <w:uiPriority w:val="1"/>
    <w:qFormat/>
    <w:pPr>
      <w:spacing w:before="12"/>
      <w:ind w:left="20" w:right="18"/>
    </w:pPr>
    <w:rPr>
      <w:rFonts w:ascii="Arial" w:hAnsi="Arial" w:eastAsia="Arial" w:cs="Arial"/>
      <w:b/>
      <w:bCs/>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f@inpas.rj.gov.br" TargetMode="External"/><Relationship Id="rId2" Type="http://schemas.openxmlformats.org/officeDocument/2006/relationships/hyperlink" Target="http://www.inpas.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2025-05-16T19:01:18Z</dcterms:created>
  <dcterms:modified xsi:type="dcterms:W3CDTF">2025-05-16T19:01:18Z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3-Heights(TM) PDF Security Shell 4.8.25.2 (http://www.pdf-tools.com)</vt:lpwstr>
  </property>
</Properties>
</file>