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7"/>
      </w:pPr>
    </w:p>
    <w:p>
      <w:pPr>
        <w:pStyle w:val="BodyText"/>
        <w:spacing w:line="360" w:lineRule="auto"/>
        <w:ind w:left="130" w:right="13"/>
        <w:jc w:val="both"/>
      </w:pPr>
      <w:r>
        <w:rPr/>
        <w:t>Ata da sexagésima segunda reunião ordinária do Comitê de Investimentos do Instituto de Previdência</w:t>
      </w:r>
      <w:r>
        <w:rPr>
          <w:spacing w:val="-1"/>
        </w:rPr>
        <w:t> </w:t>
      </w:r>
      <w:r>
        <w:rPr/>
        <w:t>e</w:t>
      </w:r>
      <w:r>
        <w:rPr>
          <w:spacing w:val="-5"/>
        </w:rPr>
        <w:t> </w:t>
      </w:r>
      <w:r>
        <w:rPr/>
        <w:t>Assistência</w:t>
      </w:r>
      <w:r>
        <w:rPr>
          <w:spacing w:val="-3"/>
        </w:rPr>
        <w:t> </w:t>
      </w:r>
      <w:r>
        <w:rPr/>
        <w:t>Social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Servidor</w:t>
      </w:r>
      <w:r>
        <w:rPr>
          <w:spacing w:val="-3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Município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Petrópolis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INPAS.</w:t>
      </w:r>
      <w:r>
        <w:rPr>
          <w:spacing w:val="-4"/>
        </w:rPr>
        <w:t> </w:t>
      </w:r>
      <w:r>
        <w:rPr/>
        <w:t>Aos vinte e dois dias do mês de fevereiro do ano de dois mil e dezessete, às dez horas e cinco minutos, no Auditório do Instituto de Previdência e Assistência Social do Servidor Público do Município de Petrópolis, reuniram-se os seguintes membros do Comitê de Investimentos deste Regime Próprio de Previdência Social: a)- Diretor Financeiro do INPAS, senhor Robson Carneiro da Cruz; b)- Chefe da Divisão de Contabilidade, senhora Lucimar da Glória Gomes, Presidente eleita deste Comitê; c) Gestora Previdenciária, senhora Carla Cristina Correia Maduro Vogas Tavares, secretária deste Comitê; d) Gestora</w:t>
      </w:r>
      <w:r>
        <w:rPr>
          <w:spacing w:val="-1"/>
        </w:rPr>
        <w:t> </w:t>
      </w:r>
      <w:r>
        <w:rPr/>
        <w:t>de Investimentos, senhora Michele Schiffler Forster; e) Chefe da Divisão de Tesouraria, senhora Claudia Miranda do Nascimento. Registra-se a ausência do Diretor-Presidente, Sr. Fernando Leite Fortes, por motivo de reunião</w:t>
      </w:r>
      <w:r>
        <w:rPr>
          <w:spacing w:val="40"/>
        </w:rPr>
        <w:t> </w:t>
      </w:r>
      <w:r>
        <w:rPr/>
        <w:t>e da Gestora Previdenciária, Sra. Adriana Catarina da Costa, por motivo de saúde. Com esta composição iniciou-se a referida reunião para atendimento à pauta do dia, que teve a seguinte ordem: 1)- Leitura da ata da 61ª reunião ordinária do Comitê de Investimentos.2)- Análise do cenário macroeconômico, bem como as expectativas de mercado.3)- Análise do fluxo de caixa, considerando as obrigações previdenciárias e administrativas para o mês em curso.4)- Avaliação dos investimentos que compõem o patrimônio dos diversos segmentos de aplicação. 5)- Proposições de investimentos/desinvestimentos. 6)- Aprovação do calendário de reuniões</w:t>
      </w:r>
      <w:r>
        <w:rPr>
          <w:spacing w:val="40"/>
        </w:rPr>
        <w:t> </w:t>
      </w:r>
      <w:r>
        <w:rPr/>
        <w:t>do Comitê. 7)-Assuntos Gerais. A Presidente do Comitê iniciou a reunião agradecendo a presença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todos.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Diretor</w:t>
      </w:r>
      <w:r>
        <w:rPr>
          <w:spacing w:val="-2"/>
        </w:rPr>
        <w:t> </w:t>
      </w:r>
      <w:r>
        <w:rPr/>
        <w:t>Financeiro pediu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palavra e</w:t>
      </w:r>
      <w:r>
        <w:rPr>
          <w:spacing w:val="-2"/>
        </w:rPr>
        <w:t> </w:t>
      </w:r>
      <w:r>
        <w:rPr/>
        <w:t>solicitou que,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momento oportuno, ou seja, quando fosse iniciado o item 6 da pauta, que trata do calendário das reuniões,</w:t>
      </w:r>
      <w:r>
        <w:rPr>
          <w:spacing w:val="80"/>
        </w:rPr>
        <w:t> </w:t>
      </w:r>
      <w:r>
        <w:rPr/>
        <w:t>ficasse esclarecido o</w:t>
      </w:r>
      <w:r>
        <w:rPr>
          <w:spacing w:val="-2"/>
        </w:rPr>
        <w:t> </w:t>
      </w:r>
      <w:r>
        <w:rPr/>
        <w:t>motivo pelo</w:t>
      </w:r>
      <w:r>
        <w:rPr>
          <w:spacing w:val="-2"/>
        </w:rPr>
        <w:t> </w:t>
      </w:r>
      <w:r>
        <w:rPr/>
        <w:t>qual</w:t>
      </w:r>
      <w:r>
        <w:rPr>
          <w:spacing w:val="-1"/>
        </w:rPr>
        <w:t> </w:t>
      </w:r>
      <w:r>
        <w:rPr/>
        <w:t>houve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alteração para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dia</w:t>
      </w:r>
      <w:r>
        <w:rPr>
          <w:spacing w:val="-2"/>
        </w:rPr>
        <w:t> </w:t>
      </w:r>
      <w:r>
        <w:rPr/>
        <w:t>22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 da</w:t>
      </w:r>
      <w:r>
        <w:rPr>
          <w:spacing w:val="-2"/>
        </w:rPr>
        <w:t> </w:t>
      </w:r>
      <w:r>
        <w:rPr/>
        <w:t>reunião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seria realizada, a princípio, no dia 21 de fevereiro. No que se refere à ata da 61ª reunião ordinária, enviada por e-mail a todos os membros do Comitê, não houve retificações, tendo sido integralmente aprovada. Passando para o segundo ponto de pauta, a Gestora de Investimentos, Sra. Michele Schiffler Forster, apresentou um relatório sintético do ano de 2017 e comentou</w:t>
      </w:r>
      <w:r>
        <w:rPr>
          <w:spacing w:val="40"/>
        </w:rPr>
        <w:t> </w:t>
      </w:r>
      <w:r>
        <w:rPr/>
        <w:t>que o Inpas fechou o ano de 2017 com R$ 318.828,40 em aplicações de Renda Fixa</w:t>
      </w:r>
      <w:r>
        <w:rPr>
          <w:spacing w:val="40"/>
        </w:rPr>
        <w:t> </w:t>
      </w:r>
      <w:r>
        <w:rPr/>
        <w:t>distribuídas</w:t>
      </w:r>
      <w:r>
        <w:rPr>
          <w:spacing w:val="31"/>
        </w:rPr>
        <w:t> </w:t>
      </w:r>
      <w:r>
        <w:rPr/>
        <w:t>entre</w:t>
      </w:r>
      <w:r>
        <w:rPr>
          <w:spacing w:val="32"/>
        </w:rPr>
        <w:t> </w:t>
      </w:r>
      <w:r>
        <w:rPr/>
        <w:t>o</w:t>
      </w:r>
      <w:r>
        <w:rPr>
          <w:spacing w:val="30"/>
        </w:rPr>
        <w:t> </w:t>
      </w:r>
      <w:r>
        <w:rPr/>
        <w:t>Banco</w:t>
      </w:r>
      <w:r>
        <w:rPr>
          <w:spacing w:val="33"/>
        </w:rPr>
        <w:t> </w:t>
      </w:r>
      <w:r>
        <w:rPr/>
        <w:t>do</w:t>
      </w:r>
      <w:r>
        <w:rPr>
          <w:spacing w:val="30"/>
        </w:rPr>
        <w:t> </w:t>
      </w:r>
      <w:r>
        <w:rPr/>
        <w:t>Brasil</w:t>
      </w:r>
      <w:r>
        <w:rPr>
          <w:spacing w:val="31"/>
        </w:rPr>
        <w:t> </w:t>
      </w:r>
      <w:r>
        <w:rPr/>
        <w:t>(47%)</w:t>
      </w:r>
      <w:r>
        <w:rPr>
          <w:spacing w:val="30"/>
        </w:rPr>
        <w:t> </w:t>
      </w:r>
      <w:r>
        <w:rPr/>
        <w:t>e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/>
        <w:t>Caixa</w:t>
      </w:r>
      <w:r>
        <w:rPr>
          <w:spacing w:val="30"/>
        </w:rPr>
        <w:t> </w:t>
      </w:r>
      <w:r>
        <w:rPr/>
        <w:t>Econômica</w:t>
      </w:r>
      <w:r>
        <w:rPr>
          <w:spacing w:val="33"/>
        </w:rPr>
        <w:t> </w:t>
      </w:r>
      <w:r>
        <w:rPr/>
        <w:t>Federal</w:t>
      </w:r>
      <w:r>
        <w:rPr>
          <w:spacing w:val="31"/>
        </w:rPr>
        <w:t> </w:t>
      </w:r>
      <w:r>
        <w:rPr/>
        <w:t>(53%).</w:t>
      </w:r>
      <w:r>
        <w:rPr>
          <w:spacing w:val="39"/>
        </w:rPr>
        <w:t> </w:t>
      </w:r>
      <w:r>
        <w:rPr/>
        <w:t>O</w:t>
      </w:r>
      <w:r>
        <w:rPr>
          <w:spacing w:val="31"/>
        </w:rPr>
        <w:t> </w:t>
      </w:r>
      <w:r>
        <w:rPr/>
        <w:t>total</w:t>
      </w:r>
      <w:r>
        <w:rPr>
          <w:spacing w:val="32"/>
        </w:rPr>
        <w:t> </w:t>
      </w:r>
      <w:r>
        <w:rPr>
          <w:spacing w:val="-5"/>
        </w:rPr>
        <w:t>de</w:t>
      </w:r>
    </w:p>
    <w:p>
      <w:pPr>
        <w:pStyle w:val="BodyText"/>
        <w:spacing w:after="0" w:line="360" w:lineRule="auto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952" w:footer="1481" w:top="1880" w:bottom="1680" w:left="1800" w:right="1080"/>
          <w:pgNumType w:start="1"/>
        </w:sectPr>
      </w:pPr>
    </w:p>
    <w:p>
      <w:pPr>
        <w:pStyle w:val="BodyText"/>
        <w:spacing w:before="177"/>
      </w:pPr>
    </w:p>
    <w:p>
      <w:pPr>
        <w:pStyle w:val="BodyText"/>
        <w:spacing w:line="360" w:lineRule="auto"/>
        <w:ind w:left="130" w:right="23"/>
        <w:jc w:val="both"/>
      </w:pPr>
      <w:r>
        <w:rPr/>
        <w:t>retorno dos rendim</w:t>
      </w:r>
      <w:bookmarkStart w:name="Instituto de Previdência e Assistência S" w:id="1"/>
      <w:bookmarkEnd w:id="1"/>
      <w:r>
        <w:rPr/>
        <w:t>e</w:t>
      </w:r>
      <w:r>
        <w:rPr/>
        <w:t>ntos foi de R$ 136.904,79, ou seja, diante da meta de 9,12%, houve um retorno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10,99%.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fechamento</w:t>
      </w:r>
      <w:r>
        <w:rPr>
          <w:spacing w:val="-1"/>
        </w:rPr>
        <w:t> </w:t>
      </w:r>
      <w:r>
        <w:rPr/>
        <w:t>da</w:t>
      </w:r>
      <w:r>
        <w:rPr>
          <w:spacing w:val="-3"/>
        </w:rPr>
        <w:t> </w:t>
      </w:r>
      <w:r>
        <w:rPr/>
        <w:t>meta</w:t>
      </w:r>
      <w:r>
        <w:rPr>
          <w:spacing w:val="-1"/>
        </w:rPr>
        <w:t> </w:t>
      </w:r>
      <w:r>
        <w:rPr/>
        <w:t>atuarial</w:t>
      </w:r>
      <w:r>
        <w:rPr>
          <w:spacing w:val="-2"/>
        </w:rPr>
        <w:t> </w:t>
      </w:r>
      <w:r>
        <w:rPr/>
        <w:t>foi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120,45%.</w:t>
      </w:r>
      <w:r>
        <w:rPr>
          <w:spacing w:val="-3"/>
        </w:rPr>
        <w:t> </w:t>
      </w:r>
      <w:r>
        <w:rPr/>
        <w:t>Ressaltou</w:t>
      </w:r>
      <w:r>
        <w:rPr>
          <w:spacing w:val="-1"/>
        </w:rPr>
        <w:t> </w:t>
      </w:r>
      <w:r>
        <w:rPr/>
        <w:t>que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Copom,</w:t>
      </w:r>
      <w:r>
        <w:rPr>
          <w:spacing w:val="-1"/>
        </w:rPr>
        <w:t> </w:t>
      </w:r>
      <w:r>
        <w:rPr/>
        <w:t>em sua</w:t>
      </w:r>
      <w:r>
        <w:rPr>
          <w:spacing w:val="-3"/>
        </w:rPr>
        <w:t> </w:t>
      </w:r>
      <w:r>
        <w:rPr/>
        <w:t>última</w:t>
      </w:r>
      <w:r>
        <w:rPr>
          <w:spacing w:val="-2"/>
        </w:rPr>
        <w:t> </w:t>
      </w:r>
      <w:r>
        <w:rPr/>
        <w:t>reunião</w:t>
      </w:r>
      <w:r>
        <w:rPr>
          <w:spacing w:val="-3"/>
        </w:rPr>
        <w:t> </w:t>
      </w:r>
      <w:r>
        <w:rPr/>
        <w:t>realizada</w:t>
      </w:r>
      <w:r>
        <w:rPr>
          <w:spacing w:val="-2"/>
        </w:rPr>
        <w:t> </w:t>
      </w:r>
      <w:r>
        <w:rPr/>
        <w:t>em</w:t>
      </w:r>
      <w:r>
        <w:rPr>
          <w:spacing w:val="-3"/>
        </w:rPr>
        <w:t> </w:t>
      </w:r>
      <w:r>
        <w:rPr/>
        <w:t>07/02,</w:t>
      </w:r>
      <w:r>
        <w:rPr>
          <w:spacing w:val="-4"/>
        </w:rPr>
        <w:t> </w:t>
      </w:r>
      <w:r>
        <w:rPr/>
        <w:t>reduziu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taxa</w:t>
      </w:r>
      <w:r>
        <w:rPr>
          <w:spacing w:val="-3"/>
        </w:rPr>
        <w:t> </w:t>
      </w:r>
      <w:r>
        <w:rPr/>
        <w:t>selic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0,25%,</w:t>
      </w:r>
      <w:r>
        <w:rPr>
          <w:spacing w:val="-3"/>
        </w:rPr>
        <w:t> </w:t>
      </w:r>
      <w:r>
        <w:rPr/>
        <w:t>estando</w:t>
      </w:r>
      <w:r>
        <w:rPr>
          <w:spacing w:val="-3"/>
        </w:rPr>
        <w:t> </w:t>
      </w:r>
      <w:r>
        <w:rPr/>
        <w:t>agora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6,75%. Essa taxa deverá se manter durante o ano de 2018 e com gradual crescimento em 2019. Após, foi apresentado o documento de variação dos</w:t>
      </w:r>
      <w:r>
        <w:rPr>
          <w:spacing w:val="40"/>
        </w:rPr>
        <w:t> </w:t>
      </w:r>
      <w:r>
        <w:rPr/>
        <w:t>índices dos meses de dezembro de 2017 e de janeiro</w:t>
      </w:r>
      <w:r>
        <w:rPr>
          <w:spacing w:val="40"/>
        </w:rPr>
        <w:t> </w:t>
      </w:r>
      <w:r>
        <w:rPr/>
        <w:t>de 2018 mais utilizados e/ou acompanhados por esta Autarquia, sendo:</w:t>
      </w:r>
      <w:r>
        <w:rPr>
          <w:spacing w:val="-1"/>
        </w:rPr>
        <w:t> </w:t>
      </w:r>
      <w:r>
        <w:rPr/>
        <w:t>IRFM1: 0,5655 e</w:t>
      </w:r>
      <w:r>
        <w:rPr>
          <w:spacing w:val="61"/>
        </w:rPr>
        <w:t> </w:t>
      </w:r>
      <w:r>
        <w:rPr/>
        <w:t>0,592;</w:t>
      </w:r>
      <w:r>
        <w:rPr>
          <w:spacing w:val="62"/>
        </w:rPr>
        <w:t> </w:t>
      </w:r>
      <w:r>
        <w:rPr/>
        <w:t>IRFM1+:</w:t>
      </w:r>
      <w:r>
        <w:rPr>
          <w:spacing w:val="62"/>
        </w:rPr>
        <w:t> </w:t>
      </w:r>
      <w:r>
        <w:rPr/>
        <w:t>1,4578</w:t>
      </w:r>
      <w:r>
        <w:rPr>
          <w:spacing w:val="2"/>
        </w:rPr>
        <w:t> </w:t>
      </w:r>
      <w:r>
        <w:rPr/>
        <w:t>e</w:t>
      </w:r>
      <w:r>
        <w:rPr>
          <w:spacing w:val="61"/>
        </w:rPr>
        <w:t> </w:t>
      </w:r>
      <w:r>
        <w:rPr/>
        <w:t>1,548;</w:t>
      </w:r>
      <w:r>
        <w:rPr>
          <w:spacing w:val="62"/>
        </w:rPr>
        <w:t> </w:t>
      </w:r>
      <w:r>
        <w:rPr/>
        <w:t>IRFM:</w:t>
      </w:r>
      <w:r>
        <w:rPr>
          <w:spacing w:val="1"/>
        </w:rPr>
        <w:t> </w:t>
      </w:r>
      <w:r>
        <w:rPr/>
        <w:t>1,245</w:t>
      </w:r>
      <w:r>
        <w:rPr>
          <w:spacing w:val="63"/>
        </w:rPr>
        <w:t> </w:t>
      </w:r>
      <w:r>
        <w:rPr/>
        <w:t>e</w:t>
      </w:r>
      <w:r>
        <w:rPr>
          <w:spacing w:val="63"/>
        </w:rPr>
        <w:t> </w:t>
      </w:r>
      <w:r>
        <w:rPr/>
        <w:t>1,299;</w:t>
      </w:r>
      <w:r>
        <w:rPr>
          <w:spacing w:val="61"/>
        </w:rPr>
        <w:t> </w:t>
      </w:r>
      <w:r>
        <w:rPr/>
        <w:t>IMA</w:t>
      </w:r>
      <w:r>
        <w:rPr>
          <w:spacing w:val="1"/>
        </w:rPr>
        <w:t> </w:t>
      </w:r>
      <w:r>
        <w:rPr/>
        <w:t>B</w:t>
      </w:r>
      <w:r>
        <w:rPr>
          <w:spacing w:val="2"/>
        </w:rPr>
        <w:t> </w:t>
      </w:r>
      <w:r>
        <w:rPr/>
        <w:t>5: 0,8837</w:t>
      </w:r>
      <w:r>
        <w:rPr>
          <w:spacing w:val="63"/>
        </w:rPr>
        <w:t> </w:t>
      </w:r>
      <w:r>
        <w:rPr/>
        <w:t>e</w:t>
      </w:r>
      <w:r>
        <w:rPr>
          <w:spacing w:val="1"/>
        </w:rPr>
        <w:t> </w:t>
      </w:r>
      <w:r>
        <w:rPr/>
        <w:t>1,334;</w:t>
      </w:r>
      <w:r>
        <w:rPr>
          <w:spacing w:val="62"/>
        </w:rPr>
        <w:t> </w:t>
      </w:r>
      <w:r>
        <w:rPr>
          <w:spacing w:val="-5"/>
        </w:rPr>
        <w:t>IMA</w:t>
      </w:r>
    </w:p>
    <w:p>
      <w:pPr>
        <w:pStyle w:val="BodyText"/>
        <w:ind w:left="130"/>
        <w:jc w:val="both"/>
      </w:pPr>
      <w:r>
        <w:rPr/>
        <w:t>B</w:t>
      </w:r>
      <w:r>
        <w:rPr>
          <w:spacing w:val="-1"/>
        </w:rPr>
        <w:t> </w:t>
      </w:r>
      <w:r>
        <w:rPr/>
        <w:t>5+:</w:t>
      </w:r>
      <w:r>
        <w:rPr>
          <w:spacing w:val="-1"/>
        </w:rPr>
        <w:t> </w:t>
      </w:r>
      <w:r>
        <w:rPr/>
        <w:t>0,7858</w:t>
      </w:r>
      <w:r>
        <w:rPr>
          <w:spacing w:val="60"/>
        </w:rPr>
        <w:t> </w:t>
      </w:r>
      <w:r>
        <w:rPr/>
        <w:t>e</w:t>
      </w:r>
      <w:r>
        <w:rPr>
          <w:spacing w:val="60"/>
        </w:rPr>
        <w:t> </w:t>
      </w:r>
      <w:r>
        <w:rPr/>
        <w:t>4,949;</w:t>
      </w:r>
      <w:r>
        <w:rPr>
          <w:spacing w:val="-1"/>
        </w:rPr>
        <w:t> </w:t>
      </w:r>
      <w:r>
        <w:rPr/>
        <w:t>IMA</w:t>
      </w:r>
      <w:r>
        <w:rPr>
          <w:spacing w:val="1"/>
        </w:rPr>
        <w:t> </w:t>
      </w:r>
      <w:r>
        <w:rPr/>
        <w:t>B: 0,8282</w:t>
      </w:r>
      <w:r>
        <w:rPr>
          <w:spacing w:val="-1"/>
        </w:rPr>
        <w:t> </w:t>
      </w:r>
      <w:r>
        <w:rPr/>
        <w:t>e 3,401;IMA Geral:</w:t>
      </w:r>
      <w:r>
        <w:rPr>
          <w:spacing w:val="1"/>
        </w:rPr>
        <w:t> </w:t>
      </w:r>
      <w:r>
        <w:rPr/>
        <w:t>0,8821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1,756;</w:t>
      </w:r>
      <w:r>
        <w:rPr>
          <w:spacing w:val="-1"/>
        </w:rPr>
        <w:t> </w:t>
      </w:r>
      <w:r>
        <w:rPr/>
        <w:t>CDI:0,54</w:t>
      </w:r>
      <w:r>
        <w:rPr>
          <w:spacing w:val="-1"/>
        </w:rPr>
        <w:t> </w:t>
      </w:r>
      <w:r>
        <w:rPr/>
        <w:t>e </w:t>
      </w:r>
      <w:r>
        <w:rPr>
          <w:spacing w:val="-2"/>
        </w:rPr>
        <w:t>0,5830.</w:t>
      </w:r>
    </w:p>
    <w:p>
      <w:pPr>
        <w:pStyle w:val="BodyText"/>
        <w:spacing w:line="360" w:lineRule="auto" w:before="138"/>
        <w:ind w:left="130" w:right="17"/>
        <w:jc w:val="both"/>
      </w:pPr>
      <w:r>
        <w:rPr/>
        <w:t>Na rentabilidade acumulada – 2017, o melhor desempenho foi do IBOVESPA, com uma rentabilidade de 26,86, seguido do IRFMI+, com 16,67; o IRFM teve rendimento de 15,19; o IMAB5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12,57;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IRFM1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11,11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9,94.</w:t>
      </w:r>
      <w:r>
        <w:rPr>
          <w:spacing w:val="-2"/>
        </w:rPr>
        <w:t> </w:t>
      </w:r>
      <w:r>
        <w:rPr/>
        <w:t>Na</w:t>
      </w:r>
      <w:r>
        <w:rPr>
          <w:spacing w:val="-3"/>
        </w:rPr>
        <w:t> </w:t>
      </w:r>
      <w:r>
        <w:rPr/>
        <w:t>análise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Relatório Focus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dezesseis de fevereiro do corrente ano, ressaltou que o IPCA está com expectativa de queda e a meta da taxa SELIC está com expectativa de ficar estável em 6,75%. Após, temos as movimentações financeiras do Instituto referentes ao mês de janeiro. As aplicações, nesse mês, somaram R$ 810.000,00 e os resgates, R$ 361.365,73. O saldo anterior era de R$ 318.828,40. O retorno financeiro foi de R$ 2.566,20 e o percentual de retorno de 0,60%. O atingimento da meta atuarial no mês foi de 77,65%. Comparando o INPC e o IPCA, o primeiro registrou um acumulado de 0,23% e o segundo, 0,29%. A senhora Michele ainda apresentou o relatório de rentabilidade e risco dos ativos que compõem a carteira do Instituto. O índice VAR, que é a perda máxima num período, não oscilou muito em relação ao mês anterior. Já no índice Sharp, que mede o desempenho dos fundos, houve o predomínio de uma leve queda em relação ao</w:t>
      </w:r>
      <w:r>
        <w:rPr>
          <w:spacing w:val="40"/>
        </w:rPr>
        <w:t> </w:t>
      </w:r>
      <w:r>
        <w:rPr/>
        <w:t>mês anterior. O índice VAR e o Sharp foram, respectivamente, os seguintes: IRFM do Banco</w:t>
      </w:r>
      <w:r>
        <w:rPr>
          <w:spacing w:val="40"/>
        </w:rPr>
        <w:t> </w:t>
      </w:r>
      <w:r>
        <w:rPr/>
        <w:t>do</w:t>
      </w:r>
      <w:r>
        <w:rPr>
          <w:spacing w:val="19"/>
        </w:rPr>
        <w:t> </w:t>
      </w:r>
      <w:r>
        <w:rPr/>
        <w:t>Brasil:</w:t>
      </w:r>
      <w:r>
        <w:rPr>
          <w:spacing w:val="20"/>
        </w:rPr>
        <w:t> </w:t>
      </w:r>
      <w:r>
        <w:rPr/>
        <w:t>2,16%</w:t>
      </w:r>
      <w:r>
        <w:rPr>
          <w:spacing w:val="19"/>
        </w:rPr>
        <w:t> </w:t>
      </w:r>
      <w:r>
        <w:rPr/>
        <w:t>e</w:t>
      </w:r>
      <w:r>
        <w:rPr>
          <w:spacing w:val="19"/>
        </w:rPr>
        <w:t> </w:t>
      </w:r>
      <w:r>
        <w:rPr/>
        <w:t>1,61%;</w:t>
      </w:r>
      <w:r>
        <w:rPr>
          <w:spacing w:val="20"/>
        </w:rPr>
        <w:t> </w:t>
      </w:r>
      <w:r>
        <w:rPr/>
        <w:t>IRFM1</w:t>
      </w:r>
      <w:r>
        <w:rPr>
          <w:spacing w:val="19"/>
        </w:rPr>
        <w:t> </w:t>
      </w:r>
      <w:r>
        <w:rPr/>
        <w:t>da</w:t>
      </w:r>
      <w:r>
        <w:rPr>
          <w:spacing w:val="19"/>
        </w:rPr>
        <w:t> </w:t>
      </w:r>
      <w:r>
        <w:rPr/>
        <w:t>CEF:</w:t>
      </w:r>
      <w:r>
        <w:rPr>
          <w:spacing w:val="20"/>
        </w:rPr>
        <w:t> </w:t>
      </w:r>
      <w:r>
        <w:rPr/>
        <w:t>0,32%</w:t>
      </w:r>
      <w:r>
        <w:rPr>
          <w:spacing w:val="19"/>
        </w:rPr>
        <w:t> </w:t>
      </w:r>
      <w:r>
        <w:rPr/>
        <w:t>e</w:t>
      </w:r>
      <w:r>
        <w:rPr>
          <w:spacing w:val="19"/>
        </w:rPr>
        <w:t> </w:t>
      </w:r>
      <w:r>
        <w:rPr/>
        <w:t>1,23%;</w:t>
      </w:r>
      <w:r>
        <w:rPr>
          <w:spacing w:val="18"/>
        </w:rPr>
        <w:t> </w:t>
      </w:r>
      <w:r>
        <w:rPr/>
        <w:t>IRFM1</w:t>
      </w:r>
      <w:r>
        <w:rPr>
          <w:spacing w:val="19"/>
        </w:rPr>
        <w:t> </w:t>
      </w:r>
      <w:r>
        <w:rPr/>
        <w:t>do</w:t>
      </w:r>
      <w:r>
        <w:rPr>
          <w:spacing w:val="19"/>
        </w:rPr>
        <w:t> </w:t>
      </w:r>
      <w:r>
        <w:rPr/>
        <w:t>BB:</w:t>
      </w:r>
      <w:r>
        <w:rPr>
          <w:spacing w:val="18"/>
        </w:rPr>
        <w:t> </w:t>
      </w:r>
      <w:r>
        <w:rPr/>
        <w:t>0,32%</w:t>
      </w:r>
      <w:r>
        <w:rPr>
          <w:spacing w:val="19"/>
        </w:rPr>
        <w:t> </w:t>
      </w:r>
      <w:r>
        <w:rPr/>
        <w:t>e</w:t>
      </w:r>
      <w:r>
        <w:rPr>
          <w:spacing w:val="19"/>
        </w:rPr>
        <w:t> </w:t>
      </w:r>
      <w:r>
        <w:rPr/>
        <w:t>1.13%;</w:t>
      </w:r>
    </w:p>
    <w:p>
      <w:pPr>
        <w:pStyle w:val="BodyText"/>
        <w:spacing w:line="360" w:lineRule="auto" w:before="1"/>
        <w:ind w:left="130" w:right="24"/>
        <w:jc w:val="both"/>
      </w:pPr>
      <w:r>
        <w:rPr/>
        <w:t>CDI do Banco do Brasil: 0,06% e 0,24% e CDI da CEF 0,06% e 0,02%. Por fim, a recomendação do consultor da empresa Di Blasi Consultoria, foi a seguinte: a) a renda fixa deverá estar concentrada em Títulos Públicos Federais; b) os fundos da família IRFM estão</w:t>
      </w:r>
      <w:r>
        <w:rPr>
          <w:spacing w:val="40"/>
        </w:rPr>
        <w:t> </w:t>
      </w:r>
      <w:r>
        <w:rPr/>
        <w:t>com taxas de juros entre</w:t>
      </w:r>
      <w:r>
        <w:rPr>
          <w:spacing w:val="40"/>
        </w:rPr>
        <w:t> </w:t>
      </w:r>
      <w:r>
        <w:rPr/>
        <w:t>7% e 9% a.a e ainda têm pequena capacidade de gerar ganhos; c) fundos da família IMA-B (mais longos) podem apresentar algum espaço para valorização, mas</w:t>
      </w:r>
    </w:p>
    <w:p>
      <w:pPr>
        <w:pStyle w:val="BodyText"/>
        <w:spacing w:after="0" w:line="360" w:lineRule="auto"/>
        <w:jc w:val="both"/>
        <w:sectPr>
          <w:pgSz w:w="12240" w:h="15840"/>
          <w:pgMar w:header="952" w:footer="1481" w:top="1880" w:bottom="1680" w:left="1800" w:right="1080"/>
        </w:sectPr>
      </w:pPr>
    </w:p>
    <w:p>
      <w:pPr>
        <w:pStyle w:val="BodyText"/>
        <w:spacing w:before="177"/>
      </w:pPr>
    </w:p>
    <w:p>
      <w:pPr>
        <w:pStyle w:val="BodyText"/>
        <w:spacing w:line="360" w:lineRule="auto"/>
        <w:ind w:left="130" w:right="22"/>
        <w:jc w:val="both"/>
      </w:pPr>
      <w:r>
        <w:rPr/>
        <w:t>com oscilações; d) os fundos CDI (referenciados) estão abaixo da meta atuarial. Com relação</w:t>
      </w:r>
      <w:r>
        <w:rPr>
          <w:spacing w:val="40"/>
        </w:rPr>
        <w:t> </w:t>
      </w:r>
      <w:r>
        <w:rPr/>
        <w:t>ao FASSE, o saldo final de</w:t>
      </w:r>
      <w:r>
        <w:rPr>
          <w:spacing w:val="-1"/>
        </w:rPr>
        <w:t> </w:t>
      </w:r>
      <w:r>
        <w:rPr/>
        <w:t>janeiro de 2018 somou R$ 282.579,98, com</w:t>
      </w:r>
      <w:r>
        <w:rPr>
          <w:spacing w:val="-1"/>
        </w:rPr>
        <w:t> </w:t>
      </w:r>
      <w:r>
        <w:rPr/>
        <w:t>um total de</w:t>
      </w:r>
      <w:r>
        <w:rPr>
          <w:spacing w:val="-1"/>
        </w:rPr>
        <w:t> </w:t>
      </w:r>
      <w:r>
        <w:rPr/>
        <w:t>290.208,32 de saldo anterior, R$ 10.000,00 de resgates, e R$ 2.371,66 de rendimentos. O quarto item da pauta, cujo conteúdo também foi enviado por e-mail pela Chefe do Setor de Tesouraria, demonstrou que o saldo final previsto em 21 de fevereiro de 2018, na conta previdenciária, foi de R$ 15,014,66, Na conta administrativa, o saldo final previsto em conta corrente no dia</w:t>
      </w:r>
      <w:r>
        <w:rPr>
          <w:spacing w:val="80"/>
        </w:rPr>
        <w:t> </w:t>
      </w:r>
      <w:r>
        <w:rPr/>
        <w:t>21</w:t>
      </w:r>
      <w:r>
        <w:rPr>
          <w:spacing w:val="40"/>
        </w:rPr>
        <w:t> </w:t>
      </w:r>
      <w:r>
        <w:rPr/>
        <w:t>de fevereiro foi de R$ 55.551,91 e de R$ 1.429.940,56 em aplicações. Com relação aos investimentos, o Comitê decidiu, por unanimidade dos presentes, manter as mesmas aplicações hoje existentes no Instituto. O Diretor Financeiro trouxe ao Comitê uma sugestão feita pelo Diretor-Presidente</w:t>
      </w:r>
      <w:r>
        <w:rPr>
          <w:spacing w:val="-1"/>
        </w:rPr>
        <w:t> </w:t>
      </w:r>
      <w:r>
        <w:rPr/>
        <w:t>no sentido de</w:t>
      </w:r>
      <w:r>
        <w:rPr>
          <w:spacing w:val="-1"/>
        </w:rPr>
        <w:t> </w:t>
      </w:r>
      <w:r>
        <w:rPr/>
        <w:t>que,</w:t>
      </w:r>
      <w:r>
        <w:rPr>
          <w:spacing w:val="-2"/>
        </w:rPr>
        <w:t> </w:t>
      </w:r>
      <w:r>
        <w:rPr/>
        <w:t>mensalmente, seja</w:t>
      </w:r>
      <w:r>
        <w:rPr>
          <w:spacing w:val="-1"/>
        </w:rPr>
        <w:t> </w:t>
      </w:r>
      <w:r>
        <w:rPr/>
        <w:t>efetuado um</w:t>
      </w:r>
      <w:r>
        <w:rPr>
          <w:spacing w:val="-1"/>
        </w:rPr>
        <w:t> </w:t>
      </w:r>
      <w:r>
        <w:rPr/>
        <w:t>depósito de</w:t>
      </w:r>
      <w:r>
        <w:rPr>
          <w:spacing w:val="-1"/>
        </w:rPr>
        <w:t> </w:t>
      </w:r>
      <w:r>
        <w:rPr/>
        <w:t>R$ 25.000,00 em conta administrativa separada das demais para fins de reserva para pagamento do décimo terceiro salário dos servidores do INPAS. Tal proposição foi aprovada por todos.</w:t>
      </w:r>
      <w:r>
        <w:rPr>
          <w:spacing w:val="80"/>
        </w:rPr>
        <w:t> </w:t>
      </w:r>
      <w:r>
        <w:rPr/>
        <w:t>No sexto item da pauta, que trata da aprovação do calendário das reuniões do Comitê, a gestora Previdenciária, Carla, em atenção ao solicitado pelo Diretor Financeiro no início da reunião, informou que, após a</w:t>
      </w:r>
      <w:r>
        <w:rPr>
          <w:spacing w:val="-2"/>
        </w:rPr>
        <w:t> </w:t>
      </w:r>
      <w:r>
        <w:rPr/>
        <w:t>proposta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calendário feita pela</w:t>
      </w:r>
      <w:r>
        <w:rPr>
          <w:spacing w:val="-1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deste</w:t>
      </w:r>
      <w:r>
        <w:rPr>
          <w:spacing w:val="-1"/>
        </w:rPr>
        <w:t> </w:t>
      </w:r>
      <w:r>
        <w:rPr/>
        <w:t>Comitê ter sido enviada por e-mail, em 01 de fevereiro, para que todos os integrantes do Comitê pudessem se manifestar, solicitou, também por e-mail, em 16 de fevereiro, a possibilidade de troca dessa primeira reunião para o dia 20 ou 22. A Sra. Michele, nesse mesmo dia, sugeriu dia 22 e os demais membros não</w:t>
      </w:r>
      <w:r>
        <w:rPr>
          <w:spacing w:val="-1"/>
        </w:rPr>
        <w:t> </w:t>
      </w:r>
      <w:r>
        <w:rPr/>
        <w:t>se manifestaram, Assim, a</w:t>
      </w:r>
      <w:r>
        <w:rPr>
          <w:spacing w:val="-2"/>
        </w:rPr>
        <w:t> </w:t>
      </w:r>
      <w:r>
        <w:rPr/>
        <w:t>Presidente do</w:t>
      </w:r>
      <w:r>
        <w:rPr>
          <w:spacing w:val="-1"/>
        </w:rPr>
        <w:t> </w:t>
      </w:r>
      <w:r>
        <w:rPr/>
        <w:t>Comitê enviou e-mail, em 19 de fevereiro, informando que tal reunião poderia ser realizada no dia 22 de fevereiro para que a maioria dos membros estivesse presente. A Gestora Carla informou ainda que o motivo pelo qual solicitou a alteração foi a possível necessidade de acompanhar o seu pai num</w:t>
      </w:r>
      <w:r>
        <w:rPr>
          <w:spacing w:val="40"/>
        </w:rPr>
        <w:t> </w:t>
      </w:r>
      <w:r>
        <w:rPr/>
        <w:t>procedimento médico, e que apenas fez uma solicitação, que poderia ou não ser atendida pela Presidente do Comitê e demais membros. Feito esse esclarecimento, foi aprovado o calendário de reuniões do Comitê da seguinte forma: 22/02/2018; 14/03/2018. 11/04/2018, 16/05/2018, 13/06/2018,</w:t>
      </w:r>
      <w:r>
        <w:rPr>
          <w:spacing w:val="72"/>
        </w:rPr>
        <w:t> </w:t>
      </w:r>
      <w:r>
        <w:rPr/>
        <w:t>11/07/2018,</w:t>
      </w:r>
      <w:r>
        <w:rPr>
          <w:spacing w:val="73"/>
        </w:rPr>
        <w:t> </w:t>
      </w:r>
      <w:r>
        <w:rPr/>
        <w:t>15/08/2018,</w:t>
      </w:r>
      <w:r>
        <w:rPr>
          <w:spacing w:val="72"/>
        </w:rPr>
        <w:t> </w:t>
      </w:r>
      <w:r>
        <w:rPr/>
        <w:t>12/09/2018.</w:t>
      </w:r>
      <w:r>
        <w:rPr>
          <w:spacing w:val="72"/>
        </w:rPr>
        <w:t> </w:t>
      </w:r>
      <w:r>
        <w:rPr/>
        <w:t>10/10/2018,</w:t>
      </w:r>
      <w:r>
        <w:rPr>
          <w:spacing w:val="73"/>
        </w:rPr>
        <w:t> </w:t>
      </w:r>
      <w:r>
        <w:rPr/>
        <w:t>08/11/2018,</w:t>
      </w:r>
      <w:r>
        <w:rPr>
          <w:spacing w:val="72"/>
        </w:rPr>
        <w:t> </w:t>
      </w:r>
      <w:r>
        <w:rPr/>
        <w:t>12/12/2018.</w:t>
      </w:r>
      <w:r>
        <w:rPr>
          <w:spacing w:val="73"/>
        </w:rPr>
        <w:t> </w:t>
      </w:r>
      <w:r>
        <w:rPr>
          <w:spacing w:val="-10"/>
        </w:rPr>
        <w:t>A</w:t>
      </w:r>
    </w:p>
    <w:p>
      <w:pPr>
        <w:pStyle w:val="BodyText"/>
        <w:spacing w:line="360" w:lineRule="auto" w:before="1"/>
        <w:ind w:left="130" w:right="24"/>
        <w:jc w:val="both"/>
      </w:pPr>
      <w:r>
        <w:rPr/>
        <w:t>Presidente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Comitê,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assuntos</w:t>
      </w:r>
      <w:r>
        <w:rPr>
          <w:spacing w:val="-2"/>
        </w:rPr>
        <w:t> </w:t>
      </w:r>
      <w:r>
        <w:rPr/>
        <w:t>gerais,</w:t>
      </w:r>
      <w:r>
        <w:rPr>
          <w:spacing w:val="-3"/>
        </w:rPr>
        <w:t> </w:t>
      </w:r>
      <w:r>
        <w:rPr/>
        <w:t>mencionou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necessidade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fazer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eleição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este ano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2018,</w:t>
      </w:r>
      <w:r>
        <w:rPr>
          <w:spacing w:val="3"/>
        </w:rPr>
        <w:t> </w:t>
      </w:r>
      <w:r>
        <w:rPr/>
        <w:t>do</w:t>
      </w:r>
      <w:r>
        <w:rPr>
          <w:spacing w:val="4"/>
        </w:rPr>
        <w:t> </w:t>
      </w:r>
      <w:r>
        <w:rPr/>
        <w:t>novo</w:t>
      </w:r>
      <w:r>
        <w:rPr>
          <w:spacing w:val="4"/>
        </w:rPr>
        <w:t> </w:t>
      </w:r>
      <w:r>
        <w:rPr/>
        <w:t>Presidente</w:t>
      </w:r>
      <w:r>
        <w:rPr>
          <w:spacing w:val="7"/>
        </w:rPr>
        <w:t> </w:t>
      </w:r>
      <w:r>
        <w:rPr/>
        <w:t>e</w:t>
      </w:r>
      <w:r>
        <w:rPr>
          <w:spacing w:val="4"/>
        </w:rPr>
        <w:t> </w:t>
      </w:r>
      <w:r>
        <w:rPr/>
        <w:t>da</w:t>
      </w:r>
      <w:r>
        <w:rPr>
          <w:spacing w:val="3"/>
        </w:rPr>
        <w:t> </w:t>
      </w:r>
      <w:r>
        <w:rPr/>
        <w:t>Secretária</w:t>
      </w:r>
      <w:r>
        <w:rPr>
          <w:spacing w:val="8"/>
        </w:rPr>
        <w:t> </w:t>
      </w:r>
      <w:r>
        <w:rPr/>
        <w:t>deste</w:t>
      </w:r>
      <w:r>
        <w:rPr>
          <w:spacing w:val="3"/>
        </w:rPr>
        <w:t> </w:t>
      </w:r>
      <w:r>
        <w:rPr/>
        <w:t>Comitê.</w:t>
      </w:r>
      <w:r>
        <w:rPr>
          <w:spacing w:val="8"/>
        </w:rPr>
        <w:t> </w:t>
      </w:r>
      <w:r>
        <w:rPr/>
        <w:t>A</w:t>
      </w:r>
      <w:r>
        <w:rPr>
          <w:spacing w:val="3"/>
        </w:rPr>
        <w:t> </w:t>
      </w:r>
      <w:r>
        <w:rPr/>
        <w:t>gestora</w:t>
      </w:r>
      <w:r>
        <w:rPr>
          <w:spacing w:val="5"/>
        </w:rPr>
        <w:t> </w:t>
      </w:r>
      <w:r>
        <w:rPr/>
        <w:t>previdenciária,</w:t>
      </w:r>
      <w:r>
        <w:rPr>
          <w:spacing w:val="8"/>
        </w:rPr>
        <w:t> </w:t>
      </w:r>
      <w:r>
        <w:rPr>
          <w:spacing w:val="-2"/>
        </w:rPr>
        <w:t>Carla,</w:t>
      </w:r>
    </w:p>
    <w:p>
      <w:pPr>
        <w:pStyle w:val="BodyText"/>
        <w:spacing w:after="0" w:line="360" w:lineRule="auto"/>
        <w:jc w:val="both"/>
        <w:sectPr>
          <w:pgSz w:w="12240" w:h="15840"/>
          <w:pgMar w:header="952" w:footer="1481" w:top="1880" w:bottom="1680" w:left="1800" w:right="1080"/>
        </w:sectPr>
      </w:pPr>
    </w:p>
    <w:p>
      <w:pPr>
        <w:pStyle w:val="BodyText"/>
        <w:spacing w:before="177"/>
      </w:pPr>
    </w:p>
    <w:p>
      <w:pPr>
        <w:pStyle w:val="BodyText"/>
        <w:spacing w:line="360" w:lineRule="auto"/>
        <w:ind w:left="130" w:right="21"/>
        <w:jc w:val="both"/>
      </w:pPr>
      <w:r>
        <w:rPr/>
        <w:t>sugeriu deixar essa eleição para a próxima reunião, tendo em vista que não ficou previsto expressamente na pauta e, além disso, há membros faltantes na reunião de hoje. Tal sugestão</w:t>
      </w:r>
      <w:r>
        <w:rPr>
          <w:spacing w:val="40"/>
        </w:rPr>
        <w:t> </w:t>
      </w:r>
      <w:r>
        <w:rPr/>
        <w:t>foi aprovada pelo Comitê. A gestora Carla também informou sobre a necessidade de serem resolvidas as questões atinentes aos processos de</w:t>
      </w:r>
      <w:r>
        <w:rPr>
          <w:spacing w:val="-2"/>
        </w:rPr>
        <w:t> </w:t>
      </w:r>
      <w:r>
        <w:rPr/>
        <w:t>credenciamento, pois há certidões faltantes da CEF que, apesar de</w:t>
      </w:r>
      <w:r>
        <w:rPr>
          <w:spacing w:val="-1"/>
        </w:rPr>
        <w:t> </w:t>
      </w:r>
      <w:r>
        <w:rPr/>
        <w:t>terem sido</w:t>
      </w:r>
      <w:r>
        <w:rPr>
          <w:spacing w:val="-1"/>
        </w:rPr>
        <w:t> </w:t>
      </w:r>
      <w:r>
        <w:rPr/>
        <w:t>solicitadas, por e-mail e por</w:t>
      </w:r>
      <w:r>
        <w:rPr>
          <w:spacing w:val="-1"/>
        </w:rPr>
        <w:t> </w:t>
      </w:r>
      <w:r>
        <w:rPr/>
        <w:t>telefone,</w:t>
      </w:r>
      <w:r>
        <w:rPr>
          <w:spacing w:val="40"/>
        </w:rPr>
        <w:t> </w:t>
      </w:r>
      <w:r>
        <w:rPr/>
        <w:t>não</w:t>
      </w:r>
      <w:r>
        <w:rPr>
          <w:spacing w:val="-1"/>
        </w:rPr>
        <w:t> </w:t>
      </w:r>
      <w:r>
        <w:rPr/>
        <w:t>foram entregues até o presente momento. Diante desse impasse, o Diretor Financeiro informou que entrará diretamente em contato com a CEF. Sem mais, a Presidente encerrou a reunião às dez horas e cinquenta minutos e a presente Ata segue lavrada por mim, Carla Maduro Vogas Tavares, Secretária deste Comitê, que a submeterei à aprovação dos demais membros e devidamente colherei suas assinaturas.</w:t>
      </w:r>
    </w:p>
    <w:p>
      <w:pPr>
        <w:pStyle w:val="BodyText"/>
        <w:spacing w:before="15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2240" w:h="15840"/>
          <w:pgMar w:header="952" w:footer="1481" w:top="1880" w:bottom="1680" w:left="1800" w:right="1080"/>
        </w:sectPr>
      </w:pPr>
    </w:p>
    <w:p>
      <w:pPr>
        <w:pStyle w:val="BodyText"/>
        <w:spacing w:line="360" w:lineRule="auto" w:before="90"/>
        <w:ind w:left="515" w:right="38" w:firstLine="566"/>
      </w:pPr>
      <w:r>
        <w:rPr/>
        <w:t>Lucimar Glória Gomes Chefe</w:t>
      </w:r>
      <w:r>
        <w:rPr>
          <w:spacing w:val="-10"/>
        </w:rPr>
        <w:t> </w:t>
      </w:r>
      <w:r>
        <w:rPr/>
        <w:t>da</w:t>
      </w:r>
      <w:r>
        <w:rPr>
          <w:spacing w:val="-12"/>
        </w:rPr>
        <w:t> </w:t>
      </w:r>
      <w:r>
        <w:rPr/>
        <w:t>Divisão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Contabilidade</w:t>
      </w:r>
    </w:p>
    <w:p>
      <w:pPr>
        <w:pStyle w:val="BodyText"/>
        <w:ind w:left="1696"/>
      </w:pPr>
      <w:r>
        <w:rPr>
          <w:spacing w:val="-2"/>
        </w:rPr>
        <w:t>Presidente</w:t>
      </w:r>
    </w:p>
    <w:p>
      <w:pPr>
        <w:pStyle w:val="BodyText"/>
        <w:spacing w:line="360" w:lineRule="auto" w:before="90"/>
        <w:ind w:left="817" w:right="1117" w:hanging="302"/>
      </w:pPr>
      <w:r>
        <w:rPr/>
        <w:br w:type="column"/>
      </w:r>
      <w:r>
        <w:rPr/>
        <w:t>Robson</w:t>
      </w:r>
      <w:r>
        <w:rPr>
          <w:spacing w:val="-14"/>
        </w:rPr>
        <w:t> </w:t>
      </w:r>
      <w:r>
        <w:rPr/>
        <w:t>Carneiro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Cruz Diretor Financeiro</w:t>
      </w:r>
    </w:p>
    <w:p>
      <w:pPr>
        <w:pStyle w:val="BodyText"/>
        <w:spacing w:after="0" w:line="360" w:lineRule="auto"/>
        <w:sectPr>
          <w:type w:val="continuous"/>
          <w:pgSz w:w="12240" w:h="15840"/>
          <w:pgMar w:header="952" w:footer="1481" w:top="1880" w:bottom="1680" w:left="1800" w:right="1080"/>
          <w:cols w:num="2" w:equalWidth="0">
            <w:col w:w="3910" w:space="1370"/>
            <w:col w:w="4080"/>
          </w:cols>
        </w:sectPr>
      </w:pPr>
    </w:p>
    <w:p>
      <w:pPr>
        <w:pStyle w:val="BodyText"/>
        <w:spacing w:before="204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header="952" w:footer="1481" w:top="1880" w:bottom="1680" w:left="1800" w:right="1080"/>
        </w:sectPr>
      </w:pPr>
    </w:p>
    <w:p>
      <w:pPr>
        <w:pStyle w:val="BodyText"/>
        <w:spacing w:line="360" w:lineRule="auto" w:before="90"/>
        <w:ind w:left="676" w:right="38" w:hanging="44"/>
      </w:pPr>
      <w:r>
        <w:rPr/>
        <w:t>Claudia</w:t>
      </w:r>
      <w:r>
        <w:rPr>
          <w:spacing w:val="-14"/>
        </w:rPr>
        <w:t> </w:t>
      </w:r>
      <w:r>
        <w:rPr/>
        <w:t>Miranda</w:t>
      </w:r>
      <w:r>
        <w:rPr>
          <w:spacing w:val="-14"/>
        </w:rPr>
        <w:t> </w:t>
      </w:r>
      <w:r>
        <w:rPr/>
        <w:t>do</w:t>
      </w:r>
      <w:r>
        <w:rPr>
          <w:spacing w:val="-15"/>
        </w:rPr>
        <w:t> </w:t>
      </w:r>
      <w:r>
        <w:rPr/>
        <w:t>Nascimento Chefe da</w:t>
      </w:r>
      <w:r>
        <w:rPr>
          <w:spacing w:val="-1"/>
        </w:rPr>
        <w:t> </w:t>
      </w:r>
      <w:r>
        <w:rPr/>
        <w:t>Divisão de Tesouraria</w:t>
      </w:r>
    </w:p>
    <w:p>
      <w:pPr>
        <w:pStyle w:val="BodyText"/>
        <w:spacing w:line="360" w:lineRule="auto" w:before="90"/>
        <w:ind w:left="647" w:right="1154" w:hanging="16"/>
      </w:pPr>
      <w:r>
        <w:rPr/>
        <w:br w:type="column"/>
      </w:r>
      <w:r>
        <w:rPr/>
        <w:t>Michele Schifller Forster Gestora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Investimentos</w:t>
      </w:r>
    </w:p>
    <w:p>
      <w:pPr>
        <w:pStyle w:val="BodyText"/>
        <w:spacing w:after="0" w:line="360" w:lineRule="auto"/>
        <w:sectPr>
          <w:type w:val="continuous"/>
          <w:pgSz w:w="12240" w:h="15840"/>
          <w:pgMar w:header="952" w:footer="1481" w:top="1880" w:bottom="1680" w:left="1800" w:right="1080"/>
          <w:cols w:num="2" w:equalWidth="0">
            <w:col w:w="3794" w:space="1326"/>
            <w:col w:w="4240"/>
          </w:cols>
        </w:sectPr>
      </w:pPr>
    </w:p>
    <w:p>
      <w:pPr>
        <w:pStyle w:val="BodyText"/>
        <w:spacing w:before="110"/>
      </w:pPr>
    </w:p>
    <w:p>
      <w:pPr>
        <w:pStyle w:val="BodyText"/>
        <w:spacing w:line="360" w:lineRule="auto"/>
        <w:ind w:left="81" w:right="5051"/>
        <w:jc w:val="center"/>
      </w:pPr>
      <w:r>
        <w:rPr/>
        <w:t>Carla</w:t>
      </w:r>
      <w:r>
        <w:rPr>
          <w:spacing w:val="-8"/>
        </w:rPr>
        <w:t> </w:t>
      </w:r>
      <w:r>
        <w:rPr/>
        <w:t>Cristina</w:t>
      </w:r>
      <w:r>
        <w:rPr>
          <w:spacing w:val="-8"/>
        </w:rPr>
        <w:t> </w:t>
      </w:r>
      <w:r>
        <w:rPr/>
        <w:t>Correia</w:t>
      </w:r>
      <w:r>
        <w:rPr>
          <w:spacing w:val="-10"/>
        </w:rPr>
        <w:t> </w:t>
      </w:r>
      <w:r>
        <w:rPr/>
        <w:t>M.</w:t>
      </w:r>
      <w:r>
        <w:rPr>
          <w:spacing w:val="-9"/>
        </w:rPr>
        <w:t> </w:t>
      </w:r>
      <w:r>
        <w:rPr/>
        <w:t>V.</w:t>
      </w:r>
      <w:r>
        <w:rPr>
          <w:spacing w:val="-9"/>
        </w:rPr>
        <w:t> </w:t>
      </w:r>
      <w:r>
        <w:rPr/>
        <w:t>Tavares Gestora Previdenciária</w:t>
      </w:r>
    </w:p>
    <w:p>
      <w:pPr>
        <w:pStyle w:val="BodyText"/>
        <w:spacing w:before="1"/>
        <w:ind w:left="81" w:right="5051"/>
        <w:jc w:val="center"/>
      </w:pPr>
      <w:r>
        <w:rPr>
          <w:spacing w:val="-2"/>
        </w:rPr>
        <w:t>Secretária</w:t>
      </w:r>
    </w:p>
    <w:sectPr>
      <w:type w:val="continuous"/>
      <w:pgSz w:w="12240" w:h="15840"/>
      <w:pgMar w:header="952" w:footer="1481" w:top="1880" w:bottom="1680" w:left="180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8416">
              <wp:simplePos x="0" y="0"/>
              <wp:positionH relativeFrom="page">
                <wp:posOffset>1616710</wp:posOffset>
              </wp:positionH>
              <wp:positionV relativeFrom="page">
                <wp:posOffset>8978490</wp:posOffset>
              </wp:positionV>
              <wp:extent cx="3363595" cy="3962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363595" cy="396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" w:right="0" w:firstLine="0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Rua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Dr.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Alencar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Lima,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35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salas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101/115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Centro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Petrópolis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RJ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CEP.: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25620-050 CNPJ 31.157.589/0001-60 - tel.: (24) 2220-9200</w:t>
                          </w:r>
                        </w:p>
                        <w:p>
                          <w:pPr>
                            <w:spacing w:before="0"/>
                            <w:ind w:left="354" w:right="350" w:firstLine="0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DAF-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Diretoria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Administração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Finanças.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E-mail: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2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Verdana" w:hAnsi="Verdana"/>
                                <w:color w:val="0000FF"/>
                                <w:sz w:val="12"/>
                                <w:u w:val="single" w:color="0000FF"/>
                              </w:rPr>
                              <w:t>daf@inpas.rj.gov.br</w:t>
                            </w:r>
                          </w:hyperlink>
                          <w:r>
                            <w:rPr>
                              <w:rFonts w:ascii="Verdana" w:hAnsi="Verdana"/>
                              <w:color w:val="0000FF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Site: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2"/>
                            </w:rPr>
                            <w:t> </w:t>
                          </w:r>
                          <w:hyperlink r:id="rId2">
                            <w:r>
                              <w:rPr>
                                <w:rFonts w:ascii="Verdana" w:hAnsi="Verdana"/>
                                <w:color w:val="0000FF"/>
                                <w:sz w:val="12"/>
                                <w:u w:val="single" w:color="0000FF"/>
                              </w:rPr>
                              <w:t>www.inpas.rj.gov.br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7.300003pt;margin-top:706.967773pt;width:264.850pt;height:31.2pt;mso-position-horizontal-relative:page;mso-position-vertical-relative:page;z-index:-15768064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" w:right="0" w:firstLine="0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Rua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Dr.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Alencar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Lima,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35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–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salas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101/115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Centro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Petrópolis</w:t>
                    </w:r>
                    <w:r>
                      <w:rPr>
                        <w:rFonts w:ascii="Verdana" w:hAnsi="Verdana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RJ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CEP.: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25620-050 CNPJ 31.157.589/0001-60 - tel.: (24) 2220-9200</w:t>
                    </w:r>
                  </w:p>
                  <w:p>
                    <w:pPr>
                      <w:spacing w:before="0"/>
                      <w:ind w:left="354" w:right="350" w:firstLine="0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DAF-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Diretoria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de</w:t>
                    </w:r>
                    <w:r>
                      <w:rPr>
                        <w:rFonts w:ascii="Verdana" w:hAnsi="Verdana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Administração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e</w:t>
                    </w:r>
                    <w:r>
                      <w:rPr>
                        <w:rFonts w:ascii="Verdana" w:hAnsi="Verdana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Finanças.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E-mail: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> </w:t>
                    </w:r>
                    <w:hyperlink r:id="rId1">
                      <w:r>
                        <w:rPr>
                          <w:rFonts w:ascii="Verdana" w:hAnsi="Verdana"/>
                          <w:color w:val="0000FF"/>
                          <w:sz w:val="12"/>
                          <w:u w:val="single" w:color="0000FF"/>
                        </w:rPr>
                        <w:t>daf@inpas.rj.gov.br</w:t>
                      </w:r>
                    </w:hyperlink>
                    <w:r>
                      <w:rPr>
                        <w:rFonts w:ascii="Verdana" w:hAnsi="Verdana"/>
                        <w:color w:val="0000FF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Site:</w:t>
                    </w:r>
                    <w:r>
                      <w:rPr>
                        <w:rFonts w:ascii="Verdana" w:hAnsi="Verdana"/>
                        <w:spacing w:val="-1"/>
                        <w:sz w:val="12"/>
                      </w:rPr>
                      <w:t> </w:t>
                    </w:r>
                    <w:hyperlink r:id="rId2">
                      <w:r>
                        <w:rPr>
                          <w:rFonts w:ascii="Verdana" w:hAnsi="Verdana"/>
                          <w:color w:val="0000FF"/>
                          <w:sz w:val="12"/>
                          <w:u w:val="single" w:color="0000FF"/>
                        </w:rPr>
                        <w:t>www.inpas.rj.gov.br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47392">
          <wp:simplePos x="0" y="0"/>
          <wp:positionH relativeFrom="page">
            <wp:posOffset>1071880</wp:posOffset>
          </wp:positionH>
          <wp:positionV relativeFrom="page">
            <wp:posOffset>604519</wp:posOffset>
          </wp:positionV>
          <wp:extent cx="1338580" cy="50419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8580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7904">
              <wp:simplePos x="0" y="0"/>
              <wp:positionH relativeFrom="page">
                <wp:posOffset>2472689</wp:posOffset>
              </wp:positionH>
              <wp:positionV relativeFrom="page">
                <wp:posOffset>596096</wp:posOffset>
              </wp:positionV>
              <wp:extent cx="3475990" cy="37147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475990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18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Previdência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Assistência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Social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do Servidor Público do Município de Petrópolis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4.699997pt;margin-top:46.936718pt;width:273.7pt;height:29.25pt;mso-position-horizontal-relative:page;mso-position-vertical-relative:page;z-index:-15768576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18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Previdência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Assistência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Social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do Servidor Público do Município de Petrópolis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2"/>
      <w:ind w:left="20" w:right="18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daf@inpas.rj.gov.br" TargetMode="External"/><Relationship Id="rId2" Type="http://schemas.openxmlformats.org/officeDocument/2006/relationships/hyperlink" Target="http://www.inpas.rj.gov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2025-05-16T18:41:47Z</dcterms:created>
  <dcterms:modified xsi:type="dcterms:W3CDTF">2025-05-16T18:41:47Z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