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</w:pPr>
    </w:p>
    <w:p>
      <w:pPr>
        <w:pStyle w:val="BodyText"/>
        <w:spacing w:line="360" w:lineRule="auto"/>
        <w:ind w:left="230" w:right="103"/>
        <w:jc w:val="both"/>
      </w:pPr>
      <w:r>
        <w:rPr/>
        <w:t>Ata da sexagésima quinta reunião 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INPAS.</w:t>
      </w:r>
      <w:r>
        <w:rPr>
          <w:spacing w:val="-4"/>
        </w:rPr>
        <w:t> </w:t>
      </w:r>
      <w:r>
        <w:rPr/>
        <w:t>Aos dezesseis dias do mês de maio do ano de dois mil e dezoito, às dez horas e cinco minutos, no Auditório do</w:t>
      </w:r>
      <w:r>
        <w:rPr>
          <w:spacing w:val="-2"/>
        </w:rPr>
        <w:t> </w:t>
      </w:r>
      <w:r>
        <w:rPr/>
        <w:t>Instituto de</w:t>
      </w:r>
      <w:r>
        <w:rPr>
          <w:spacing w:val="-2"/>
        </w:rPr>
        <w:t> </w:t>
      </w:r>
      <w:r>
        <w:rPr/>
        <w:t>Previdência e</w:t>
      </w:r>
      <w:r>
        <w:rPr>
          <w:spacing w:val="-2"/>
        </w:rPr>
        <w:t> </w:t>
      </w:r>
      <w:r>
        <w:rPr/>
        <w:t>Assistência Social do</w:t>
      </w:r>
      <w:r>
        <w:rPr>
          <w:spacing w:val="-2"/>
        </w:rPr>
        <w:t> </w:t>
      </w:r>
      <w:r>
        <w:rPr/>
        <w:t>Servidor Público do</w:t>
      </w:r>
      <w:r>
        <w:rPr>
          <w:spacing w:val="-2"/>
        </w:rPr>
        <w:t> </w:t>
      </w:r>
      <w:r>
        <w:rPr/>
        <w:t>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d)-Gestora de Investimentos, senhora Michele Schiffler Forster; e)- Chefe da Divisão de Tesouraria, senhora Claudia Miranda do Nascimento.</w:t>
      </w:r>
      <w:r>
        <w:rPr>
          <w:spacing w:val="40"/>
        </w:rPr>
        <w:t> </w:t>
      </w:r>
      <w:r>
        <w:rPr/>
        <w:t>Registra-se a ausência do Diretor-Presidente, Sr. Fernando Leite Fortes e da Gestora Previdenciária, senhora Adriana Catarina da Costa, por estar de licença médica. Com esta composição iniciou-se a referida reunião para atendimento à pauta do dia, que teve a seguinte ordem: 1)- Leitura da ata da 64ª reunião ordinária do Comitê de Investimentos. 2)- Análise do cenário</w:t>
      </w:r>
      <w:r>
        <w:rPr>
          <w:spacing w:val="-1"/>
        </w:rPr>
        <w:t> </w:t>
      </w:r>
      <w:r>
        <w:rPr/>
        <w:t>macroeconômico,</w:t>
      </w:r>
      <w:r>
        <w:rPr>
          <w:spacing w:val="-1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expectativas de</w:t>
      </w:r>
      <w:r>
        <w:rPr>
          <w:spacing w:val="-4"/>
        </w:rPr>
        <w:t> </w:t>
      </w:r>
      <w:r>
        <w:rPr/>
        <w:t>mercado.</w:t>
      </w:r>
      <w:r>
        <w:rPr>
          <w:spacing w:val="-1"/>
        </w:rPr>
        <w:t> </w:t>
      </w:r>
      <w:r>
        <w:rPr/>
        <w:t>3)-</w:t>
      </w:r>
      <w:r>
        <w:rPr>
          <w:spacing w:val="-3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fluxo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caixa, considerando as obrigações previdenciárias e administrativas para o mês em curso. 4)- Avaliação dos investimentos que compõem o patrimônio dos diversos segmentos de aplicação. 5)- Proposições de investimentos/desinvestimentos. 6)-Assuntos Gerais. A Presidente do Comitê iniciou a reunião agradecendo a presença de todos. No que se refere à ata da 64ª</w:t>
      </w:r>
      <w:r>
        <w:rPr>
          <w:spacing w:val="40"/>
        </w:rPr>
        <w:t> </w:t>
      </w:r>
      <w:r>
        <w:rPr/>
        <w:t>reunião ordinária, enviada por e-mail a todos os membros do Comitê, não houve retificações, tendo sido integralmente aprovada. Passando para o segundo ponto de pauta, a Gestora de Investimentos, Sra. Michele Schiffler Forster, comentou que o cenário macroeconômico permanece inalterado 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volatilidade nos investimentos tem ocorrido em virtude da</w:t>
      </w:r>
      <w:r>
        <w:rPr>
          <w:spacing w:val="-1"/>
        </w:rPr>
        <w:t> </w:t>
      </w:r>
      <w:r>
        <w:rPr/>
        <w:t>alta do dólar, movido pela expectativa de elevação da taxa de juros do FED, já que a inflação norte- americana foi maior que o previsto. Acrescentou que o COPOM fará uma reunião hoje e que a previsão é de um corte de 0,25%</w:t>
      </w:r>
      <w:r>
        <w:rPr>
          <w:spacing w:val="-1"/>
        </w:rPr>
        <w:t> </w:t>
      </w:r>
      <w:r>
        <w:rPr/>
        <w:t>na taxa Selic. A variação dos índices do</w:t>
      </w:r>
      <w:r>
        <w:rPr>
          <w:spacing w:val="-1"/>
        </w:rPr>
        <w:t> </w:t>
      </w:r>
      <w:r>
        <w:rPr/>
        <w:t>mês de abril de 2018, mais utilizados e/ou acompanhados por esta Autarquia, foi a seguinte:</w:t>
      </w:r>
      <w:r>
        <w:rPr>
          <w:spacing w:val="40"/>
        </w:rPr>
        <w:t> </w:t>
      </w:r>
      <w:r>
        <w:rPr/>
        <w:t>IRFM1:</w:t>
      </w:r>
      <w:r>
        <w:rPr>
          <w:spacing w:val="40"/>
        </w:rPr>
        <w:t> </w:t>
      </w:r>
      <w:r>
        <w:rPr/>
        <w:t>0,5055; IRFM1+:</w:t>
      </w:r>
      <w:r>
        <w:rPr>
          <w:spacing w:val="68"/>
        </w:rPr>
        <w:t>  </w:t>
      </w:r>
      <w:r>
        <w:rPr/>
        <w:t>0,4532;</w:t>
      </w:r>
      <w:r>
        <w:rPr>
          <w:spacing w:val="67"/>
        </w:rPr>
        <w:t>  </w:t>
      </w:r>
      <w:r>
        <w:rPr/>
        <w:t>IRFM:</w:t>
      </w:r>
      <w:r>
        <w:rPr>
          <w:spacing w:val="80"/>
          <w:w w:val="150"/>
        </w:rPr>
        <w:t> </w:t>
      </w:r>
      <w:r>
        <w:rPr/>
        <w:t>0,4662;</w:t>
      </w:r>
      <w:r>
        <w:rPr>
          <w:spacing w:val="79"/>
          <w:w w:val="150"/>
        </w:rPr>
        <w:t> </w:t>
      </w:r>
      <w:r>
        <w:rPr/>
        <w:t>I</w:t>
      </w:r>
      <w:r>
        <w:rPr>
          <w:spacing w:val="24"/>
        </w:rPr>
        <w:t> </w:t>
      </w:r>
      <w:r>
        <w:rPr/>
        <w:t>MA</w:t>
      </w:r>
      <w:r>
        <w:rPr>
          <w:spacing w:val="23"/>
        </w:rPr>
        <w:t> </w:t>
      </w:r>
      <w:r>
        <w:rPr/>
        <w:t>B</w:t>
      </w:r>
      <w:r>
        <w:rPr>
          <w:spacing w:val="24"/>
        </w:rPr>
        <w:t> </w:t>
      </w:r>
      <w:r>
        <w:rPr/>
        <w:t>5:</w:t>
      </w:r>
      <w:r>
        <w:rPr>
          <w:spacing w:val="80"/>
          <w:w w:val="150"/>
        </w:rPr>
        <w:t> </w:t>
      </w:r>
      <w:r>
        <w:rPr/>
        <w:t>0,4215;</w:t>
      </w:r>
      <w:r>
        <w:rPr>
          <w:spacing w:val="67"/>
        </w:rPr>
        <w:t>  </w:t>
      </w:r>
      <w:r>
        <w:rPr/>
        <w:t>IMA</w:t>
      </w:r>
      <w:r>
        <w:rPr>
          <w:spacing w:val="25"/>
        </w:rPr>
        <w:t> </w:t>
      </w:r>
      <w:r>
        <w:rPr/>
        <w:t>B</w:t>
      </w:r>
      <w:r>
        <w:rPr>
          <w:spacing w:val="24"/>
        </w:rPr>
        <w:t> </w:t>
      </w:r>
      <w:r>
        <w:rPr/>
        <w:t>5+:</w:t>
      </w:r>
      <w:r>
        <w:rPr>
          <w:spacing w:val="79"/>
          <w:w w:val="150"/>
        </w:rPr>
        <w:t> </w:t>
      </w:r>
      <w:r>
        <w:rPr/>
        <w:t>-0,629;</w:t>
      </w:r>
      <w:r>
        <w:rPr>
          <w:spacing w:val="80"/>
          <w:w w:val="150"/>
        </w:rPr>
        <w:t> </w:t>
      </w:r>
      <w:r>
        <w:rPr/>
        <w:t>IMA</w:t>
      </w:r>
      <w:r>
        <w:rPr>
          <w:spacing w:val="25"/>
        </w:rPr>
        <w:t> </w:t>
      </w:r>
      <w:r>
        <w:rPr/>
        <w:t>B:</w:t>
      </w:r>
      <w:r>
        <w:rPr>
          <w:spacing w:val="23"/>
        </w:rPr>
        <w:t> </w:t>
      </w:r>
      <w:r>
        <w:rPr/>
        <w:t>-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1" w:footer="1479" w:top="1880" w:bottom="1660" w:left="1700" w:right="992"/>
          <w:pgNumType w:start="1"/>
        </w:sectPr>
      </w:pPr>
    </w:p>
    <w:p>
      <w:pPr>
        <w:pStyle w:val="BodyText"/>
        <w:spacing w:before="178"/>
      </w:pPr>
    </w:p>
    <w:p>
      <w:pPr>
        <w:pStyle w:val="BodyText"/>
        <w:tabs>
          <w:tab w:pos="2358" w:val="left" w:leader="none"/>
          <w:tab w:pos="4227" w:val="left" w:leader="none"/>
          <w:tab w:pos="6228" w:val="left" w:leader="none"/>
          <w:tab w:pos="8357" w:val="left" w:leader="none"/>
        </w:tabs>
        <w:ind w:left="230"/>
        <w:jc w:val="both"/>
      </w:pPr>
      <w:r>
        <w:rPr>
          <w:spacing w:val="-2"/>
        </w:rPr>
        <w:t>0,1438;</w:t>
      </w:r>
      <w:r>
        <w:rPr/>
        <w:tab/>
      </w:r>
      <w:bookmarkStart w:name="Instituto de Previdência e Assistência S" w:id="1"/>
      <w:bookmarkEnd w:id="1"/>
      <w:r>
        <w:rPr>
          <w:spacing w:val="-5"/>
        </w:rPr>
        <w:t>I</w:t>
      </w:r>
      <w:r>
        <w:rPr>
          <w:spacing w:val="-5"/>
        </w:rPr>
        <w:t>MA</w:t>
      </w:r>
      <w:r>
        <w:rPr/>
        <w:tab/>
      </w:r>
      <w:r>
        <w:rPr>
          <w:spacing w:val="-2"/>
        </w:rPr>
        <w:t>Geral:</w:t>
      </w:r>
      <w:r>
        <w:rPr/>
        <w:tab/>
      </w:r>
      <w:r>
        <w:rPr>
          <w:spacing w:val="-2"/>
        </w:rPr>
        <w:t>0,3184;</w:t>
      </w:r>
      <w:r>
        <w:rPr/>
        <w:tab/>
      </w:r>
      <w:r>
        <w:rPr>
          <w:spacing w:val="-2"/>
        </w:rPr>
        <w:t>CDI:0,518.</w:t>
      </w:r>
    </w:p>
    <w:p>
      <w:pPr>
        <w:pStyle w:val="BodyText"/>
        <w:spacing w:line="360" w:lineRule="auto" w:before="138"/>
        <w:ind w:left="230" w:right="109"/>
        <w:jc w:val="both"/>
      </w:pPr>
      <w:r>
        <w:rPr/>
        <w:t>Na rentabilidade acumulada – 2018, o melhor desempenho foi do IBOVESPA, com uma rentabilidade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12,714,</w:t>
      </w:r>
      <w:r>
        <w:rPr>
          <w:spacing w:val="-4"/>
        </w:rPr>
        <w:t> </w:t>
      </w:r>
      <w:r>
        <w:rPr/>
        <w:t>seguido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IMAB5+,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5,2695;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IRFM</w:t>
      </w:r>
      <w:r>
        <w:rPr>
          <w:spacing w:val="-4"/>
        </w:rPr>
        <w:t> </w:t>
      </w:r>
      <w:r>
        <w:rPr/>
        <w:t>teve</w:t>
      </w:r>
      <w:r>
        <w:rPr>
          <w:spacing w:val="-2"/>
        </w:rPr>
        <w:t> </w:t>
      </w:r>
      <w:r>
        <w:rPr/>
        <w:t>rendimento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4,2543; o IMAB5 de 3,9669; o IRFM1 de 2,3163 e o DI de 2,114. Na análise do Relatório Focus de onze de maio do corrente ano, ressaltou que o IPCA está com expectativa de queda e a meta da taxa SELIC está com expectativa de ficar estável em 6,25%. Quanto ao PIB, espera-se um crescimento menor. Após, apresentou as movimentações financeiras do Instituto referentes ao mês de abril. As aplicações, nesse mês, somaram R$ 790.000,00 e os resgates, R$</w:t>
      </w:r>
      <w:r>
        <w:rPr>
          <w:spacing w:val="40"/>
        </w:rPr>
        <w:t> </w:t>
      </w:r>
      <w:r>
        <w:rPr/>
        <w:t>1.367.000,00. O saldo anterior era de R$ 1.745.147,74. O retorno financeiro foi de R$ 10.102,94 e o percentual de retorno de 0,4844%. O atingimento da meta atuarial no mês foi de 68,42%. Comparando o INPC e o IPCA, o primeiro registrou um acumulado de 0,69% e o segundo, 0,92%. A senhora Michele ainda apresentou o relatório de rentabilidade e risco dos ativos que</w:t>
      </w:r>
      <w:r>
        <w:rPr>
          <w:spacing w:val="-1"/>
        </w:rPr>
        <w:t> </w:t>
      </w:r>
      <w:r>
        <w:rPr/>
        <w:t>compõem a</w:t>
      </w:r>
      <w:r>
        <w:rPr>
          <w:spacing w:val="-1"/>
        </w:rPr>
        <w:t> </w:t>
      </w:r>
      <w:r>
        <w:rPr/>
        <w:t>carteira do</w:t>
      </w:r>
      <w:r>
        <w:rPr>
          <w:spacing w:val="-2"/>
        </w:rPr>
        <w:t> </w:t>
      </w:r>
      <w:r>
        <w:rPr/>
        <w:t>Instituto. O</w:t>
      </w:r>
      <w:r>
        <w:rPr>
          <w:spacing w:val="-1"/>
        </w:rPr>
        <w:t> </w:t>
      </w:r>
      <w:r>
        <w:rPr/>
        <w:t>índice VAR, que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perda</w:t>
      </w:r>
      <w:r>
        <w:rPr>
          <w:spacing w:val="-1"/>
        </w:rPr>
        <w:t> </w:t>
      </w:r>
      <w:r>
        <w:rPr/>
        <w:t>máxima num</w:t>
      </w:r>
      <w:r>
        <w:rPr>
          <w:spacing w:val="-1"/>
        </w:rPr>
        <w:t> </w:t>
      </w:r>
      <w:r>
        <w:rPr/>
        <w:t>período, e o índice Sharp, que mede o desempenho dos fundos, não variaram em relação ao que foi apresentado na reunião anterior. Por fim, a recomendação do consultor da empresa Di Blasi Consultoria, foi a seguinte: a) a renda fixa deverá estar concentrada em Títulos Públicos Federais; b)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fundos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família IRFM</w:t>
      </w:r>
      <w:r>
        <w:rPr>
          <w:spacing w:val="-1"/>
        </w:rPr>
        <w:t> </w:t>
      </w:r>
      <w:r>
        <w:rPr/>
        <w:t>estão</w:t>
      </w:r>
      <w:r>
        <w:rPr>
          <w:spacing w:val="-2"/>
        </w:rPr>
        <w:t> </w:t>
      </w:r>
      <w:r>
        <w:rPr/>
        <w:t>com taxas de</w:t>
      </w:r>
      <w:r>
        <w:rPr>
          <w:spacing w:val="-2"/>
        </w:rPr>
        <w:t> </w:t>
      </w:r>
      <w:r>
        <w:rPr/>
        <w:t>juros</w:t>
      </w:r>
      <w:r>
        <w:rPr>
          <w:spacing w:val="-1"/>
        </w:rPr>
        <w:t> </w:t>
      </w:r>
      <w:r>
        <w:rPr/>
        <w:t>entre</w:t>
      </w:r>
      <w:r>
        <w:rPr>
          <w:spacing w:val="40"/>
        </w:rPr>
        <w:t> </w:t>
      </w:r>
      <w:r>
        <w:rPr/>
        <w:t>6,7%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8,7%</w:t>
      </w:r>
      <w:r>
        <w:rPr>
          <w:spacing w:val="-2"/>
        </w:rPr>
        <w:t> </w:t>
      </w:r>
      <w:r>
        <w:rPr/>
        <w:t>a.a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ainda têm pequena capacidade de gerar ganhos; c) fundos da família IMA-B (mais longos) podem apresentar algum espaço para valorização, mas com oscilações; d) os fundos CDI (referenciados) estão abaixo da meta atuarial. Com relação ao FASSE, o saldo final de abril de 2018 somou R$ 282.299,81, com um total de 283.976,55 de saldo anterior, R$ 3.000,00 de resgates, e R$ 1.323,26 de rendimentos. No terceiro item da pauta, foi apresentado o fluxo de caixa pela Chefe da Divisão de Tesouraria. Informou que o saldo na conta previdenciária, em 16/05/18, é de R$ 451.302,32. Na conta administrativa o saldo, em 16/05/18, é de R$ 871.510,53. No quarto item da pauta a gestora de investimentos ressaltou que há uma previsão de que o segmento de renda fixa, em 2018, ficará abaixo da meta atuarial. Com relação aos investimentos, o Comitê decidiu, por unanimidade dos presentes, manter as mesmas aplicações hoje</w:t>
      </w:r>
      <w:r>
        <w:rPr>
          <w:spacing w:val="40"/>
        </w:rPr>
        <w:t> </w:t>
      </w:r>
      <w:r>
        <w:rPr/>
        <w:t>existentes</w:t>
      </w:r>
      <w:r>
        <w:rPr>
          <w:spacing w:val="60"/>
        </w:rPr>
        <w:t> </w:t>
      </w:r>
      <w:r>
        <w:rPr/>
        <w:t>no</w:t>
      </w:r>
      <w:r>
        <w:rPr>
          <w:spacing w:val="40"/>
        </w:rPr>
        <w:t> </w:t>
      </w:r>
      <w:r>
        <w:rPr/>
        <w:t>Instituto.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assuntos</w:t>
      </w:r>
      <w:r>
        <w:rPr>
          <w:spacing w:val="40"/>
        </w:rPr>
        <w:t> </w:t>
      </w:r>
      <w:r>
        <w:rPr/>
        <w:t>gerais,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Gestora</w:t>
      </w:r>
      <w:r>
        <w:rPr>
          <w:spacing w:val="40"/>
        </w:rPr>
        <w:t> </w:t>
      </w:r>
      <w:r>
        <w:rPr/>
        <w:t>Previdenciária,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Maduro,</w:t>
      </w:r>
    </w:p>
    <w:p>
      <w:pPr>
        <w:pStyle w:val="BodyText"/>
        <w:spacing w:after="0" w:line="360" w:lineRule="auto"/>
        <w:jc w:val="both"/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before="178"/>
      </w:pPr>
    </w:p>
    <w:p>
      <w:pPr>
        <w:pStyle w:val="BodyText"/>
        <w:spacing w:line="360" w:lineRule="auto"/>
        <w:ind w:left="230" w:right="107"/>
        <w:jc w:val="both"/>
      </w:pPr>
      <w:r>
        <w:rPr/>
        <w:t>solicitou sua substituição na condição de Secretária do Comitê, por motivos pessoais, a partir</w:t>
      </w:r>
      <w:r>
        <w:rPr>
          <w:spacing w:val="40"/>
        </w:rPr>
        <w:t> </w:t>
      </w:r>
      <w:r>
        <w:rPr/>
        <w:t>da próxima reunião. Sem mais, a Presidente encerrou a reunião às onze horas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615" w:right="38" w:firstLine="566"/>
      </w:pPr>
      <w:r>
        <w:rPr/>
        <w:t>Lucimar Glória Gomes Chefe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ind w:left="1796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917" w:right="1205" w:hanging="302"/>
      </w:pPr>
      <w:r>
        <w:rPr/>
        <w:br w:type="column"/>
      </w:r>
      <w:r>
        <w:rPr/>
        <w:t>Robson</w:t>
      </w:r>
      <w:r>
        <w:rPr>
          <w:spacing w:val="-14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010" w:space="1270"/>
            <w:col w:w="42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1" w:footer="1479" w:top="1880" w:bottom="1660" w:left="1700" w:right="992"/>
        </w:sectPr>
      </w:pPr>
    </w:p>
    <w:p>
      <w:pPr>
        <w:pStyle w:val="BodyText"/>
        <w:spacing w:line="360" w:lineRule="auto" w:before="90"/>
        <w:ind w:left="475"/>
        <w:jc w:val="center"/>
      </w:pP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8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ind w:left="475" w:right="2"/>
        <w:jc w:val="center"/>
      </w:pPr>
      <w:r>
        <w:rPr>
          <w:spacing w:val="-2"/>
        </w:rPr>
        <w:t>Secretária</w:t>
      </w:r>
    </w:p>
    <w:p>
      <w:pPr>
        <w:pStyle w:val="BodyText"/>
        <w:spacing w:line="360" w:lineRule="auto" w:before="90"/>
        <w:ind w:left="529" w:right="1242" w:hanging="16"/>
      </w:pPr>
      <w:r>
        <w:rPr/>
        <w:br w:type="column"/>
      </w:r>
      <w:r>
        <w:rPr/>
        <w:t>Michele Schifller Forster Gestora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Investimentos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1" w:footer="1479" w:top="1880" w:bottom="1660" w:left="1700" w:right="992"/>
          <w:cols w:num="2" w:equalWidth="0">
            <w:col w:w="4115" w:space="1223"/>
            <w:col w:w="421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360" w:lineRule="auto"/>
        <w:ind w:left="776" w:right="5149" w:hanging="74"/>
      </w:pPr>
      <w:r>
        <w:rPr/>
        <w:t>Claudia</w:t>
      </w:r>
      <w:r>
        <w:rPr>
          <w:spacing w:val="39"/>
        </w:rPr>
        <w:t> </w:t>
      </w:r>
      <w:r>
        <w:rPr/>
        <w:t>Miranda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Nascimento Chefe da Divisão de Tesouraria</w:t>
      </w:r>
    </w:p>
    <w:sectPr>
      <w:type w:val="continuous"/>
      <w:pgSz w:w="12240" w:h="15840"/>
      <w:pgMar w:header="951" w:footer="1479" w:top="1880" w:bottom="166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1615439</wp:posOffset>
              </wp:positionH>
              <wp:positionV relativeFrom="page">
                <wp:posOffset>8979404</wp:posOffset>
              </wp:positionV>
              <wp:extent cx="336486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486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6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199997pt;margin-top:707.039734pt;width:264.95pt;height:31.2pt;mso-position-horizontal-relative:page;mso-position-vertical-relative:page;z-index:-1576755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6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1073150</wp:posOffset>
          </wp:positionH>
          <wp:positionV relativeFrom="page">
            <wp:posOffset>604164</wp:posOffset>
          </wp:positionV>
          <wp:extent cx="1338580" cy="5054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5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2472689</wp:posOffset>
              </wp:positionH>
              <wp:positionV relativeFrom="page">
                <wp:posOffset>597010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7.008705pt;width:273.7pt;height:29.25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2025-05-16T18:41:49Z</dcterms:created>
  <dcterms:modified xsi:type="dcterms:W3CDTF">2025-05-16T18:41:49Z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