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288"/>
        <w:rPr>
          <w:rFonts w:ascii="Times New Roman"/>
          <w:sz w:val="20"/>
        </w:rPr>
      </w:pPr>
      <w:r>
        <w:rPr>
          <w:rFonts w:ascii="Times New Roman"/>
          <w:sz w:val="20"/>
        </w:rPr>
        <w:drawing>
          <wp:inline distT="0" distB="0" distL="0" distR="0">
            <wp:extent cx="3112570" cy="130930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112570" cy="1309306"/>
                    </a:xfrm>
                    <a:prstGeom prst="rect">
                      <a:avLst/>
                    </a:prstGeom>
                  </pic:spPr>
                </pic:pic>
              </a:graphicData>
            </a:graphic>
          </wp:inline>
        </w:drawing>
      </w:r>
      <w:r>
        <w:rPr>
          <w:rFonts w:ascii="Times New Roman"/>
          <w:sz w:val="20"/>
        </w:rPr>
      </w:r>
    </w:p>
    <w:p>
      <w:pPr>
        <w:pStyle w:val="BodyText"/>
        <w:spacing w:line="360" w:lineRule="auto" w:before="219"/>
        <w:ind w:left="984" w:right="258"/>
        <w:jc w:val="both"/>
      </w:pPr>
      <w:r>
        <w:rPr/>
        <w:t>Ata da décima terceira reunião extraordinária do Comitê de Investimentos do Instituto de Previdência e Assistência Social do Servidor Público do Município de Petrópolis – INPAS.</w:t>
      </w:r>
      <w:r>
        <w:rPr>
          <w:spacing w:val="-15"/>
        </w:rPr>
        <w:t> </w:t>
      </w:r>
      <w:r>
        <w:rPr/>
        <w:t>Aos</w:t>
      </w:r>
      <w:r>
        <w:rPr>
          <w:spacing w:val="-3"/>
        </w:rPr>
        <w:t> </w:t>
      </w:r>
      <w:r>
        <w:rPr/>
        <w:t>vinte</w:t>
      </w:r>
      <w:r>
        <w:rPr>
          <w:spacing w:val="-2"/>
        </w:rPr>
        <w:t> </w:t>
      </w:r>
      <w:r>
        <w:rPr/>
        <w:t>dias</w:t>
      </w:r>
      <w:r>
        <w:rPr>
          <w:spacing w:val="-4"/>
        </w:rPr>
        <w:t> </w:t>
      </w:r>
      <w:r>
        <w:rPr/>
        <w:t>do</w:t>
      </w:r>
      <w:r>
        <w:rPr>
          <w:spacing w:val="-4"/>
        </w:rPr>
        <w:t> </w:t>
      </w:r>
      <w:r>
        <w:rPr/>
        <w:t>mês</w:t>
      </w:r>
      <w:r>
        <w:rPr>
          <w:spacing w:val="-2"/>
        </w:rPr>
        <w:t> </w:t>
      </w:r>
      <w:r>
        <w:rPr/>
        <w:t>de</w:t>
      </w:r>
      <w:r>
        <w:rPr>
          <w:spacing w:val="-4"/>
        </w:rPr>
        <w:t> </w:t>
      </w:r>
      <w:r>
        <w:rPr/>
        <w:t>outubro</w:t>
      </w:r>
      <w:r>
        <w:rPr>
          <w:spacing w:val="-4"/>
        </w:rPr>
        <w:t> </w:t>
      </w:r>
      <w:r>
        <w:rPr/>
        <w:t>do</w:t>
      </w:r>
      <w:r>
        <w:rPr>
          <w:spacing w:val="-4"/>
        </w:rPr>
        <w:t> </w:t>
      </w:r>
      <w:r>
        <w:rPr/>
        <w:t>ano</w:t>
      </w:r>
      <w:r>
        <w:rPr>
          <w:spacing w:val="-2"/>
        </w:rPr>
        <w:t> </w:t>
      </w:r>
      <w:r>
        <w:rPr/>
        <w:t>de</w:t>
      </w:r>
      <w:r>
        <w:rPr>
          <w:spacing w:val="-4"/>
        </w:rPr>
        <w:t> </w:t>
      </w:r>
      <w:r>
        <w:rPr/>
        <w:t>dois</w:t>
      </w:r>
      <w:r>
        <w:rPr>
          <w:spacing w:val="-2"/>
        </w:rPr>
        <w:t> </w:t>
      </w:r>
      <w:r>
        <w:rPr/>
        <w:t>mil</w:t>
      </w:r>
      <w:r>
        <w:rPr>
          <w:spacing w:val="-4"/>
        </w:rPr>
        <w:t> </w:t>
      </w:r>
      <w:r>
        <w:rPr/>
        <w:t>e</w:t>
      </w:r>
      <w:r>
        <w:rPr>
          <w:spacing w:val="-4"/>
        </w:rPr>
        <w:t> </w:t>
      </w:r>
      <w:r>
        <w:rPr/>
        <w:t>dezesseis</w:t>
      </w:r>
      <w:r>
        <w:rPr>
          <w:spacing w:val="-2"/>
        </w:rPr>
        <w:t> </w:t>
      </w:r>
      <w:r>
        <w:rPr/>
        <w:t>–</w:t>
      </w:r>
      <w:r>
        <w:rPr>
          <w:spacing w:val="-6"/>
        </w:rPr>
        <w:t> </w:t>
      </w:r>
      <w:r>
        <w:rPr/>
        <w:t>20/10/2016, às nove horas , no Auditório do Instituto de Previdência e Assistência Social do Servidor Público do Município de Petrópolis, reuniram-se os seguintes membros do Comitê de Investimentos deste Regime Próprio de Previdência Social: a) Diretor- Presidente do INPAS, senhor Paulo Marcos dos Reis, b) Diretor Financeiro do INPAS, senhor Daniel Luiz Simões Campos, c) Chefe da Divisão de Contabilidade, senhora Lucimar da Glória Gomes Presidente eleita deste Comitê,d)- Chefe da Divisão de Tesouraria,</w:t>
      </w:r>
      <w:r>
        <w:rPr>
          <w:spacing w:val="-6"/>
        </w:rPr>
        <w:t> </w:t>
      </w:r>
      <w:r>
        <w:rPr/>
        <w:t>Senhora</w:t>
      </w:r>
      <w:r>
        <w:rPr>
          <w:spacing w:val="-7"/>
        </w:rPr>
        <w:t> </w:t>
      </w:r>
      <w:r>
        <w:rPr/>
        <w:t>Cláudia</w:t>
      </w:r>
      <w:r>
        <w:rPr>
          <w:spacing w:val="-7"/>
        </w:rPr>
        <w:t> </w:t>
      </w:r>
      <w:r>
        <w:rPr/>
        <w:t>Miranda</w:t>
      </w:r>
      <w:r>
        <w:rPr>
          <w:spacing w:val="-2"/>
        </w:rPr>
        <w:t> </w:t>
      </w:r>
      <w:r>
        <w:rPr/>
        <w:t>do</w:t>
      </w:r>
      <w:r>
        <w:rPr>
          <w:spacing w:val="-8"/>
        </w:rPr>
        <w:t> </w:t>
      </w:r>
      <w:r>
        <w:rPr/>
        <w:t>Nascimento</w:t>
      </w:r>
      <w:r>
        <w:rPr>
          <w:spacing w:val="-8"/>
        </w:rPr>
        <w:t> </w:t>
      </w:r>
      <w:r>
        <w:rPr/>
        <w:t>Secretária</w:t>
      </w:r>
      <w:r>
        <w:rPr>
          <w:spacing w:val="-8"/>
        </w:rPr>
        <w:t> </w:t>
      </w:r>
      <w:r>
        <w:rPr/>
        <w:t>eleita</w:t>
      </w:r>
      <w:r>
        <w:rPr>
          <w:spacing w:val="-7"/>
        </w:rPr>
        <w:t> </w:t>
      </w:r>
      <w:r>
        <w:rPr/>
        <w:t>deste</w:t>
      </w:r>
      <w:r>
        <w:rPr>
          <w:spacing w:val="-8"/>
        </w:rPr>
        <w:t> </w:t>
      </w:r>
      <w:r>
        <w:rPr/>
        <w:t>Comitê,</w:t>
      </w:r>
      <w:r>
        <w:rPr>
          <w:spacing w:val="-2"/>
        </w:rPr>
        <w:t> </w:t>
      </w:r>
      <w:r>
        <w:rPr/>
        <w:t>e) Gestora Previdenciária, senhora Carla Cristina Correia Maduro Vogas Tavares, f) Gestora Previdenciária, senhora Adriana Catarina da Costa. Presentes também, com direito a voz e sem direito a voto, a servidora Michele Schiffler Forster. Iniciou-se a referida reunião para esclarecimentos quanto a migração dos recursos do INPAS, alocados no</w:t>
      </w:r>
      <w:r>
        <w:rPr>
          <w:spacing w:val="-1"/>
        </w:rPr>
        <w:t> </w:t>
      </w:r>
      <w:r>
        <w:rPr/>
        <w:t>Fundo</w:t>
      </w:r>
      <w:r>
        <w:rPr>
          <w:spacing w:val="-1"/>
        </w:rPr>
        <w:t> </w:t>
      </w:r>
      <w:r>
        <w:rPr/>
        <w:t>IRFM</w:t>
      </w:r>
      <w:r>
        <w:rPr>
          <w:spacing w:val="-1"/>
        </w:rPr>
        <w:t> </w:t>
      </w:r>
      <w:r>
        <w:rPr/>
        <w:t>para o</w:t>
      </w:r>
      <w:r>
        <w:rPr>
          <w:spacing w:val="-3"/>
        </w:rPr>
        <w:t> </w:t>
      </w:r>
      <w:r>
        <w:rPr/>
        <w:t>CDI,</w:t>
      </w:r>
      <w:r>
        <w:rPr>
          <w:spacing w:val="-2"/>
        </w:rPr>
        <w:t> </w:t>
      </w:r>
      <w:r>
        <w:rPr/>
        <w:t>em</w:t>
      </w:r>
      <w:r>
        <w:rPr>
          <w:spacing w:val="-1"/>
        </w:rPr>
        <w:t> </w:t>
      </w:r>
      <w:r>
        <w:rPr/>
        <w:t>virtude da</w:t>
      </w:r>
      <w:r>
        <w:rPr>
          <w:spacing w:val="-1"/>
        </w:rPr>
        <w:t> </w:t>
      </w:r>
      <w:r>
        <w:rPr/>
        <w:t>possível</w:t>
      </w:r>
      <w:r>
        <w:rPr>
          <w:spacing w:val="-1"/>
        </w:rPr>
        <w:t> </w:t>
      </w:r>
      <w:r>
        <w:rPr/>
        <w:t>redução na</w:t>
      </w:r>
      <w:r>
        <w:rPr>
          <w:spacing w:val="-1"/>
        </w:rPr>
        <w:t> </w:t>
      </w:r>
      <w:r>
        <w:rPr/>
        <w:t>taxa de</w:t>
      </w:r>
      <w:r>
        <w:rPr>
          <w:spacing w:val="-1"/>
        </w:rPr>
        <w:t> </w:t>
      </w:r>
      <w:r>
        <w:rPr/>
        <w:t>juros, sugestão da Gestora Previdenciária, senhora Adriana Catarina da Costa na 48ª reunião, realizada em 13/10/2016. Com a palavra, a Gestora de Investimentos, senhora Michele S. Forster, apresentou aos membros do Comitê, a consulta realizada através de e-mail ao Consultor Di Blasi, conforme acordado na reunião acima citada. Nesta, a</w:t>
      </w:r>
      <w:r>
        <w:rPr>
          <w:spacing w:val="-1"/>
        </w:rPr>
        <w:t> </w:t>
      </w:r>
      <w:r>
        <w:rPr/>
        <w:t>senhora Michele S. Forster questiona que o</w:t>
      </w:r>
      <w:r>
        <w:rPr>
          <w:spacing w:val="-1"/>
        </w:rPr>
        <w:t> </w:t>
      </w:r>
      <w:r>
        <w:rPr/>
        <w:t>Comitê está com</w:t>
      </w:r>
      <w:r>
        <w:rPr>
          <w:spacing w:val="-1"/>
        </w:rPr>
        <w:t> </w:t>
      </w:r>
      <w:r>
        <w:rPr/>
        <w:t>dúvidas se</w:t>
      </w:r>
      <w:r>
        <w:rPr>
          <w:spacing w:val="-1"/>
        </w:rPr>
        <w:t> </w:t>
      </w:r>
      <w:r>
        <w:rPr/>
        <w:t>com a queda da Selic, vale a pena resgatar do IRFM, devido à volatilidade e aplicar em DI, e se vale a pena antecipar a movimentação no IRFM caso este valorize com a queda do Juros. Questiona também como fica a situação do DI em cenário de queda de Juros. Em resposta, o Consultor informou que com relação a transferência dos recursos, é melhor manter no IRF-M, visto que o juro está caindo.</w:t>
      </w:r>
      <w:r>
        <w:rPr>
          <w:spacing w:val="40"/>
        </w:rPr>
        <w:t> </w:t>
      </w:r>
      <w:r>
        <w:rPr/>
        <w:t>Com relação aos Fundos CDI, esclareceu que a rentabilidade destes diminui, visto que estes acompanham o movimento da taxa de juros. Após exposto, a Gestora Previdenciária, senhora Adriana Cataria da Costa, fez uma apresentação bem sucinta, para que o Comitê pudesse analisar a sua sugestão. Nesta, ficou registrado que existem dois fatores que expõem os</w:t>
      </w:r>
      <w:r>
        <w:rPr>
          <w:spacing w:val="-3"/>
        </w:rPr>
        <w:t> </w:t>
      </w:r>
      <w:r>
        <w:rPr/>
        <w:t>Títulos Pré-fixados à volatilidade que são: a MAM por conta da taxa Selic e da inflação (no contexto geral), e os resgates antes do vencimento (no contexto específico).</w:t>
      </w:r>
      <w:r>
        <w:rPr>
          <w:spacing w:val="-3"/>
        </w:rPr>
        <w:t> </w:t>
      </w:r>
      <w:r>
        <w:rPr/>
        <w:t>Após a apresentação</w:t>
      </w:r>
      <w:r>
        <w:rPr>
          <w:b/>
        </w:rPr>
        <w:t>, </w:t>
      </w:r>
      <w:r>
        <w:rPr/>
        <w:t>esclareceu que sua sugestão foi feita com base na situação financeira</w:t>
      </w:r>
      <w:r>
        <w:rPr>
          <w:spacing w:val="18"/>
        </w:rPr>
        <w:t> </w:t>
      </w:r>
      <w:r>
        <w:rPr/>
        <w:t>atual do Instituto, ou seja, amargar uma perda financeira</w:t>
      </w:r>
    </w:p>
    <w:p>
      <w:pPr>
        <w:pStyle w:val="BodyText"/>
        <w:spacing w:after="0" w:line="360" w:lineRule="auto"/>
        <w:jc w:val="both"/>
        <w:sectPr>
          <w:type w:val="continuous"/>
          <w:pgSz w:w="12240" w:h="15840"/>
          <w:pgMar w:top="240" w:bottom="280" w:left="1440" w:right="1440"/>
        </w:sectPr>
      </w:pPr>
    </w:p>
    <w:p>
      <w:pPr>
        <w:pStyle w:val="BodyText"/>
        <w:spacing w:line="360" w:lineRule="auto" w:before="73"/>
        <w:ind w:left="984" w:right="263"/>
        <w:jc w:val="both"/>
      </w:pPr>
      <w:r>
        <w:rPr/>
        <w:t>caso haja necessidade de resgatar o valor antes do prazo do vencimento. Em resposta, o Diretor Financeiro sugeriu manter a posição em IRFM, conforme</w:t>
      </w:r>
      <w:r>
        <w:rPr>
          <w:spacing w:val="40"/>
        </w:rPr>
        <w:t> </w:t>
      </w:r>
      <w:r>
        <w:rPr/>
        <w:t>orientação do Consultor Di Blasi, visto que o risco assumido será pouco, tendo em vista o baixo valor aplicado. Acrescentou ainda que manter essa aplicação seria uma forma</w:t>
      </w:r>
      <w:r>
        <w:rPr>
          <w:spacing w:val="-2"/>
        </w:rPr>
        <w:t> </w:t>
      </w:r>
      <w:r>
        <w:rPr/>
        <w:t>de</w:t>
      </w:r>
      <w:r>
        <w:rPr>
          <w:spacing w:val="-4"/>
        </w:rPr>
        <w:t> </w:t>
      </w:r>
      <w:r>
        <w:rPr/>
        <w:t>dar</w:t>
      </w:r>
      <w:r>
        <w:rPr>
          <w:spacing w:val="-1"/>
        </w:rPr>
        <w:t> </w:t>
      </w:r>
      <w:r>
        <w:rPr/>
        <w:t>uma</w:t>
      </w:r>
      <w:r>
        <w:rPr>
          <w:spacing w:val="-2"/>
        </w:rPr>
        <w:t> </w:t>
      </w:r>
      <w:r>
        <w:rPr/>
        <w:t>alavancada,</w:t>
      </w:r>
      <w:r>
        <w:rPr>
          <w:spacing w:val="-1"/>
        </w:rPr>
        <w:t> </w:t>
      </w:r>
      <w:r>
        <w:rPr/>
        <w:t>em</w:t>
      </w:r>
      <w:r>
        <w:rPr>
          <w:spacing w:val="-2"/>
        </w:rPr>
        <w:t> </w:t>
      </w:r>
      <w:r>
        <w:rPr/>
        <w:t>virtude</w:t>
      </w:r>
      <w:r>
        <w:rPr>
          <w:spacing w:val="-1"/>
        </w:rPr>
        <w:t> </w:t>
      </w:r>
      <w:r>
        <w:rPr/>
        <w:t>de</w:t>
      </w:r>
      <w:r>
        <w:rPr>
          <w:spacing w:val="-4"/>
        </w:rPr>
        <w:t> </w:t>
      </w:r>
      <w:r>
        <w:rPr/>
        <w:t>tendência</w:t>
      </w:r>
      <w:r>
        <w:rPr>
          <w:spacing w:val="-2"/>
        </w:rPr>
        <w:t> </w:t>
      </w:r>
      <w:r>
        <w:rPr/>
        <w:t>da</w:t>
      </w:r>
      <w:r>
        <w:rPr>
          <w:spacing w:val="-2"/>
        </w:rPr>
        <w:t> </w:t>
      </w:r>
      <w:r>
        <w:rPr/>
        <w:t>queda</w:t>
      </w:r>
      <w:r>
        <w:rPr>
          <w:spacing w:val="-2"/>
        </w:rPr>
        <w:t> </w:t>
      </w:r>
      <w:r>
        <w:rPr/>
        <w:t>da</w:t>
      </w:r>
      <w:r>
        <w:rPr>
          <w:spacing w:val="-2"/>
        </w:rPr>
        <w:t> </w:t>
      </w:r>
      <w:r>
        <w:rPr/>
        <w:t>taxa</w:t>
      </w:r>
      <w:r>
        <w:rPr>
          <w:spacing w:val="-2"/>
        </w:rPr>
        <w:t> </w:t>
      </w:r>
      <w:r>
        <w:rPr/>
        <w:t>de</w:t>
      </w:r>
      <w:r>
        <w:rPr>
          <w:spacing w:val="-2"/>
        </w:rPr>
        <w:t> </w:t>
      </w:r>
      <w:r>
        <w:rPr/>
        <w:t>juros,</w:t>
      </w:r>
      <w:r>
        <w:rPr>
          <w:spacing w:val="-3"/>
        </w:rPr>
        <w:t> </w:t>
      </w:r>
      <w:r>
        <w:rPr/>
        <w:t>que valoriza o Fundo IRFM. A Gestora de Investimentos, senhora Michele S Forster, concordou com a sugestão do Diretor Financeiro e ressaltou que embora o IRFM seja um pouco mais volátil que o IRFM1, e que o volume aplicado seja irrelevante, o</w:t>
      </w:r>
      <w:r>
        <w:rPr>
          <w:spacing w:val="40"/>
        </w:rPr>
        <w:t> </w:t>
      </w:r>
      <w:r>
        <w:rPr/>
        <w:t>Comitê trabalha com seriedade independente do valor. Ressaltou também que não é favorável trocar do pré-fixado para o Selic, visto que a Selic está caindo e a inflação está convergindo para a meta, motivo este que fez o Copom reduzir a taxa de juros. Após debates em torno da</w:t>
      </w:r>
      <w:r>
        <w:rPr>
          <w:spacing w:val="-2"/>
        </w:rPr>
        <w:t> </w:t>
      </w:r>
      <w:r>
        <w:rPr/>
        <w:t>possibilidade de resgate ou</w:t>
      </w:r>
      <w:r>
        <w:rPr>
          <w:spacing w:val="-2"/>
        </w:rPr>
        <w:t> </w:t>
      </w:r>
      <w:r>
        <w:rPr/>
        <w:t>não dos valores antes do prazo de vencimento, o Comitê aprovou a sugestão do Diretor Financeiro por 5 votos a 1, ficando decidido que o valor permanecerá aplicado no Fundo IRFM até a próxima reunião, onde será realizada uma nova análise do cenário econômico para alocação</w:t>
      </w:r>
      <w:r>
        <w:rPr>
          <w:spacing w:val="40"/>
        </w:rPr>
        <w:t> </w:t>
      </w:r>
      <w:r>
        <w:rPr/>
        <w:t>do valor em questão. Nada mais havendo a tratar, a senhora Presidente deu por encerrada a presente reunião às 10:05 h, cuja Ata segue lavrada por mim, Cláudia Miranda do Nascimento, Secretária deste Comitê, que a submeterei à aprovação dos demais membros e devidamente colherei suas assinaturas.</w:t>
      </w:r>
    </w:p>
    <w:p>
      <w:pPr>
        <w:pStyle w:val="BodyText"/>
        <w:spacing w:before="136"/>
      </w:pPr>
    </w:p>
    <w:p>
      <w:pPr>
        <w:pStyle w:val="BodyText"/>
        <w:tabs>
          <w:tab w:pos="5451" w:val="left" w:leader="none"/>
          <w:tab w:pos="5918" w:val="left" w:leader="none"/>
        </w:tabs>
        <w:ind w:left="1137" w:right="1273" w:hanging="174"/>
      </w:pPr>
      <w:r>
        <w:rPr/>
        <w:t>Paulo Marcos dos Reis</w:t>
        <w:tab/>
        <w:t>Daniel</w:t>
      </w:r>
      <w:r>
        <w:rPr>
          <w:spacing w:val="-15"/>
        </w:rPr>
        <w:t> </w:t>
      </w:r>
      <w:r>
        <w:rPr/>
        <w:t>Luiz</w:t>
      </w:r>
      <w:r>
        <w:rPr>
          <w:spacing w:val="-14"/>
        </w:rPr>
        <w:t> </w:t>
      </w:r>
      <w:r>
        <w:rPr/>
        <w:t>Simões</w:t>
      </w:r>
      <w:r>
        <w:rPr>
          <w:spacing w:val="-14"/>
        </w:rPr>
        <w:t> </w:t>
      </w:r>
      <w:r>
        <w:rPr/>
        <w:t>Campos Diretor Presidente</w:t>
        <w:tab/>
        <w:tab/>
        <w:t>Diretor Financeiro</w:t>
      </w:r>
    </w:p>
    <w:p>
      <w:pPr>
        <w:pStyle w:val="BodyText"/>
      </w:pPr>
    </w:p>
    <w:p>
      <w:pPr>
        <w:pStyle w:val="BodyText"/>
      </w:pPr>
    </w:p>
    <w:p>
      <w:pPr>
        <w:pStyle w:val="BodyText"/>
      </w:pPr>
    </w:p>
    <w:p>
      <w:pPr>
        <w:pStyle w:val="BodyText"/>
        <w:spacing w:before="3"/>
      </w:pPr>
    </w:p>
    <w:p>
      <w:pPr>
        <w:pStyle w:val="BodyText"/>
        <w:tabs>
          <w:tab w:pos="5371" w:val="left" w:leader="none"/>
        </w:tabs>
        <w:ind w:left="963"/>
      </w:pPr>
      <w:r>
        <w:rPr/>
        <w:t>Michele</w:t>
      </w:r>
      <w:r>
        <w:rPr>
          <w:spacing w:val="-4"/>
        </w:rPr>
        <w:t> </w:t>
      </w:r>
      <w:r>
        <w:rPr/>
        <w:t>Schifller</w:t>
      </w:r>
      <w:r>
        <w:rPr>
          <w:spacing w:val="-3"/>
        </w:rPr>
        <w:t> </w:t>
      </w:r>
      <w:r>
        <w:rPr>
          <w:spacing w:val="-2"/>
        </w:rPr>
        <w:t>Forster</w:t>
      </w:r>
      <w:r>
        <w:rPr/>
        <w:tab/>
        <w:t>Cláudia</w:t>
      </w:r>
      <w:r>
        <w:rPr>
          <w:spacing w:val="-3"/>
        </w:rPr>
        <w:t> </w:t>
      </w:r>
      <w:r>
        <w:rPr/>
        <w:t>Miranda</w:t>
      </w:r>
      <w:r>
        <w:rPr>
          <w:spacing w:val="-3"/>
        </w:rPr>
        <w:t> </w:t>
      </w:r>
      <w:r>
        <w:rPr/>
        <w:t>do</w:t>
      </w:r>
      <w:r>
        <w:rPr>
          <w:spacing w:val="-2"/>
        </w:rPr>
        <w:t> Nascimento</w:t>
      </w:r>
    </w:p>
    <w:p>
      <w:pPr>
        <w:pStyle w:val="BodyText"/>
        <w:tabs>
          <w:tab w:pos="5337" w:val="left" w:leader="none"/>
        </w:tabs>
        <w:spacing w:before="1"/>
        <w:ind w:left="846"/>
      </w:pPr>
      <w:r>
        <w:rPr/>
        <w:t>Gestora</w:t>
      </w:r>
      <w:r>
        <w:rPr>
          <w:spacing w:val="-2"/>
        </w:rPr>
        <w:t> </w:t>
      </w:r>
      <w:r>
        <w:rPr/>
        <w:t>de</w:t>
      </w:r>
      <w:r>
        <w:rPr>
          <w:spacing w:val="-2"/>
        </w:rPr>
        <w:t> Investimentos</w:t>
      </w:r>
      <w:r>
        <w:rPr/>
        <w:tab/>
        <w:t>Chefe</w:t>
      </w:r>
      <w:r>
        <w:rPr>
          <w:spacing w:val="-3"/>
        </w:rPr>
        <w:t> </w:t>
      </w:r>
      <w:r>
        <w:rPr/>
        <w:t>da</w:t>
      </w:r>
      <w:r>
        <w:rPr>
          <w:spacing w:val="-3"/>
        </w:rPr>
        <w:t> </w:t>
      </w:r>
      <w:r>
        <w:rPr/>
        <w:t>Divisão</w:t>
      </w:r>
      <w:r>
        <w:rPr>
          <w:spacing w:val="-2"/>
        </w:rPr>
        <w:t> </w:t>
      </w:r>
      <w:r>
        <w:rPr/>
        <w:t>de</w:t>
      </w:r>
      <w:r>
        <w:rPr>
          <w:spacing w:val="-6"/>
        </w:rPr>
        <w:t> </w:t>
      </w:r>
      <w:r>
        <w:rPr>
          <w:spacing w:val="-2"/>
        </w:rPr>
        <w:t>Tesouraria</w:t>
      </w:r>
    </w:p>
    <w:p>
      <w:pPr>
        <w:pStyle w:val="BodyText"/>
      </w:pPr>
    </w:p>
    <w:p>
      <w:pPr>
        <w:pStyle w:val="BodyText"/>
      </w:pPr>
    </w:p>
    <w:p>
      <w:pPr>
        <w:pStyle w:val="BodyText"/>
      </w:pPr>
    </w:p>
    <w:p>
      <w:pPr>
        <w:pStyle w:val="BodyText"/>
        <w:spacing w:before="2"/>
      </w:pPr>
    </w:p>
    <w:p>
      <w:pPr>
        <w:pStyle w:val="BodyText"/>
        <w:tabs>
          <w:tab w:pos="5515" w:val="left" w:leader="none"/>
          <w:tab w:pos="5660" w:val="left" w:leader="none"/>
        </w:tabs>
        <w:ind w:left="1021" w:right="1370" w:hanging="350"/>
      </w:pPr>
      <w:r>
        <w:rPr/>
        <w:t>Carla Cristina Correia M. V. Tavares</w:t>
        <w:tab/>
        <w:t>Adriana</w:t>
      </w:r>
      <w:r>
        <w:rPr>
          <w:spacing w:val="-13"/>
        </w:rPr>
        <w:t> </w:t>
      </w:r>
      <w:r>
        <w:rPr/>
        <w:t>Catarina</w:t>
      </w:r>
      <w:r>
        <w:rPr>
          <w:spacing w:val="-14"/>
        </w:rPr>
        <w:t> </w:t>
      </w:r>
      <w:r>
        <w:rPr/>
        <w:t>da</w:t>
      </w:r>
      <w:r>
        <w:rPr>
          <w:spacing w:val="-14"/>
        </w:rPr>
        <w:t> </w:t>
      </w:r>
      <w:r>
        <w:rPr/>
        <w:t>Costa Gestora Previdenciária</w:t>
        <w:tab/>
        <w:tab/>
        <w:t>Gestora Previdenciária</w:t>
      </w:r>
    </w:p>
    <w:p>
      <w:pPr>
        <w:pStyle w:val="BodyText"/>
      </w:pPr>
    </w:p>
    <w:p>
      <w:pPr>
        <w:pStyle w:val="BodyText"/>
      </w:pPr>
    </w:p>
    <w:p>
      <w:pPr>
        <w:pStyle w:val="BodyText"/>
      </w:pPr>
    </w:p>
    <w:p>
      <w:pPr>
        <w:pStyle w:val="BodyText"/>
        <w:spacing w:before="3"/>
      </w:pPr>
    </w:p>
    <w:p>
      <w:pPr>
        <w:pStyle w:val="BodyText"/>
        <w:ind w:left="264" w:right="5756" w:firstLine="407"/>
      </w:pPr>
      <w:r>
        <w:rPr/>
        <w:t>Lucimar da Glória Gomes Chefe</w:t>
      </w:r>
      <w:r>
        <w:rPr>
          <w:spacing w:val="-11"/>
        </w:rPr>
        <w:t> </w:t>
      </w:r>
      <w:r>
        <w:rPr/>
        <w:t>da</w:t>
      </w:r>
      <w:r>
        <w:rPr>
          <w:spacing w:val="-11"/>
        </w:rPr>
        <w:t> </w:t>
      </w:r>
      <w:r>
        <w:rPr/>
        <w:t>Divisão</w:t>
      </w:r>
      <w:r>
        <w:rPr>
          <w:spacing w:val="-11"/>
        </w:rPr>
        <w:t> </w:t>
      </w:r>
      <w:r>
        <w:rPr/>
        <w:t>de</w:t>
      </w:r>
      <w:r>
        <w:rPr>
          <w:spacing w:val="-11"/>
        </w:rPr>
        <w:t> </w:t>
      </w:r>
      <w:r>
        <w:rPr/>
        <w:t>Contabilidade</w:t>
      </w:r>
    </w:p>
    <w:p>
      <w:pPr>
        <w:pStyle w:val="BodyText"/>
        <w:spacing w:before="1"/>
        <w:ind w:left="905"/>
      </w:pPr>
      <w:r>
        <w:rPr/>
        <w:t>Presidente</w:t>
      </w:r>
      <w:r>
        <w:rPr>
          <w:spacing w:val="-3"/>
        </w:rPr>
        <w:t> </w:t>
      </w:r>
      <w:r>
        <w:rPr/>
        <w:t>do</w:t>
      </w:r>
      <w:r>
        <w:rPr>
          <w:spacing w:val="-4"/>
        </w:rPr>
        <w:t> </w:t>
      </w:r>
      <w:r>
        <w:rPr>
          <w:spacing w:val="-2"/>
        </w:rPr>
        <w:t>Comitê</w:t>
      </w:r>
    </w:p>
    <w:p>
      <w:pPr>
        <w:pStyle w:val="BodyText"/>
        <w:spacing w:after="0"/>
        <w:sectPr>
          <w:pgSz w:w="12240" w:h="15840"/>
          <w:pgMar w:top="1620" w:bottom="280" w:left="1440" w:right="1440"/>
        </w:sectPr>
      </w:pPr>
    </w:p>
    <w:p>
      <w:pPr>
        <w:pStyle w:val="BodyText"/>
        <w:spacing w:before="4"/>
        <w:rPr>
          <w:sz w:val="17"/>
        </w:rPr>
      </w:pPr>
    </w:p>
    <w:sectPr>
      <w:pgSz w:w="12240" w:h="15840"/>
      <w:pgMar w:top="182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1"/>
      <w:szCs w:val="21"/>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2025-05-19T14:18:37Z</dcterms:created>
  <dcterms:modified xsi:type="dcterms:W3CDTF">2025-05-19T14:18:37Z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