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55"/>
      </w:pPr>
    </w:p>
    <w:p>
      <w:pPr>
        <w:pStyle w:val="BodyText"/>
        <w:spacing w:line="360" w:lineRule="auto"/>
        <w:ind w:left="130" w:right="14"/>
        <w:jc w:val="both"/>
      </w:pPr>
      <w:r>
        <w:rPr/>
        <w:t>Ata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sexagésima</w:t>
      </w:r>
      <w:r>
        <w:rPr>
          <w:spacing w:val="-2"/>
        </w:rPr>
        <w:t> </w:t>
      </w:r>
      <w:r>
        <w:rPr/>
        <w:t>terceira</w:t>
      </w:r>
      <w:r>
        <w:rPr>
          <w:spacing w:val="-2"/>
        </w:rPr>
        <w:t> </w:t>
      </w:r>
      <w:r>
        <w:rPr/>
        <w:t>reunião</w:t>
      </w:r>
      <w:r>
        <w:rPr>
          <w:spacing w:val="-3"/>
        </w:rPr>
        <w:t> </w:t>
      </w:r>
      <w:r>
        <w:rPr/>
        <w:t>ordinária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Comitê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Investimentos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de Previdência e Assistência Social do Servidor Público do Município de Petrópolis – INPAS. Aos</w:t>
      </w:r>
      <w:r>
        <w:rPr>
          <w:spacing w:val="80"/>
        </w:rPr>
        <w:t> </w:t>
      </w:r>
      <w:r>
        <w:rPr/>
        <w:t>quatorze dias do mês de março do ano de dois mil e dezoito, às dez horas</w:t>
      </w:r>
      <w:r>
        <w:rPr>
          <w:spacing w:val="40"/>
        </w:rPr>
        <w:t> </w:t>
      </w:r>
      <w:r>
        <w:rPr/>
        <w:t>e quinze minutos, no Auditório do Instituto de Previdência e Assistência Social do Servidor Público do Município de Petrópolis, reuniram-se os seguintes membros do Comitê de Investimentos deste Regime Próprio de Previdência Social: a)- Diretor Financeiro do INPAS, senhor Robson Carneiro da Cruz; b)- Chefe da Divisão de Contabilidade, senhora Lucimar da Glória Gomes, Presidente eleita deste Comitê; c) Gestora de Investimentos, senhora Michele Schiffler Forster; d) Chefe da Divisão de Tesouraria, senhora Claudia</w:t>
      </w:r>
      <w:r>
        <w:rPr>
          <w:spacing w:val="-1"/>
        </w:rPr>
        <w:t> </w:t>
      </w:r>
      <w:r>
        <w:rPr/>
        <w:t>Miranda</w:t>
      </w:r>
      <w:r>
        <w:rPr>
          <w:spacing w:val="-1"/>
        </w:rPr>
        <w:t> </w:t>
      </w:r>
      <w:r>
        <w:rPr/>
        <w:t>do Nascimento.</w:t>
      </w:r>
      <w:r>
        <w:rPr>
          <w:spacing w:val="-1"/>
        </w:rPr>
        <w:t> </w:t>
      </w:r>
      <w:r>
        <w:rPr/>
        <w:t>Registra-se</w:t>
      </w:r>
      <w:r>
        <w:rPr>
          <w:spacing w:val="-1"/>
        </w:rPr>
        <w:t> </w:t>
      </w:r>
      <w:r>
        <w:rPr/>
        <w:t>a ausência</w:t>
      </w:r>
      <w:r>
        <w:rPr>
          <w:spacing w:val="-1"/>
        </w:rPr>
        <w:t> </w:t>
      </w:r>
      <w:r>
        <w:rPr/>
        <w:t>do Diretor- Presidente, Sr. Fernando Leite Fortes, por motivo de reunião;</w:t>
      </w:r>
      <w:r>
        <w:rPr>
          <w:spacing w:val="80"/>
        </w:rPr>
        <w:t> </w:t>
      </w:r>
      <w:r>
        <w:rPr/>
        <w:t>da Gestora Previdenciária, Sra. Adriana Catarina da Costa, por motivo de saúde, bem como da Gestora de Previdência, senhora Carla Cristina Correia Maduro Vogas Tavares por necessidade de acompanhar o seu pai num procedimento médico. Com esta composição iniciou-se a referida reunião para atendimento à pauta do dia, que teve a seguinte</w:t>
      </w:r>
      <w:r>
        <w:rPr>
          <w:spacing w:val="40"/>
        </w:rPr>
        <w:t> </w:t>
      </w:r>
      <w:r>
        <w:rPr/>
        <w:t>ordem: 1)- Leitura da ata da 61ª reunião ordinária do Comitê de Investimentos. 2)- Eleição do Presidente e Secretário do Comitê de Investimentos para o ano de 2018. 3) - Análise do cenário macroeconômico, bem como as expectativas de mercado. 4)-</w:t>
      </w:r>
      <w:r>
        <w:rPr>
          <w:spacing w:val="40"/>
        </w:rPr>
        <w:t> </w:t>
      </w:r>
      <w:r>
        <w:rPr/>
        <w:t>Análise do fluxo de caixa, considerando as obrigações previdenciárias e administrativas para o mês em curso.5)- Avaliação dos investimentos que compõem o patrimônio dos diversos segmentos de aplicação. 6)- Proposições de investimentos/desinvestimentos. 7)- Assuntos Gerais. A Presidente do Comitê iniciou a reunião agradecendo a presença de todos. No que se refere à ata da 62ª reunião ordinária, enviada por e-mail a todos os membros do Comitê, não houve retificações, tendo sido integralmente aprovada. Passando para o</w:t>
      </w:r>
      <w:r>
        <w:rPr>
          <w:spacing w:val="-2"/>
        </w:rPr>
        <w:t> </w:t>
      </w:r>
      <w:r>
        <w:rPr/>
        <w:t>segundo ponto de pauta,</w:t>
      </w:r>
      <w:r>
        <w:rPr>
          <w:spacing w:val="-1"/>
        </w:rPr>
        <w:t> </w:t>
      </w:r>
      <w:r>
        <w:rPr/>
        <w:t>ficou acordado</w:t>
      </w:r>
      <w:r>
        <w:rPr>
          <w:spacing w:val="-2"/>
        </w:rPr>
        <w:t> </w:t>
      </w:r>
      <w:r>
        <w:rPr/>
        <w:t>que o</w:t>
      </w:r>
      <w:r>
        <w:rPr>
          <w:spacing w:val="-2"/>
        </w:rPr>
        <w:t> </w:t>
      </w:r>
      <w:r>
        <w:rPr/>
        <w:t>assunto</w:t>
      </w:r>
      <w:r>
        <w:rPr>
          <w:spacing w:val="-2"/>
        </w:rPr>
        <w:t> </w:t>
      </w:r>
      <w:r>
        <w:rPr/>
        <w:t>será</w:t>
      </w:r>
      <w:r>
        <w:rPr>
          <w:spacing w:val="-1"/>
        </w:rPr>
        <w:t> </w:t>
      </w:r>
      <w:r>
        <w:rPr/>
        <w:t>discutido na na</w:t>
      </w:r>
      <w:r>
        <w:rPr>
          <w:spacing w:val="38"/>
        </w:rPr>
        <w:t> </w:t>
      </w:r>
      <w:r>
        <w:rPr/>
        <w:t>próxima</w:t>
      </w:r>
      <w:r>
        <w:rPr>
          <w:spacing w:val="40"/>
        </w:rPr>
        <w:t> </w:t>
      </w:r>
      <w:r>
        <w:rPr/>
        <w:t>reunião</w:t>
      </w:r>
      <w:r>
        <w:rPr>
          <w:spacing w:val="37"/>
        </w:rPr>
        <w:t> </w:t>
      </w:r>
      <w:r>
        <w:rPr/>
        <w:t>em</w:t>
      </w:r>
      <w:r>
        <w:rPr>
          <w:spacing w:val="37"/>
        </w:rPr>
        <w:t> </w:t>
      </w:r>
      <w:r>
        <w:rPr/>
        <w:t>virtude</w:t>
      </w:r>
      <w:r>
        <w:rPr>
          <w:spacing w:val="40"/>
        </w:rPr>
        <w:t> </w:t>
      </w:r>
      <w:r>
        <w:rPr/>
        <w:t>da</w:t>
      </w:r>
      <w:r>
        <w:rPr>
          <w:spacing w:val="38"/>
        </w:rPr>
        <w:t> </w:t>
      </w:r>
      <w:r>
        <w:rPr/>
        <w:t>ausência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alguns</w:t>
      </w:r>
      <w:r>
        <w:rPr>
          <w:spacing w:val="38"/>
        </w:rPr>
        <w:t> </w:t>
      </w:r>
      <w:r>
        <w:rPr/>
        <w:t>membros</w:t>
      </w:r>
      <w:r>
        <w:rPr>
          <w:spacing w:val="38"/>
        </w:rPr>
        <w:t> </w:t>
      </w:r>
      <w:r>
        <w:rPr/>
        <w:t>na</w:t>
      </w:r>
      <w:r>
        <w:rPr>
          <w:spacing w:val="38"/>
        </w:rPr>
        <w:t> </w:t>
      </w:r>
      <w:r>
        <w:rPr/>
        <w:t>presente</w:t>
      </w:r>
      <w:r>
        <w:rPr>
          <w:spacing w:val="40"/>
        </w:rPr>
        <w:t> </w:t>
      </w:r>
      <w:r>
        <w:rPr/>
        <w:t>reunião.</w:t>
      </w:r>
    </w:p>
    <w:p>
      <w:pPr>
        <w:pStyle w:val="BodyText"/>
        <w:spacing w:after="0" w:line="360" w:lineRule="auto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952" w:footer="1481" w:top="1880" w:bottom="1680" w:left="1800" w:right="1080"/>
          <w:pgNumType w:start="1"/>
        </w:sectPr>
      </w:pPr>
    </w:p>
    <w:p>
      <w:pPr>
        <w:pStyle w:val="BodyText"/>
        <w:spacing w:before="155"/>
      </w:pPr>
    </w:p>
    <w:p>
      <w:pPr>
        <w:pStyle w:val="BodyText"/>
        <w:spacing w:line="360" w:lineRule="auto"/>
        <w:ind w:left="130" w:right="24"/>
        <w:jc w:val="both"/>
      </w:pPr>
      <w:r>
        <w:rPr/>
        <w:t>Dando Prosse</w:t>
      </w:r>
      <w:bookmarkStart w:name="Instituto de Previdência e Assistência S" w:id="1"/>
      <w:bookmarkEnd w:id="1"/>
      <w:r>
        <w:rPr/>
        <w:t>guim</w:t>
      </w:r>
      <w:r>
        <w:rPr/>
        <w:t>ento a Gestora de Investimentos, Sra. Michele Schiffler Forster, ressaltou que não houve nada de relevante no cenário e que este permanece inalterado. Em seguida, apresentou um relatório</w:t>
      </w:r>
      <w:r>
        <w:rPr>
          <w:spacing w:val="80"/>
        </w:rPr>
        <w:t> </w:t>
      </w:r>
      <w:r>
        <w:rPr/>
        <w:t>com a rentabilidade mensal da variação dos índices utilizados/ou acompanhados pelo Instituto, sendo: IRFM1: 0,541;</w:t>
      </w:r>
      <w:r>
        <w:rPr>
          <w:spacing w:val="40"/>
        </w:rPr>
        <w:t> </w:t>
      </w:r>
      <w:r>
        <w:rPr/>
        <w:t>IRFM1+ 1,315;</w:t>
      </w:r>
      <w:r>
        <w:rPr>
          <w:spacing w:val="80"/>
        </w:rPr>
        <w:t> </w:t>
      </w:r>
      <w:r>
        <w:rPr/>
        <w:t>IRFM:</w:t>
      </w:r>
      <w:r>
        <w:rPr>
          <w:spacing w:val="80"/>
        </w:rPr>
        <w:t> </w:t>
      </w:r>
      <w:r>
        <w:rPr/>
        <w:t>1,1023;</w:t>
      </w:r>
      <w:r>
        <w:rPr>
          <w:spacing w:val="80"/>
        </w:rPr>
        <w:t> </w:t>
      </w:r>
      <w:r>
        <w:rPr/>
        <w:t>IMA B 5:</w:t>
      </w:r>
      <w:r>
        <w:rPr>
          <w:spacing w:val="80"/>
        </w:rPr>
        <w:t> </w:t>
      </w:r>
      <w:r>
        <w:rPr/>
        <w:t>0,5392;</w:t>
      </w:r>
      <w:r>
        <w:rPr>
          <w:spacing w:val="80"/>
        </w:rPr>
        <w:t> </w:t>
      </w:r>
      <w:r>
        <w:rPr/>
        <w:t>IMA B 5+: 0,5566; IMA B: 0,5486;</w:t>
      </w:r>
      <w:r>
        <w:rPr>
          <w:spacing w:val="80"/>
        </w:rPr>
        <w:t> </w:t>
      </w:r>
      <w:r>
        <w:rPr/>
        <w:t>IMA</w:t>
      </w:r>
    </w:p>
    <w:p>
      <w:pPr>
        <w:pStyle w:val="BodyText"/>
        <w:spacing w:line="360" w:lineRule="auto"/>
        <w:ind w:left="130" w:right="12"/>
        <w:jc w:val="both"/>
      </w:pPr>
      <w:r>
        <w:rPr/>
        <w:t>Geral: 0,7164; CDI: 0,4658. Na rentabilidade acumulada de 2018, o melhor</w:t>
      </w:r>
      <w:r>
        <w:rPr>
          <w:spacing w:val="40"/>
        </w:rPr>
        <w:t> </w:t>
      </w:r>
      <w:r>
        <w:rPr/>
        <w:t>desempenho foi o IBOVESPA, com uma rentabilidade de 11,71, seguido do IMAB 5+, com 5,53;</w:t>
      </w:r>
      <w:r>
        <w:rPr>
          <w:spacing w:val="80"/>
        </w:rPr>
        <w:t> </w:t>
      </w:r>
      <w:r>
        <w:rPr/>
        <w:t>IRFM1+ 2,88,</w:t>
      </w:r>
      <w:r>
        <w:rPr>
          <w:spacing w:val="80"/>
        </w:rPr>
        <w:t> </w:t>
      </w:r>
      <w:r>
        <w:rPr/>
        <w:t>o IRFM teve rendimento de 2,42;</w:t>
      </w:r>
      <w:r>
        <w:rPr>
          <w:spacing w:val="80"/>
        </w:rPr>
        <w:t> </w:t>
      </w:r>
      <w:r>
        <w:rPr/>
        <w:t>IRFM1 com 1,14 e o DI de 1,05. Passando</w:t>
      </w:r>
      <w:r>
        <w:rPr>
          <w:spacing w:val="40"/>
        </w:rPr>
        <w:t> </w:t>
      </w:r>
      <w:r>
        <w:rPr/>
        <w:t>para a análise das movimentações financeiras do Instituto, as aplicações no mês de fevereiro somaram R$ 880.000,00 e os resgates, R$ 440000,00, tendo como saldo atual no valor de R$ 1.215.782,37. O retorno financeiro foi de R$ 5.753,50 e o percentual de retorno de 0,54%. O fechamento da meta atuarial no mês foi de 67,87%. Na análise do Relatório Focus de nove de março do corrente ano, ressaltou que o IPCA ainda está com expectativa de queda e a</w:t>
      </w:r>
      <w:r>
        <w:rPr>
          <w:spacing w:val="-1"/>
        </w:rPr>
        <w:t> </w:t>
      </w:r>
      <w:r>
        <w:rPr/>
        <w:t>meta da taxa SELIC caiu de 6,75% para 6,50%. Comparando o INPC e o IPCA, o primeiro registrou um acumulado de 0,18% e o segundo, 0,32%. A senhora Michele ainda apresentou o relatório de rentabilidade e risco dos ativos que compõem a carteira do Instituto e ressaltou que quanto a medida de risco, não houve alterações no índice VAR e no índice de Sharp em relação aos dados apresentados na reunião anterior. Finalizando, informou que a recomendação do consultor da empresa Di Blasi Consultoria, foi a seguinte: a) a renda fixa deverá estar concentrada em Títulos Públicos Federais; b) os fundos da família IRFM estão com taxas de juros entre</w:t>
      </w:r>
      <w:r>
        <w:rPr>
          <w:spacing w:val="40"/>
        </w:rPr>
        <w:t> </w:t>
      </w:r>
      <w:r>
        <w:rPr/>
        <w:t>7% e 9% a.a e ainda têm pequena capacidade de gerar ganhos; c) fundos da família IMA-B (mais longos) podem apresentar algum espaço para valorização, mas com oscilações; d) os fundos CDI (referenciados) estão abaixo da meta atuarial. Passando para análise das movimentações do FASSE, o saldo final de fevereiro de 2018 somou R$ 284.151,87, com um total de 282.579,98 de saldo</w:t>
      </w:r>
    </w:p>
    <w:p>
      <w:pPr>
        <w:pStyle w:val="BodyText"/>
        <w:spacing w:after="0" w:line="360" w:lineRule="auto"/>
        <w:jc w:val="both"/>
        <w:sectPr>
          <w:pgSz w:w="12240" w:h="15840"/>
          <w:pgMar w:header="952" w:footer="1481" w:top="1880" w:bottom="1680" w:left="1800" w:right="1080"/>
        </w:sectPr>
      </w:pPr>
    </w:p>
    <w:p>
      <w:pPr>
        <w:pStyle w:val="BodyText"/>
        <w:spacing w:before="155"/>
      </w:pPr>
    </w:p>
    <w:p>
      <w:pPr>
        <w:pStyle w:val="BodyText"/>
        <w:spacing w:line="360" w:lineRule="auto"/>
        <w:ind w:left="130" w:right="25"/>
        <w:jc w:val="both"/>
      </w:pPr>
      <w:r>
        <w:rPr/>
        <w:t>anterior e R$ 1.571,89 de rendimentos. No quarto item da pauta, a Chefe da Divisão</w:t>
      </w:r>
      <w:r>
        <w:rPr>
          <w:spacing w:val="40"/>
        </w:rPr>
        <w:t> </w:t>
      </w:r>
      <w:r>
        <w:rPr/>
        <w:t>de Tesouraria, demonstrou que o saldo final em conta corrente previsto em 14 de março de 2018, foi de R$ 18.782,95 na conta previdenciária; R$ 60.796,78 na conta administrativa e R$ 2.113.536,71 em aplicações das respectivas contas. Após a apresentação, ressaltou o aumento significativo no valor total das despesas administrativas em virtude da alteração no valor a pagar referente ao PASEP. Em resposta, a Presidente do Comitê informou que a alteração no valor do PASEP, se deu e função a adequação à Norma Técnica da COSIT n.º 278 de 01/06/2017 e se prontificou em apresentar na próxima reunião esclarecimentos para referida adequação. Com relação aos investimentos, o Comitê decidiu, por unanimidade dos presentes, manter as mesmas posições hoje existentes no Instituto. No último ponto de pauta não houve nenhum assunto extratado. Sem mais, a Presidente encerrou a reunião às onze horas e trinta minutos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a presente Ata segue</w:t>
      </w:r>
      <w:r>
        <w:rPr>
          <w:spacing w:val="40"/>
        </w:rPr>
        <w:t> </w:t>
      </w:r>
      <w:r>
        <w:rPr/>
        <w:t>lavrada por</w:t>
      </w:r>
      <w:r>
        <w:rPr>
          <w:spacing w:val="40"/>
        </w:rPr>
        <w:t> </w:t>
      </w:r>
      <w:r>
        <w:rPr/>
        <w:t>mim,</w:t>
      </w:r>
      <w:r>
        <w:rPr>
          <w:spacing w:val="40"/>
        </w:rPr>
        <w:t> </w:t>
      </w:r>
      <w:r>
        <w:rPr/>
        <w:t>Claudia</w:t>
      </w:r>
      <w:r>
        <w:rPr>
          <w:spacing w:val="40"/>
        </w:rPr>
        <w:t> </w:t>
      </w:r>
      <w:r>
        <w:rPr/>
        <w:t>Miranda</w:t>
      </w:r>
      <w:r>
        <w:rPr>
          <w:spacing w:val="40"/>
        </w:rPr>
        <w:t> </w:t>
      </w:r>
      <w:r>
        <w:rPr/>
        <w:t>do Nascimento , Secretária </w:t>
      </w:r>
      <w:r>
        <w:rPr>
          <w:i/>
        </w:rPr>
        <w:t>ad hoc </w:t>
      </w:r>
      <w:r>
        <w:rPr/>
        <w:t>deste Comitê, que a submeterei à aprovação dos demais membros e devidamente colherei suas assinaturas.</w:t>
      </w:r>
    </w:p>
    <w:p>
      <w:pPr>
        <w:pStyle w:val="BodyText"/>
        <w:spacing w:before="176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2240" w:h="15840"/>
          <w:pgMar w:header="952" w:footer="1481" w:top="1880" w:bottom="1680" w:left="1800" w:right="1080"/>
        </w:sectPr>
      </w:pPr>
    </w:p>
    <w:p>
      <w:pPr>
        <w:pStyle w:val="BodyText"/>
        <w:spacing w:line="360" w:lineRule="auto" w:before="89"/>
        <w:ind w:left="375" w:right="38" w:firstLine="614"/>
      </w:pPr>
      <w:r>
        <w:rPr/>
        <w:t>Lucimar Glória Gomes Chefe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Divisão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Contabilidade</w:t>
      </w:r>
    </w:p>
    <w:p>
      <w:pPr>
        <w:pStyle w:val="BodyText"/>
        <w:spacing w:line="298" w:lineRule="exact"/>
        <w:ind w:left="1653"/>
      </w:pPr>
      <w:r>
        <w:rPr>
          <w:spacing w:val="-2"/>
        </w:rPr>
        <w:t>Presidente</w:t>
      </w:r>
    </w:p>
    <w:p>
      <w:pPr>
        <w:pStyle w:val="BodyText"/>
        <w:spacing w:line="360" w:lineRule="auto" w:before="89"/>
        <w:ind w:left="704" w:right="1015" w:hanging="329"/>
      </w:pPr>
      <w:r>
        <w:rPr/>
        <w:br w:type="column"/>
      </w:r>
      <w:r>
        <w:rPr/>
        <w:t>Robson</w:t>
      </w:r>
      <w:r>
        <w:rPr>
          <w:spacing w:val="-14"/>
        </w:rPr>
        <w:t> </w:t>
      </w:r>
      <w:r>
        <w:rPr/>
        <w:t>Carneiro</w:t>
      </w:r>
      <w:r>
        <w:rPr>
          <w:spacing w:val="-14"/>
        </w:rPr>
        <w:t> </w:t>
      </w:r>
      <w:r>
        <w:rPr/>
        <w:t>da</w:t>
      </w:r>
      <w:r>
        <w:rPr>
          <w:spacing w:val="-13"/>
        </w:rPr>
        <w:t> </w:t>
      </w:r>
      <w:r>
        <w:rPr/>
        <w:t>Cruz Diretor Financeiro</w:t>
      </w:r>
    </w:p>
    <w:p>
      <w:pPr>
        <w:pStyle w:val="BodyText"/>
        <w:spacing w:after="0" w:line="360" w:lineRule="auto"/>
        <w:sectPr>
          <w:type w:val="continuous"/>
          <w:pgSz w:w="12240" w:h="15840"/>
          <w:pgMar w:header="952" w:footer="1481" w:top="1880" w:bottom="1680" w:left="1800" w:right="1080"/>
          <w:cols w:num="2" w:equalWidth="0">
            <w:col w:w="4049" w:space="1271"/>
            <w:col w:w="404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header="952" w:footer="1481" w:top="1880" w:bottom="1680" w:left="1800" w:right="1080"/>
        </w:sectPr>
      </w:pPr>
    </w:p>
    <w:p>
      <w:pPr>
        <w:pStyle w:val="BodyText"/>
        <w:spacing w:line="360" w:lineRule="auto" w:before="89"/>
        <w:ind w:left="550" w:right="38" w:hanging="48"/>
      </w:pPr>
      <w:r>
        <w:rPr/>
        <w:t>Claudia</w:t>
      </w:r>
      <w:r>
        <w:rPr>
          <w:spacing w:val="-15"/>
        </w:rPr>
        <w:t> </w:t>
      </w:r>
      <w:r>
        <w:rPr/>
        <w:t>Miranda</w:t>
      </w:r>
      <w:r>
        <w:rPr>
          <w:spacing w:val="-13"/>
        </w:rPr>
        <w:t> </w:t>
      </w:r>
      <w:r>
        <w:rPr/>
        <w:t>do</w:t>
      </w:r>
      <w:r>
        <w:rPr>
          <w:spacing w:val="-15"/>
        </w:rPr>
        <w:t> </w:t>
      </w:r>
      <w:r>
        <w:rPr/>
        <w:t>Nascimento Chefe da Divisão de Tesouraria</w:t>
      </w:r>
    </w:p>
    <w:p>
      <w:pPr>
        <w:pStyle w:val="BodyText"/>
        <w:spacing w:line="360" w:lineRule="auto" w:before="89"/>
        <w:ind w:left="520" w:right="1051" w:hanging="18"/>
      </w:pPr>
      <w:r>
        <w:rPr/>
        <w:br w:type="column"/>
      </w:r>
      <w:r>
        <w:rPr/>
        <w:t>Michele Schifller Forster Gestora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Investimentos</w:t>
      </w:r>
    </w:p>
    <w:sectPr>
      <w:type w:val="continuous"/>
      <w:pgSz w:w="12240" w:h="15840"/>
      <w:pgMar w:header="952" w:footer="1481" w:top="1880" w:bottom="1680" w:left="1800" w:right="1080"/>
      <w:cols w:num="2" w:equalWidth="0">
        <w:col w:w="3925" w:space="1223"/>
        <w:col w:w="421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4048">
              <wp:simplePos x="0" y="0"/>
              <wp:positionH relativeFrom="page">
                <wp:posOffset>1616710</wp:posOffset>
              </wp:positionH>
              <wp:positionV relativeFrom="page">
                <wp:posOffset>8978490</wp:posOffset>
              </wp:positionV>
              <wp:extent cx="3363595" cy="39624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363595" cy="396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" w:right="0" w:firstLine="0"/>
                            <w:jc w:val="center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Rua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Dr.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Alencar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Lima,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35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salas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101/115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Centro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Petrópolis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RJ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CEP.: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25620-050 CNPJ 31.157.589/0001-60 - tel.: (24) 2220-9200</w:t>
                          </w:r>
                        </w:p>
                        <w:p>
                          <w:pPr>
                            <w:spacing w:before="0"/>
                            <w:ind w:left="354" w:right="350" w:firstLine="0"/>
                            <w:jc w:val="center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DAF-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Diretoria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Administração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Finanças.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E-mail: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2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Verdana" w:hAnsi="Verdana"/>
                                <w:color w:val="0000FF"/>
                                <w:sz w:val="12"/>
                                <w:u w:val="single" w:color="0000FF"/>
                              </w:rPr>
                              <w:t>daf@inpas.rj.gov.br</w:t>
                            </w:r>
                          </w:hyperlink>
                          <w:r>
                            <w:rPr>
                              <w:rFonts w:ascii="Verdana" w:hAnsi="Verdana"/>
                              <w:color w:val="0000FF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Site: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2"/>
                            </w:rPr>
                            <w:t> </w:t>
                          </w:r>
                          <w:hyperlink r:id="rId2">
                            <w:r>
                              <w:rPr>
                                <w:rFonts w:ascii="Verdana" w:hAnsi="Verdana"/>
                                <w:color w:val="0000FF"/>
                                <w:sz w:val="12"/>
                                <w:u w:val="single" w:color="0000FF"/>
                              </w:rPr>
                              <w:t>www.inpas.rj.gov.br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7.300003pt;margin-top:706.967773pt;width:264.850pt;height:31.2pt;mso-position-horizontal-relative:page;mso-position-vertical-relative:page;z-index:-15762432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" w:right="0" w:firstLine="0"/>
                      <w:jc w:val="center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Rua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Dr.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Alencar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Lima,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35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–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salas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101/115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Centro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Petrópolis</w:t>
                    </w:r>
                    <w:r>
                      <w:rPr>
                        <w:rFonts w:ascii="Verdana" w:hAnsi="Verdana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RJ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CEP.: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25620-050 CNPJ 31.157.589/0001-60 - tel.: (24) 2220-9200</w:t>
                    </w:r>
                  </w:p>
                  <w:p>
                    <w:pPr>
                      <w:spacing w:before="0"/>
                      <w:ind w:left="354" w:right="350" w:firstLine="0"/>
                      <w:jc w:val="center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DAF-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Diretoria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de</w:t>
                    </w:r>
                    <w:r>
                      <w:rPr>
                        <w:rFonts w:ascii="Verdana" w:hAnsi="Verdana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Administração</w:t>
                    </w:r>
                    <w:r>
                      <w:rPr>
                        <w:rFonts w:ascii="Verdana" w:hAnsi="Verdana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e</w:t>
                    </w:r>
                    <w:r>
                      <w:rPr>
                        <w:rFonts w:ascii="Verdana" w:hAnsi="Verdana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Finanças.</w:t>
                    </w:r>
                    <w:r>
                      <w:rPr>
                        <w:rFonts w:ascii="Verdana" w:hAnsi="Verdana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E-mail:</w:t>
                    </w:r>
                    <w:r>
                      <w:rPr>
                        <w:rFonts w:ascii="Verdana" w:hAnsi="Verdana"/>
                        <w:spacing w:val="-6"/>
                        <w:sz w:val="12"/>
                      </w:rPr>
                      <w:t> </w:t>
                    </w:r>
                    <w:hyperlink r:id="rId1">
                      <w:r>
                        <w:rPr>
                          <w:rFonts w:ascii="Verdana" w:hAnsi="Verdana"/>
                          <w:color w:val="0000FF"/>
                          <w:sz w:val="12"/>
                          <w:u w:val="single" w:color="0000FF"/>
                        </w:rPr>
                        <w:t>daf@inpas.rj.gov.br</w:t>
                      </w:r>
                    </w:hyperlink>
                    <w:r>
                      <w:rPr>
                        <w:rFonts w:ascii="Verdana" w:hAnsi="Verdana"/>
                        <w:color w:val="0000FF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Site:</w:t>
                    </w:r>
                    <w:r>
                      <w:rPr>
                        <w:rFonts w:ascii="Verdana" w:hAnsi="Verdana"/>
                        <w:spacing w:val="-1"/>
                        <w:sz w:val="12"/>
                      </w:rPr>
                      <w:t> </w:t>
                    </w:r>
                    <w:hyperlink r:id="rId2">
                      <w:r>
                        <w:rPr>
                          <w:rFonts w:ascii="Verdana" w:hAnsi="Verdana"/>
                          <w:color w:val="0000FF"/>
                          <w:sz w:val="12"/>
                          <w:u w:val="single" w:color="0000FF"/>
                        </w:rPr>
                        <w:t>www.inpas.rj.gov.br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3024">
          <wp:simplePos x="0" y="0"/>
          <wp:positionH relativeFrom="page">
            <wp:posOffset>1071880</wp:posOffset>
          </wp:positionH>
          <wp:positionV relativeFrom="page">
            <wp:posOffset>604519</wp:posOffset>
          </wp:positionV>
          <wp:extent cx="1338580" cy="50419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8580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3536">
              <wp:simplePos x="0" y="0"/>
              <wp:positionH relativeFrom="page">
                <wp:posOffset>2472689</wp:posOffset>
              </wp:positionH>
              <wp:positionV relativeFrom="page">
                <wp:posOffset>596096</wp:posOffset>
              </wp:positionV>
              <wp:extent cx="3475990" cy="37147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475990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18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Previdência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Assistência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Social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do Servidor Público do Município de Petrópolis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4.699997pt;margin-top:46.936718pt;width:273.7pt;height:29.25pt;mso-position-horizontal-relative:page;mso-position-vertical-relative:page;z-index:-15762944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18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Previdência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Assistência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Social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do Servidor Público do Município de Petrópolis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daf@inpas.rj.gov.br" TargetMode="External"/><Relationship Id="rId2" Type="http://schemas.openxmlformats.org/officeDocument/2006/relationships/hyperlink" Target="http://www.inpas.rj.gov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2025-05-16T18:41:47Z</dcterms:created>
  <dcterms:modified xsi:type="dcterms:W3CDTF">2025-05-16T18:41:47Z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