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</w:pPr>
    </w:p>
    <w:p>
      <w:pPr>
        <w:pStyle w:val="BodyText"/>
        <w:spacing w:line="360" w:lineRule="auto"/>
        <w:ind w:left="130" w:right="19"/>
        <w:jc w:val="both"/>
      </w:pPr>
      <w:r>
        <w:rPr/>
        <w:t>Ata da sexagésima quarta reunião ordinária do Comitê de Investimentos do Instituto de Previdência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Petrópolis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INPAS.</w:t>
      </w:r>
      <w:r>
        <w:rPr>
          <w:spacing w:val="-4"/>
        </w:rPr>
        <w:t> </w:t>
      </w:r>
      <w:r>
        <w:rPr/>
        <w:t>Aos onze dias do mês de abril do ano de dois mil e dezoito, às dez horas e dez minutos, no</w:t>
      </w:r>
      <w:r>
        <w:rPr>
          <w:spacing w:val="40"/>
        </w:rPr>
        <w:t> </w:t>
      </w:r>
      <w:r>
        <w:rPr/>
        <w:t>Auditório do</w:t>
      </w:r>
      <w:r>
        <w:rPr>
          <w:spacing w:val="-2"/>
        </w:rPr>
        <w:t> </w:t>
      </w:r>
      <w:r>
        <w:rPr/>
        <w:t>Instituto de</w:t>
      </w:r>
      <w:r>
        <w:rPr>
          <w:spacing w:val="-2"/>
        </w:rPr>
        <w:t> </w:t>
      </w:r>
      <w:r>
        <w:rPr/>
        <w:t>Previdência e</w:t>
      </w:r>
      <w:r>
        <w:rPr>
          <w:spacing w:val="-2"/>
        </w:rPr>
        <w:t> </w:t>
      </w:r>
      <w:r>
        <w:rPr/>
        <w:t>Assistência Social do</w:t>
      </w:r>
      <w:r>
        <w:rPr>
          <w:spacing w:val="-2"/>
        </w:rPr>
        <w:t> </w:t>
      </w:r>
      <w:r>
        <w:rPr/>
        <w:t>Servidor Público do</w:t>
      </w:r>
      <w:r>
        <w:rPr>
          <w:spacing w:val="-2"/>
        </w:rPr>
        <w:t> </w:t>
      </w:r>
      <w:r>
        <w:rPr/>
        <w:t>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Previdenciária, senhora Carla Cristina Correia Maduro Vogas Tavares, secretária deste Comitê; d)- Gestora Previdenciária, Adriana Catarina da Costa, e)- Gestora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Investimentos,</w:t>
      </w:r>
      <w:r>
        <w:rPr>
          <w:spacing w:val="-1"/>
        </w:rPr>
        <w:t> </w:t>
      </w:r>
      <w:r>
        <w:rPr/>
        <w:t>senhora Michele</w:t>
      </w:r>
      <w:r>
        <w:rPr>
          <w:spacing w:val="-2"/>
        </w:rPr>
        <w:t> </w:t>
      </w:r>
      <w:r>
        <w:rPr/>
        <w:t>Schiffler Forster.</w:t>
      </w:r>
      <w:r>
        <w:rPr>
          <w:spacing w:val="-1"/>
        </w:rPr>
        <w:t> </w:t>
      </w:r>
      <w:r>
        <w:rPr/>
        <w:t>Registra-se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ausência do</w:t>
      </w:r>
      <w:r>
        <w:rPr>
          <w:spacing w:val="-3"/>
        </w:rPr>
        <w:t> </w:t>
      </w:r>
      <w:r>
        <w:rPr/>
        <w:t>Diretor- Presidente, Sr. Fernando Leite Fortes e da Chefe da Divisão de Tesouraria, senhora Claudia Miranda do Nascimento, por motivo de férias. Com esta composição iniciou-se a referida reunião para atendimento à pauta do dia, que teve a seguinte ordem: 1)- Leitura da ata da 63ª reunião</w:t>
      </w:r>
      <w:r>
        <w:rPr>
          <w:spacing w:val="-3"/>
        </w:rPr>
        <w:t> </w:t>
      </w:r>
      <w:r>
        <w:rPr/>
        <w:t>ordinária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Comitê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Investimentos.</w:t>
      </w:r>
      <w:r>
        <w:rPr>
          <w:spacing w:val="-3"/>
        </w:rPr>
        <w:t> </w:t>
      </w:r>
      <w:r>
        <w:rPr/>
        <w:t>2)-</w:t>
      </w:r>
      <w:r>
        <w:rPr>
          <w:spacing w:val="-4"/>
        </w:rPr>
        <w:t> </w:t>
      </w:r>
      <w:r>
        <w:rPr/>
        <w:t>Eleição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Comitê de Investimentos. 3)-Análise do cenário macroeconômico, bem como as expectativas de mercado.4)- Análise do fluxo de caixa, considerando as obrigações previdenciárias e administrativas para o mês em curso. 5)- Avaliação dos investimentos que compõem o patrimônio dos diversos segmentos de aplicação. 6)- Proposições de investimentos/desinvestimentos. 7)- Processos de credenciamento de instituições financeiras. 8)-Assuntos</w:t>
      </w:r>
      <w:r>
        <w:rPr>
          <w:spacing w:val="-3"/>
        </w:rPr>
        <w:t> </w:t>
      </w:r>
      <w:r>
        <w:rPr/>
        <w:t>Gerais.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Comitê</w:t>
      </w:r>
      <w:r>
        <w:rPr>
          <w:spacing w:val="-1"/>
        </w:rPr>
        <w:t> </w:t>
      </w:r>
      <w:r>
        <w:rPr/>
        <w:t>iniciou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agradecendo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presença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todos. A</w:t>
      </w:r>
      <w:r>
        <w:rPr>
          <w:spacing w:val="-3"/>
        </w:rPr>
        <w:t> </w:t>
      </w:r>
      <w:r>
        <w:rPr/>
        <w:t>Secretária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Comitê</w:t>
      </w:r>
      <w:r>
        <w:rPr>
          <w:spacing w:val="-1"/>
        </w:rPr>
        <w:t> </w:t>
      </w:r>
      <w:r>
        <w:rPr/>
        <w:t>solicitou que</w:t>
      </w:r>
      <w:r>
        <w:rPr>
          <w:spacing w:val="-4"/>
        </w:rPr>
        <w:t> </w:t>
      </w:r>
      <w:r>
        <w:rPr/>
        <w:t>ficasse</w:t>
      </w:r>
      <w:r>
        <w:rPr>
          <w:spacing w:val="-2"/>
        </w:rPr>
        <w:t> </w:t>
      </w:r>
      <w:r>
        <w:rPr/>
        <w:t>consignado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ata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correção referente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da 62ª</w:t>
      </w:r>
      <w:r>
        <w:rPr>
          <w:spacing w:val="-2"/>
        </w:rPr>
        <w:t> </w:t>
      </w:r>
      <w:r>
        <w:rPr/>
        <w:t>reunião, pois</w:t>
      </w:r>
      <w:r>
        <w:rPr>
          <w:spacing w:val="-1"/>
        </w:rPr>
        <w:t> </w:t>
      </w:r>
      <w:r>
        <w:rPr/>
        <w:t>ela foi</w:t>
      </w:r>
      <w:r>
        <w:rPr>
          <w:spacing w:val="-2"/>
        </w:rPr>
        <w:t> </w:t>
      </w:r>
      <w:r>
        <w:rPr/>
        <w:t>realizada em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 de</w:t>
      </w:r>
      <w:r>
        <w:rPr>
          <w:spacing w:val="-2"/>
        </w:rPr>
        <w:t> </w:t>
      </w:r>
      <w:r>
        <w:rPr/>
        <w:t>2018,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2017,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como constou em sua redação. Cabe ressaltar que, antes de iniciada a reunião, a Presidente do Comitê levou ao</w:t>
      </w:r>
      <w:r>
        <w:rPr>
          <w:spacing w:val="-4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Diretor-Financeiro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informação</w:t>
      </w:r>
      <w:r>
        <w:rPr>
          <w:spacing w:val="-2"/>
        </w:rPr>
        <w:t> </w:t>
      </w:r>
      <w:r>
        <w:rPr/>
        <w:t>dada</w:t>
      </w:r>
      <w:r>
        <w:rPr>
          <w:spacing w:val="-6"/>
        </w:rPr>
        <w:t> </w:t>
      </w:r>
      <w:r>
        <w:rPr/>
        <w:t>pela</w:t>
      </w:r>
      <w:r>
        <w:rPr>
          <w:spacing w:val="-4"/>
        </w:rPr>
        <w:t> </w:t>
      </w:r>
      <w:r>
        <w:rPr/>
        <w:t>gestora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investimentos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que não havia o fluxo de caixa, tendo em vista que a Tesoureira estava de férias e não houve substituição; mas que seria possível levantar as informações dos valores existentes para</w:t>
      </w:r>
      <w:r>
        <w:rPr>
          <w:spacing w:val="40"/>
        </w:rPr>
        <w:t> </w:t>
      </w:r>
      <w:r>
        <w:rPr/>
        <w:t>embasar a decisão de investimentos a ser feita pelo Comitê. Em resposta, o Diretor-Financeiro solicitou</w:t>
      </w:r>
      <w:r>
        <w:rPr>
          <w:spacing w:val="34"/>
        </w:rPr>
        <w:t> </w:t>
      </w:r>
      <w:r>
        <w:rPr/>
        <w:t>que</w:t>
      </w:r>
      <w:r>
        <w:rPr>
          <w:spacing w:val="29"/>
        </w:rPr>
        <w:t> </w:t>
      </w:r>
      <w:r>
        <w:rPr/>
        <w:t>os</w:t>
      </w:r>
      <w:r>
        <w:rPr>
          <w:spacing w:val="31"/>
        </w:rPr>
        <w:t> </w:t>
      </w:r>
      <w:r>
        <w:rPr/>
        <w:t>demais</w:t>
      </w:r>
      <w:r>
        <w:rPr>
          <w:spacing w:val="33"/>
        </w:rPr>
        <w:t> </w:t>
      </w:r>
      <w:r>
        <w:rPr/>
        <w:t>membros</w:t>
      </w:r>
      <w:r>
        <w:rPr>
          <w:spacing w:val="33"/>
        </w:rPr>
        <w:t> </w:t>
      </w:r>
      <w:r>
        <w:rPr/>
        <w:t>decidissem</w:t>
      </w:r>
      <w:r>
        <w:rPr>
          <w:spacing w:val="31"/>
        </w:rPr>
        <w:t> </w:t>
      </w:r>
      <w:r>
        <w:rPr/>
        <w:t>sobre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assunto</w:t>
      </w:r>
      <w:r>
        <w:rPr>
          <w:spacing w:val="32"/>
        </w:rPr>
        <w:t> </w:t>
      </w:r>
      <w:r>
        <w:rPr/>
        <w:t>e</w:t>
      </w:r>
      <w:r>
        <w:rPr>
          <w:spacing w:val="30"/>
        </w:rPr>
        <w:t> </w:t>
      </w:r>
      <w:r>
        <w:rPr/>
        <w:t>que,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princípio,</w:t>
      </w:r>
      <w:r>
        <w:rPr>
          <w:spacing w:val="32"/>
        </w:rPr>
        <w:t> </w:t>
      </w:r>
      <w:r>
        <w:rPr/>
        <w:t>não</w:t>
      </w:r>
      <w:r>
        <w:rPr>
          <w:spacing w:val="30"/>
        </w:rPr>
        <w:t> </w:t>
      </w:r>
      <w:r>
        <w:rPr/>
        <w:t>iria</w:t>
      </w:r>
      <w:r>
        <w:rPr>
          <w:spacing w:val="32"/>
        </w:rPr>
        <w:t> </w:t>
      </w:r>
      <w:r>
        <w:rPr/>
        <w:t>se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30" w:right="21"/>
        <w:jc w:val="both"/>
      </w:pPr>
      <w:r>
        <w:rPr/>
        <w:t>opor. Assim, a gestora previdenciária, Carla, a gestora de investimentos, Michele, e a Presidente,</w:t>
      </w:r>
      <w:r>
        <w:rPr>
          <w:spacing w:val="-2"/>
        </w:rPr>
        <w:t> </w:t>
      </w:r>
      <w:r>
        <w:rPr/>
        <w:t>Lucimar,</w:t>
      </w:r>
      <w:r>
        <w:rPr>
          <w:spacing w:val="40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opuseram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realização da</w:t>
      </w:r>
      <w:r>
        <w:rPr>
          <w:spacing w:val="-4"/>
        </w:rPr>
        <w:t> </w:t>
      </w:r>
      <w:r>
        <w:rPr/>
        <w:t>reunião,</w:t>
      </w:r>
      <w:r>
        <w:rPr>
          <w:spacing w:val="-2"/>
        </w:rPr>
        <w:t> </w:t>
      </w:r>
      <w:r>
        <w:rPr/>
        <w:t>razão</w:t>
      </w:r>
      <w:r>
        <w:rPr>
          <w:spacing w:val="-2"/>
        </w:rPr>
        <w:t> </w:t>
      </w:r>
      <w:r>
        <w:rPr/>
        <w:t>pela</w:t>
      </w:r>
      <w:r>
        <w:rPr>
          <w:spacing w:val="-4"/>
        </w:rPr>
        <w:t> </w:t>
      </w:r>
      <w:r>
        <w:rPr/>
        <w:t>qual</w:t>
      </w:r>
      <w:r>
        <w:rPr>
          <w:spacing w:val="-2"/>
        </w:rPr>
        <w:t> </w:t>
      </w:r>
      <w:r>
        <w:rPr/>
        <w:t>ela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realizada. Cabe esclarecer que a gestora previdenciária, Adriana, não estava presente no momento dessa decisão. 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refere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63ª</w:t>
      </w:r>
      <w:r>
        <w:rPr>
          <w:spacing w:val="-2"/>
        </w:rPr>
        <w:t> </w:t>
      </w:r>
      <w:r>
        <w:rPr/>
        <w:t>reunião ordinária, enviada por</w:t>
      </w:r>
      <w:r>
        <w:rPr>
          <w:spacing w:val="-2"/>
        </w:rPr>
        <w:t> </w:t>
      </w:r>
      <w:r>
        <w:rPr/>
        <w:t>e-mail a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membros do Comitê, não houve retificações, tendo sido integralmente aprovada. Passando para o</w:t>
      </w:r>
      <w:r>
        <w:rPr>
          <w:spacing w:val="40"/>
        </w:rPr>
        <w:t> </w:t>
      </w:r>
      <w:r>
        <w:rPr/>
        <w:t>segundo ponto de pauta, foi realizada a eleição do Presidente e Secretário do Comitê de Investimentos, tendo sido reconduzidas, por sugestão e aprovação unânime do referido Comitê, as servidoras Lucimar da Glória Gomes, como Presidente, e Carla Cristina Correia Maduro Vogas Tavares, como Secretária. A Presidente eleita agradeceu a confiança e pediu a colaboração de todos. No terceiro item da pauta, a Gestora de Investimentos, Sra. Michele Schiffler Forster, comentou que na última reunião do COPOM, realizada em 21/03/18, houve a redução da taxa Selic em 0,25%, estando, no momento, em 6,50%. A próxima reunião está marcada para o dia 16 de maio de 2018. Acrescentou ainda que a prisão do ex-Presidente Lula não impactou os investimentos de renda fixa. Após, apresentou a variação dos</w:t>
      </w:r>
      <w:r>
        <w:rPr>
          <w:spacing w:val="40"/>
        </w:rPr>
        <w:t> </w:t>
      </w:r>
      <w:r>
        <w:rPr/>
        <w:t>índices dos meses de março de</w:t>
      </w:r>
      <w:r>
        <w:rPr>
          <w:spacing w:val="40"/>
        </w:rPr>
        <w:t> </w:t>
      </w:r>
      <w:r>
        <w:rPr/>
        <w:t>2018 mais utilizados e/ou acompanhados por esta Autarquia, sendo: IRFM1:</w:t>
      </w:r>
      <w:r>
        <w:rPr>
          <w:spacing w:val="18"/>
        </w:rPr>
        <w:t> </w:t>
      </w:r>
      <w:r>
        <w:rPr/>
        <w:t>0,6576;</w:t>
      </w:r>
      <w:r>
        <w:rPr>
          <w:spacing w:val="80"/>
        </w:rPr>
        <w:t> </w:t>
      </w:r>
      <w:r>
        <w:rPr/>
        <w:t>IRFM1+:</w:t>
      </w:r>
      <w:r>
        <w:rPr>
          <w:spacing w:val="80"/>
        </w:rPr>
        <w:t> </w:t>
      </w:r>
      <w:r>
        <w:rPr/>
        <w:t>1,5669;</w:t>
      </w:r>
      <w:r>
        <w:rPr>
          <w:spacing w:val="80"/>
        </w:rPr>
        <w:t> </w:t>
      </w:r>
      <w:r>
        <w:rPr/>
        <w:t>IRFM:</w:t>
      </w:r>
      <w:r>
        <w:rPr>
          <w:spacing w:val="18"/>
        </w:rPr>
        <w:t> </w:t>
      </w:r>
      <w:r>
        <w:rPr/>
        <w:t>1,3234;</w:t>
      </w:r>
      <w:r>
        <w:rPr>
          <w:spacing w:val="80"/>
        </w:rPr>
        <w:t> </w:t>
      </w:r>
      <w:r>
        <w:rPr/>
        <w:t>IMA</w:t>
      </w:r>
      <w:r>
        <w:rPr>
          <w:spacing w:val="20"/>
        </w:rPr>
        <w:t> </w:t>
      </w:r>
      <w:r>
        <w:rPr/>
        <w:t>B</w:t>
      </w:r>
      <w:r>
        <w:rPr>
          <w:spacing w:val="19"/>
        </w:rPr>
        <w:t> </w:t>
      </w:r>
      <w:r>
        <w:rPr/>
        <w:t>5:</w:t>
      </w:r>
      <w:r>
        <w:rPr>
          <w:spacing w:val="18"/>
        </w:rPr>
        <w:t> </w:t>
      </w:r>
      <w:r>
        <w:rPr/>
        <w:t>1,6202;</w:t>
      </w:r>
      <w:r>
        <w:rPr>
          <w:spacing w:val="80"/>
        </w:rPr>
        <w:t> </w:t>
      </w:r>
      <w:r>
        <w:rPr/>
        <w:t>IMA</w:t>
      </w:r>
      <w:r>
        <w:rPr>
          <w:spacing w:val="20"/>
        </w:rPr>
        <w:t> </w:t>
      </w:r>
      <w:r>
        <w:rPr/>
        <w:t>B</w:t>
      </w:r>
      <w:r>
        <w:rPr>
          <w:spacing w:val="19"/>
        </w:rPr>
        <w:t> </w:t>
      </w:r>
      <w:r>
        <w:rPr/>
        <w:t>5+:</w:t>
      </w:r>
      <w:r>
        <w:rPr>
          <w:spacing w:val="20"/>
        </w:rPr>
        <w:t> </w:t>
      </w:r>
      <w:r>
        <w:rPr/>
        <w:t>0,3821;</w:t>
      </w:r>
    </w:p>
    <w:p>
      <w:pPr>
        <w:pStyle w:val="BodyText"/>
        <w:tabs>
          <w:tab w:pos="6212" w:val="left" w:leader="none"/>
        </w:tabs>
        <w:ind w:left="130"/>
        <w:jc w:val="both"/>
      </w:pPr>
      <w:r>
        <w:rPr/>
        <w:t>IMA</w:t>
      </w:r>
      <w:r>
        <w:rPr>
          <w:spacing w:val="59"/>
          <w:w w:val="150"/>
        </w:rPr>
        <w:t>    </w:t>
      </w:r>
      <w:r>
        <w:rPr/>
        <w:t>B:</w:t>
      </w:r>
      <w:r>
        <w:rPr>
          <w:spacing w:val="60"/>
          <w:w w:val="150"/>
        </w:rPr>
        <w:t>    </w:t>
      </w:r>
      <w:r>
        <w:rPr/>
        <w:t>0,9355</w:t>
      </w:r>
      <w:r>
        <w:rPr>
          <w:spacing w:val="59"/>
          <w:w w:val="150"/>
        </w:rPr>
        <w:t>    </w:t>
      </w:r>
      <w:r>
        <w:rPr/>
        <w:t>;IMA</w:t>
      </w:r>
      <w:r>
        <w:rPr>
          <w:spacing w:val="60"/>
          <w:w w:val="150"/>
        </w:rPr>
        <w:t>    </w:t>
      </w:r>
      <w:r>
        <w:rPr>
          <w:spacing w:val="-2"/>
        </w:rPr>
        <w:t>Geral:</w:t>
      </w:r>
      <w:r>
        <w:rPr/>
        <w:tab/>
        <w:t>0,9624;</w:t>
      </w:r>
      <w:r>
        <w:rPr>
          <w:spacing w:val="58"/>
          <w:w w:val="150"/>
        </w:rPr>
        <w:t>    </w:t>
      </w:r>
      <w:r>
        <w:rPr/>
        <w:t>CDI:</w:t>
      </w:r>
      <w:r>
        <w:rPr>
          <w:spacing w:val="59"/>
          <w:w w:val="150"/>
        </w:rPr>
        <w:t>    </w:t>
      </w:r>
      <w:r>
        <w:rPr>
          <w:spacing w:val="-2"/>
        </w:rPr>
        <w:t>0,5318.</w:t>
      </w:r>
    </w:p>
    <w:p>
      <w:pPr>
        <w:pStyle w:val="BodyText"/>
        <w:spacing w:line="360" w:lineRule="auto" w:before="138"/>
        <w:ind w:left="130" w:right="17"/>
        <w:jc w:val="both"/>
      </w:pPr>
      <w:r>
        <w:rPr/>
        <w:t>Na rentabilidade acumulada – 2018, o melhor desempenho foi do IBOVESPA, com uma rentabilidade de 11,73, seguido do IMAB5+, com 5,9358; o IRFM teve rendimento de 3,7705; o IMAB5 de 3,5306; o IRFM1 de 1,8017 e o DI de 1,59. Na análise do Relatório Focus de seis de abril do corrente ano, ressaltou que o IPCA está com expectativa de queda e a meta da taxa SELIC está com expectativa de ficar estável em 6,25%. Após, apresentou as movimentações financeiras do Instituto referentes ao mês de março. As aplicações, nesse mês, somaram R$ 984.000,00 e os resgates, R$ 466.000,00. O saldo anterior era de R$ 1.215.782,37. O retorno financeiro foi de R$ 11.365,37 e o percentual de retorno de 0,6518%. O atingimento da meta atuarial no mês foi de 112,93%. Comparando o INPC e o IPCA, o primeiro registrou um acumulado de 0,48% e o segundo, 0,70%. A senhora Michele ainda apresentou o relatório de rentabilidade</w:t>
      </w:r>
      <w:r>
        <w:rPr>
          <w:spacing w:val="24"/>
        </w:rPr>
        <w:t> </w:t>
      </w:r>
      <w:r>
        <w:rPr/>
        <w:t>e</w:t>
      </w:r>
      <w:r>
        <w:rPr>
          <w:spacing w:val="21"/>
        </w:rPr>
        <w:t> </w:t>
      </w:r>
      <w:r>
        <w:rPr/>
        <w:t>risco</w:t>
      </w:r>
      <w:r>
        <w:rPr>
          <w:spacing w:val="21"/>
        </w:rPr>
        <w:t> </w:t>
      </w:r>
      <w:r>
        <w:rPr/>
        <w:t>dos</w:t>
      </w:r>
      <w:r>
        <w:rPr>
          <w:spacing w:val="22"/>
        </w:rPr>
        <w:t> </w:t>
      </w:r>
      <w:r>
        <w:rPr/>
        <w:t>ativos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compõem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carteira</w:t>
      </w:r>
      <w:r>
        <w:rPr>
          <w:spacing w:val="24"/>
        </w:rPr>
        <w:t> </w:t>
      </w:r>
      <w:r>
        <w:rPr/>
        <w:t>do</w:t>
      </w:r>
      <w:r>
        <w:rPr>
          <w:spacing w:val="21"/>
        </w:rPr>
        <w:t> </w:t>
      </w:r>
      <w:r>
        <w:rPr/>
        <w:t>Instituto.</w:t>
      </w:r>
      <w:r>
        <w:rPr>
          <w:spacing w:val="34"/>
        </w:rPr>
        <w:t> </w:t>
      </w:r>
      <w:r>
        <w:rPr/>
        <w:t>O</w:t>
      </w:r>
      <w:r>
        <w:rPr>
          <w:spacing w:val="22"/>
        </w:rPr>
        <w:t> </w:t>
      </w:r>
      <w:r>
        <w:rPr/>
        <w:t>índice</w:t>
      </w:r>
      <w:r>
        <w:rPr>
          <w:spacing w:val="22"/>
        </w:rPr>
        <w:t> </w:t>
      </w:r>
      <w:r>
        <w:rPr/>
        <w:t>VAR,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é</w:t>
      </w:r>
      <w:r>
        <w:rPr>
          <w:spacing w:val="21"/>
        </w:rPr>
        <w:t> </w:t>
      </w:r>
      <w:r>
        <w:rPr/>
        <w:t>a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30" w:right="17"/>
        <w:jc w:val="both"/>
      </w:pPr>
      <w:r>
        <w:rPr/>
        <w:t>perda máxima num </w:t>
      </w:r>
      <w:bookmarkStart w:name="Instituto de Previdência e Assistência S" w:id="1"/>
      <w:bookmarkEnd w:id="1"/>
      <w:r>
        <w:rPr/>
        <w:t>perí</w:t>
      </w:r>
      <w:r>
        <w:rPr/>
        <w:t>odo,</w:t>
      </w:r>
      <w:r>
        <w:rPr>
          <w:spacing w:val="40"/>
        </w:rPr>
        <w:t> </w:t>
      </w:r>
      <w:r>
        <w:rPr/>
        <w:t>e o índice Sharp, que mede o desempenho dos fundos, não variaram em relação ao que foi apresentado na reunião anterior. Por fim, a recomendação do consultor da empresa Di Blasi Consultoria, foi a seguinte: a) a renda fixa deverá estar concentrada em Títulos Públicos Federais; b) os fundos da família IRFM estão com taxas de juros entre</w:t>
      </w:r>
      <w:r>
        <w:rPr>
          <w:spacing w:val="40"/>
        </w:rPr>
        <w:t> </w:t>
      </w:r>
      <w:r>
        <w:rPr/>
        <w:t>6,7% e 8,6% a.a e ainda têm pequena capacidade de gerar ganhos; c) fundos da família IMA-B (mais longos) podem apresentar algum espaço para valorização, mas com oscilações; d) os fundos CDI (referenciados) estão abaixo da meta atuarial. Com relação ao FASSE, o saldo final de março de 2018 somou R$ 283.976,55, com um total de 284.151,87 de saldo anterior, R$ 2.700,00 de resgates, e R$ 2.524,68 de rendimentos. No quarto item da</w:t>
      </w:r>
      <w:r>
        <w:rPr>
          <w:spacing w:val="40"/>
        </w:rPr>
        <w:t> </w:t>
      </w:r>
      <w:r>
        <w:rPr/>
        <w:t>pauta, foi dito pela Presidente que o fluxo de caixa não foi elaborado, tendo em vista estar a Tesoureira em período de férias. Porém, a gestora de investimentos ressaltou que poderia informar os valores existentes nas contas bancárias e na Tesouraria para que o Comitê pudesse ter uma noção das contas previdenciária e administrativa. O Diretor-Financeiro pediu a palavra e informou que não aceita que as próximas reuniões sejam realizadas sem a apresentação do fluxo de caixa. Dando continuidade, a gestora de investimentos demonstrou, considerando o mapa do dia 10 de abril de 2018, que teremos em torno de R$ 523.000,00 de sobra na conta administrativa e R$ 605.000,00 de sobra na conta previdenciária. Porém, como a taxa de administração deverá ser paga, não haverá possibilidade de ser feita qualquer aplicação na</w:t>
      </w:r>
      <w:r>
        <w:rPr>
          <w:spacing w:val="40"/>
        </w:rPr>
        <w:t> </w:t>
      </w:r>
      <w:r>
        <w:rPr/>
        <w:t>conta previdenciária. A gestora previdenciária, Adriana, questionou o motivo pelo qual não houve a aplicação de R$203.000,00 existentes na conta administrativa, tal como demonstrado no mapa, já que esse valor entrou no início do mês. A gestora de investimentos explicou que não houve a aplicação em virtude de ter sido feita a opção de primeiro pagar todas as despesas, para só então fazer a aplicação do que sobrasse. A gestora Adriana ainda mencionou que o fluxo de caixa deve sempre estar em dia para que a saída de férias de servidor não impeça que ele seja apresentado e ainda para evitar que o dinheiro fique parado na conta. A Presidente do Comitê informou que irá solicitar uma reunião com a Tesouraria, Diretoria Administrativa e Contabilidade a fim de tentar organizar as despesas. Com relação aos investimentos, o Comitê decidiu,</w:t>
      </w:r>
      <w:r>
        <w:rPr>
          <w:spacing w:val="60"/>
        </w:rPr>
        <w:t> </w:t>
      </w:r>
      <w:r>
        <w:rPr/>
        <w:t>por</w:t>
      </w:r>
      <w:r>
        <w:rPr>
          <w:spacing w:val="58"/>
        </w:rPr>
        <w:t> </w:t>
      </w:r>
      <w:r>
        <w:rPr/>
        <w:t>unanimidade</w:t>
      </w:r>
      <w:r>
        <w:rPr>
          <w:spacing w:val="59"/>
        </w:rPr>
        <w:t> </w:t>
      </w:r>
      <w:r>
        <w:rPr/>
        <w:t>dos</w:t>
      </w:r>
      <w:r>
        <w:rPr>
          <w:spacing w:val="59"/>
        </w:rPr>
        <w:t> </w:t>
      </w:r>
      <w:r>
        <w:rPr/>
        <w:t>presentes,</w:t>
      </w:r>
      <w:r>
        <w:rPr>
          <w:spacing w:val="58"/>
        </w:rPr>
        <w:t> </w:t>
      </w:r>
      <w:r>
        <w:rPr/>
        <w:t>manter</w:t>
      </w:r>
      <w:r>
        <w:rPr>
          <w:spacing w:val="60"/>
        </w:rPr>
        <w:t> </w:t>
      </w:r>
      <w:r>
        <w:rPr/>
        <w:t>as</w:t>
      </w:r>
      <w:r>
        <w:rPr>
          <w:spacing w:val="59"/>
        </w:rPr>
        <w:t> </w:t>
      </w:r>
      <w:r>
        <w:rPr/>
        <w:t>mesmas</w:t>
      </w:r>
      <w:r>
        <w:rPr>
          <w:spacing w:val="63"/>
        </w:rPr>
        <w:t> </w:t>
      </w:r>
      <w:r>
        <w:rPr/>
        <w:t>aplicações</w:t>
      </w:r>
      <w:r>
        <w:rPr>
          <w:spacing w:val="60"/>
        </w:rPr>
        <w:t> </w:t>
      </w:r>
      <w:r>
        <w:rPr/>
        <w:t>hoje</w:t>
      </w:r>
      <w:r>
        <w:rPr>
          <w:spacing w:val="40"/>
        </w:rPr>
        <w:t> </w:t>
      </w:r>
      <w:r>
        <w:rPr/>
        <w:t>existentes</w:t>
      </w:r>
      <w:r>
        <w:rPr>
          <w:spacing w:val="60"/>
        </w:rPr>
        <w:t> </w:t>
      </w:r>
      <w:r>
        <w:rPr/>
        <w:t>no</w:t>
      </w:r>
    </w:p>
    <w:p>
      <w:pPr>
        <w:pStyle w:val="BodyText"/>
        <w:spacing w:after="0" w:line="360" w:lineRule="auto"/>
        <w:jc w:val="both"/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before="177"/>
      </w:pPr>
    </w:p>
    <w:p>
      <w:pPr>
        <w:pStyle w:val="BodyText"/>
        <w:spacing w:line="360" w:lineRule="auto"/>
        <w:ind w:left="130" w:right="25"/>
        <w:jc w:val="both"/>
      </w:pPr>
      <w:r>
        <w:rPr/>
        <w:t>Instituto. No sétimo item da pauta, foi decidido pelo Comitê que os processos de credenciamento deverão ser agora submetidos ao Diretor-Presidente do INPAS. Nada foi tratado em assuntos gerais. Sem mais, a Presidente encerrou a reunião às onze horas e quarenta minutos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Ata</w:t>
      </w:r>
      <w:r>
        <w:rPr>
          <w:spacing w:val="-4"/>
        </w:rPr>
        <w:t> </w:t>
      </w:r>
      <w:r>
        <w:rPr/>
        <w:t>segue</w:t>
      </w:r>
      <w:r>
        <w:rPr>
          <w:spacing w:val="-4"/>
        </w:rPr>
        <w:t> </w:t>
      </w:r>
      <w:r>
        <w:rPr/>
        <w:t>lavrada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mim,</w:t>
      </w:r>
      <w:r>
        <w:rPr>
          <w:spacing w:val="-2"/>
        </w:rPr>
        <w:t> </w:t>
      </w:r>
      <w:r>
        <w:rPr/>
        <w:t>Carla</w:t>
      </w:r>
      <w:r>
        <w:rPr>
          <w:spacing w:val="-4"/>
        </w:rPr>
        <w:t> </w:t>
      </w:r>
      <w:r>
        <w:rPr/>
        <w:t>Maduro</w:t>
      </w:r>
      <w:r>
        <w:rPr>
          <w:spacing w:val="-5"/>
        </w:rPr>
        <w:t> </w:t>
      </w:r>
      <w:r>
        <w:rPr/>
        <w:t>Vogas</w:t>
      </w:r>
      <w:r>
        <w:rPr>
          <w:spacing w:val="-5"/>
        </w:rPr>
        <w:t> </w:t>
      </w:r>
      <w:r>
        <w:rPr/>
        <w:t>Tavares,</w:t>
      </w:r>
      <w:r>
        <w:rPr>
          <w:spacing w:val="-4"/>
        </w:rPr>
        <w:t> </w:t>
      </w:r>
      <w:r>
        <w:rPr/>
        <w:t>Secretária</w:t>
      </w:r>
      <w:r>
        <w:rPr>
          <w:spacing w:val="-2"/>
        </w:rPr>
        <w:t> </w:t>
      </w:r>
      <w:r>
        <w:rPr/>
        <w:t>deste Comitê, que a submeterei à aprovação dos demais membros e devidamente colherei suas </w:t>
      </w:r>
      <w:r>
        <w:rPr>
          <w:spacing w:val="-2"/>
        </w:rPr>
        <w:t>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515" w:right="38" w:firstLine="566"/>
      </w:pPr>
      <w:r>
        <w:rPr/>
        <w:t>Lucimar Glória Gomes Chefe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Divisão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p>
      <w:pPr>
        <w:pStyle w:val="BodyText"/>
        <w:ind w:left="1696"/>
      </w:pPr>
      <w:r>
        <w:rPr>
          <w:spacing w:val="-2"/>
        </w:rPr>
        <w:t>Presidente</w:t>
      </w:r>
    </w:p>
    <w:p>
      <w:pPr>
        <w:pStyle w:val="BodyText"/>
        <w:spacing w:line="360" w:lineRule="auto" w:before="90"/>
        <w:ind w:left="817" w:right="1117" w:hanging="302"/>
      </w:pPr>
      <w:r>
        <w:rPr/>
        <w:br w:type="column"/>
      </w:r>
      <w:r>
        <w:rPr/>
        <w:t>Robson</w:t>
      </w:r>
      <w:r>
        <w:rPr>
          <w:spacing w:val="-14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Cruz Diretor Financeiro</w:t>
      </w:r>
    </w:p>
    <w:p>
      <w:pPr>
        <w:pStyle w:val="BodyText"/>
        <w:spacing w:after="0" w:line="360" w:lineRule="auto"/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910" w:space="1370"/>
            <w:col w:w="40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pStyle w:val="BodyText"/>
        <w:spacing w:line="360" w:lineRule="auto" w:before="90"/>
        <w:ind w:left="375"/>
        <w:jc w:val="center"/>
      </w:pPr>
      <w:r>
        <w:rPr/>
        <w:t>Carla</w:t>
      </w:r>
      <w:r>
        <w:rPr>
          <w:spacing w:val="-8"/>
        </w:rPr>
        <w:t> </w:t>
      </w:r>
      <w:r>
        <w:rPr/>
        <w:t>Cristina</w:t>
      </w:r>
      <w:r>
        <w:rPr>
          <w:spacing w:val="-8"/>
        </w:rPr>
        <w:t> </w:t>
      </w:r>
      <w:r>
        <w:rPr/>
        <w:t>Correia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Tavares Gestora Previdenciária</w:t>
      </w:r>
    </w:p>
    <w:p>
      <w:pPr>
        <w:pStyle w:val="BodyText"/>
        <w:ind w:left="375" w:right="2"/>
        <w:jc w:val="center"/>
      </w:pPr>
      <w:r>
        <w:rPr>
          <w:spacing w:val="-2"/>
        </w:rPr>
        <w:t>Secretária</w:t>
      </w:r>
    </w:p>
    <w:p>
      <w:pPr>
        <w:pStyle w:val="BodyText"/>
        <w:spacing w:line="360" w:lineRule="auto" w:before="90"/>
        <w:ind w:left="433" w:right="469" w:hanging="16"/>
      </w:pPr>
      <w:r>
        <w:rPr/>
        <w:br w:type="column"/>
      </w:r>
      <w:r>
        <w:rPr/>
        <w:t>Michele Schifller Forster Gestora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Investimentos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360" w:lineRule="auto"/>
        <w:ind w:left="557" w:right="469" w:hanging="144"/>
      </w:pPr>
      <w:r>
        <w:rPr/>
        <w:t>Adriana</w:t>
      </w:r>
      <w:r>
        <w:rPr>
          <w:spacing w:val="-13"/>
        </w:rPr>
        <w:t> </w:t>
      </w:r>
      <w:r>
        <w:rPr/>
        <w:t>Catarina</w:t>
      </w:r>
      <w:r>
        <w:rPr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/>
        <w:t>Costa Gestora Previdenciária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4015" w:space="1319"/>
        <w:col w:w="4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1616710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4" w:right="35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706.967773pt;width:264.850pt;height:31.2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4" w:right="35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1071880</wp:posOffset>
          </wp:positionH>
          <wp:positionV relativeFrom="page">
            <wp:posOffset>604519</wp:posOffset>
          </wp:positionV>
          <wp:extent cx="133858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58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2472689</wp:posOffset>
              </wp:positionH>
              <wp:positionV relativeFrom="page">
                <wp:posOffset>596096</wp:posOffset>
              </wp:positionV>
              <wp:extent cx="347599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59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4.699997pt;margin-top:46.936718pt;width:273.7pt;height:29.25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 w:right="18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2025-05-16T18:41:49Z</dcterms:created>
  <dcterms:modified xsi:type="dcterms:W3CDTF">2025-05-16T18:41:49Z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