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</w:pPr>
    </w:p>
    <w:p>
      <w:pPr>
        <w:pStyle w:val="BodyText"/>
        <w:spacing w:line="360" w:lineRule="auto"/>
        <w:ind w:left="230" w:right="101"/>
        <w:jc w:val="both"/>
      </w:pPr>
      <w:r>
        <w:rPr/>
        <w:t>Ata da sexagésima sexta reunião ordinária do Comitê de Investimentos do Instituto de Previdência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Petrópolis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INPAS.</w:t>
      </w:r>
      <w:r>
        <w:rPr>
          <w:spacing w:val="-4"/>
        </w:rPr>
        <w:t> </w:t>
      </w:r>
      <w:r>
        <w:rPr/>
        <w:t>Aos treze dias do mês de junho do ano de dois mil e dezoito, às dez horas e quinze minutos, no Auditório do</w:t>
      </w:r>
      <w:r>
        <w:rPr>
          <w:spacing w:val="-2"/>
        </w:rPr>
        <w:t> </w:t>
      </w:r>
      <w:r>
        <w:rPr/>
        <w:t>Instituto de</w:t>
      </w:r>
      <w:r>
        <w:rPr>
          <w:spacing w:val="-2"/>
        </w:rPr>
        <w:t> </w:t>
      </w:r>
      <w:r>
        <w:rPr/>
        <w:t>Previdência e</w:t>
      </w:r>
      <w:r>
        <w:rPr>
          <w:spacing w:val="-2"/>
        </w:rPr>
        <w:t> </w:t>
      </w:r>
      <w:r>
        <w:rPr/>
        <w:t>Assistência Social do</w:t>
      </w:r>
      <w:r>
        <w:rPr>
          <w:spacing w:val="-2"/>
        </w:rPr>
        <w:t> </w:t>
      </w:r>
      <w:r>
        <w:rPr/>
        <w:t>Servidor Público do</w:t>
      </w:r>
      <w:r>
        <w:rPr>
          <w:spacing w:val="-2"/>
        </w:rPr>
        <w:t> </w:t>
      </w:r>
      <w:r>
        <w:rPr/>
        <w:t>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Previdenciária, senhora Carla Cristina Correia Maduro Vogas Tavares, secretária deste Comitê; d)-Gestora de Investimentos, senhora Michele Schiffler Forster; e)- Chefe da Divisão de Tesouraria, senhora Claudia Miranda do Nascimento; f)- Gestora Previdenciária, senhora Adriana Catarina da Costa. Registra-se a ausência do Diretor- Presidente, Sr. Fernando Leite Fortes. Com esta composição iniciou-se a referida reunião para atendimento à pauta do dia, que teve a seguinte ordem: 1)- Leitura da ata da 65ª reunião ordinária do Comitê de Investimentos. 2)- Substituição da Secretária do Comitê. 3)- Análise do cenário macroeconômico, bem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expectativas de</w:t>
      </w:r>
      <w:r>
        <w:rPr>
          <w:spacing w:val="-4"/>
        </w:rPr>
        <w:t> </w:t>
      </w:r>
      <w:r>
        <w:rPr/>
        <w:t>mercado. 4)-</w:t>
      </w:r>
      <w:r>
        <w:rPr>
          <w:spacing w:val="-3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fluxo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caixa, considerando as obrigações previdenciárias e administrativas para o mês em curso. 5)- Avaliação dos investimentos que compõem o patrimônio dos diversos segmentos de aplicação. 6)- Proposições de investimentos/desinvestimentos. 7)-Assuntos Gerais. A Presidente do Comitê iniciou a reunião agradecendo a presença de todos. No que se refere à ata da 65ª</w:t>
      </w:r>
      <w:r>
        <w:rPr>
          <w:spacing w:val="40"/>
        </w:rPr>
        <w:t> </w:t>
      </w:r>
      <w:r>
        <w:rPr/>
        <w:t>reunião ordinária, enviada por e-mail a todos os membros do Comitê, não houve retificações, tendo sido integralmente aprovada. Passando para o segundo ponto de pauta, a Presidente indagou se alguém se candidataria a assumir a função de secretariar o Comitê. O único a se manifestar, diante da negativa dos demais, foi o Diretor Financeiro, Sr. Robson Carneiro da Cruz, o qual, a partir da próxima reunião, passará a assumir a referida função de Secretário do Comitê de Investimentos. No terceiro item, a Sra. Michele Schiffler Forster, comentou que</w:t>
      </w:r>
      <w:r>
        <w:rPr>
          <w:spacing w:val="40"/>
        </w:rPr>
        <w:t> </w:t>
      </w:r>
      <w:r>
        <w:rPr/>
        <w:t>“a valorização do dólar perante o real e as consequências da greve dos caminhoneiros trouxeram para o mercado financeiro um nível de volatilidade que lembrou o doloroso 17 de maio de 2017.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quinta-feira</w:t>
      </w:r>
      <w:r>
        <w:rPr>
          <w:spacing w:val="40"/>
        </w:rPr>
        <w:t> </w:t>
      </w:r>
      <w:r>
        <w:rPr/>
        <w:t>passada,</w:t>
      </w:r>
      <w:r>
        <w:rPr>
          <w:spacing w:val="40"/>
        </w:rPr>
        <w:t> </w:t>
      </w:r>
      <w:r>
        <w:rPr/>
        <w:t>dia</w:t>
      </w:r>
      <w:r>
        <w:rPr>
          <w:spacing w:val="40"/>
        </w:rPr>
        <w:t> </w:t>
      </w:r>
      <w:r>
        <w:rPr/>
        <w:t>07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junho,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mais</w:t>
      </w:r>
      <w:r>
        <w:rPr>
          <w:spacing w:val="40"/>
        </w:rPr>
        <w:t> </w:t>
      </w:r>
      <w:r>
        <w:rPr/>
        <w:t>respeitados</w:t>
      </w:r>
      <w:r>
        <w:rPr>
          <w:spacing w:val="40"/>
        </w:rPr>
        <w:t> </w:t>
      </w:r>
      <w:r>
        <w:rPr/>
        <w:t>gestores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país,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1" w:footer="1479" w:top="1880" w:bottom="1660" w:left="1700" w:right="992"/>
          <w:pgNumType w:start="1"/>
        </w:sectPr>
      </w:pPr>
    </w:p>
    <w:p>
      <w:pPr>
        <w:pStyle w:val="BodyText"/>
        <w:spacing w:before="178"/>
      </w:pPr>
    </w:p>
    <w:p>
      <w:pPr>
        <w:pStyle w:val="BodyText"/>
        <w:spacing w:line="360" w:lineRule="auto"/>
        <w:ind w:left="230" w:right="108"/>
        <w:jc w:val="both"/>
      </w:pPr>
      <w:r>
        <w:rPr/>
        <w:t>Rogério Xavier, da </w:t>
      </w:r>
      <w:bookmarkStart w:name="Instituto de Previdência e Assistência S" w:id="1"/>
      <w:bookmarkEnd w:id="1"/>
      <w:r>
        <w:rPr/>
        <w:t>S</w:t>
      </w:r>
      <w:r>
        <w:rPr/>
        <w:t>PX Capital, fez uma análise extremamente pessimista do país. Acredita que o PIB deva crescer apenas 0,8% em 2018; que o dólar pode chegar a R$ 5,30; e que o Banco Central poderá subir os juros rapidamente. Em resposta, o presidente do Banco Central, Ilan</w:t>
      </w:r>
      <w:r>
        <w:rPr>
          <w:spacing w:val="-5"/>
        </w:rPr>
        <w:t> </w:t>
      </w:r>
      <w:r>
        <w:rPr/>
        <w:t>Goldfajn,</w:t>
      </w:r>
      <w:r>
        <w:rPr>
          <w:spacing w:val="-6"/>
        </w:rPr>
        <w:t> </w:t>
      </w:r>
      <w:r>
        <w:rPr/>
        <w:t>fez</w:t>
      </w:r>
      <w:r>
        <w:rPr>
          <w:spacing w:val="-5"/>
        </w:rPr>
        <w:t> </w:t>
      </w:r>
      <w:r>
        <w:rPr/>
        <w:t>pronunciamento</w:t>
      </w:r>
      <w:r>
        <w:rPr>
          <w:spacing w:val="-3"/>
        </w:rPr>
        <w:t> </w:t>
      </w:r>
      <w:r>
        <w:rPr/>
        <w:t>afastando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possibilidade.</w:t>
      </w:r>
      <w:r>
        <w:rPr>
          <w:spacing w:val="-5"/>
        </w:rPr>
        <w:t> </w:t>
      </w:r>
      <w:r>
        <w:rPr/>
        <w:t>Nesse</w:t>
      </w:r>
      <w:r>
        <w:rPr>
          <w:spacing w:val="-6"/>
        </w:rPr>
        <w:t> </w:t>
      </w:r>
      <w:r>
        <w:rPr/>
        <w:t>mesmo</w:t>
      </w:r>
      <w:r>
        <w:rPr>
          <w:spacing w:val="-5"/>
        </w:rPr>
        <w:t> </w:t>
      </w:r>
      <w:r>
        <w:rPr/>
        <w:t>pronunciamento, Ilan mostrou acreditar que ainda é cedo para saber a extensão da atual crise e que a grande preocupação é com a frágil situação fiscal do país. Devido à disparidade na taxa de juros praticada no mercado, o Tesouro Nacional foi obrigado, por mais de uma vez, a suspender as negociações dos títulos públicos e o Banco Central a anunciar intervenção mais intensa no mercado de câmbio. Para o ex-presidente do Banco Central, Armínio Fraga, agora caiu a ficha do mercado. A mudança de humor acabou por expor o quadro atual do país, que é extremamente complicado”. A variação dos índices do mês de</w:t>
      </w:r>
      <w:r>
        <w:rPr>
          <w:spacing w:val="-2"/>
        </w:rPr>
        <w:t> </w:t>
      </w:r>
      <w:r>
        <w:rPr/>
        <w:t>maio de</w:t>
      </w:r>
      <w:r>
        <w:rPr>
          <w:spacing w:val="-2"/>
        </w:rPr>
        <w:t> </w:t>
      </w:r>
      <w:r>
        <w:rPr/>
        <w:t>2018, mais utilizados e/ ou acompanhados por esta</w:t>
      </w:r>
      <w:r>
        <w:rPr>
          <w:spacing w:val="-1"/>
        </w:rPr>
        <w:t> </w:t>
      </w:r>
      <w:r>
        <w:rPr/>
        <w:t>Autarquia, foi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seguinte:</w:t>
      </w:r>
      <w:r>
        <w:rPr>
          <w:spacing w:val="-1"/>
        </w:rPr>
        <w:t> </w:t>
      </w:r>
      <w:r>
        <w:rPr/>
        <w:t>IRFM1:</w:t>
      </w:r>
      <w:r>
        <w:rPr>
          <w:spacing w:val="-1"/>
        </w:rPr>
        <w:t> </w:t>
      </w:r>
      <w:r>
        <w:rPr/>
        <w:t>0,198;</w:t>
      </w:r>
      <w:r>
        <w:rPr>
          <w:spacing w:val="-2"/>
        </w:rPr>
        <w:t> </w:t>
      </w:r>
      <w:r>
        <w:rPr/>
        <w:t>IRFM1+:</w:t>
      </w:r>
      <w:r>
        <w:rPr>
          <w:spacing w:val="-2"/>
        </w:rPr>
        <w:t> </w:t>
      </w:r>
      <w:r>
        <w:rPr/>
        <w:t>-2,623;</w:t>
      </w:r>
      <w:r>
        <w:rPr>
          <w:spacing w:val="40"/>
        </w:rPr>
        <w:t> </w:t>
      </w:r>
      <w:r>
        <w:rPr/>
        <w:t>IRFM:</w:t>
      </w:r>
      <w:r>
        <w:rPr>
          <w:spacing w:val="-1"/>
        </w:rPr>
        <w:t> </w:t>
      </w:r>
      <w:r>
        <w:rPr/>
        <w:t>- 1,853;</w:t>
      </w:r>
      <w:r>
        <w:rPr>
          <w:spacing w:val="62"/>
        </w:rPr>
        <w:t> </w:t>
      </w:r>
      <w:r>
        <w:rPr/>
        <w:t>IMA B 5: -1,577;</w:t>
      </w:r>
      <w:r>
        <w:rPr>
          <w:spacing w:val="80"/>
          <w:w w:val="150"/>
        </w:rPr>
        <w:t> </w:t>
      </w:r>
      <w:r>
        <w:rPr/>
        <w:t>IMA B 5+:</w:t>
      </w:r>
      <w:r>
        <w:rPr>
          <w:spacing w:val="40"/>
        </w:rPr>
        <w:t> </w:t>
      </w:r>
      <w:r>
        <w:rPr/>
        <w:t>-4,653;</w:t>
      </w:r>
      <w:r>
        <w:rPr>
          <w:spacing w:val="40"/>
        </w:rPr>
        <w:t> </w:t>
      </w:r>
      <w:r>
        <w:rPr/>
        <w:t>IMA B: -3,157; IMA Geral: -1,426; CDI:0,518.</w:t>
      </w:r>
    </w:p>
    <w:p>
      <w:pPr>
        <w:pStyle w:val="BodyText"/>
        <w:spacing w:line="360" w:lineRule="auto" w:before="1"/>
        <w:ind w:left="230" w:right="102"/>
        <w:jc w:val="both"/>
      </w:pPr>
      <w:r>
        <w:rPr/>
        <w:t>Na rentabilidade acumulada – 2018, o melhor desempenho foi do CDI, com uma rentabilidade de 2,642, seguido do IRFM1, com 2,519; o IMAB5 com 2,348; o IRFM com 2,322 e o IBOVESPA com 0,46. Na análise do Relatório Focus de oito de junho do corrente ano, ressaltou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IPCA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com expectativa de</w:t>
      </w:r>
      <w:r>
        <w:rPr>
          <w:spacing w:val="-1"/>
        </w:rPr>
        <w:t> </w:t>
      </w:r>
      <w:r>
        <w:rPr/>
        <w:t>alta 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meta da</w:t>
      </w:r>
      <w:r>
        <w:rPr>
          <w:spacing w:val="-1"/>
        </w:rPr>
        <w:t> </w:t>
      </w:r>
      <w:r>
        <w:rPr/>
        <w:t>taxa</w:t>
      </w:r>
      <w:r>
        <w:rPr>
          <w:spacing w:val="-1"/>
        </w:rPr>
        <w:t> </w:t>
      </w:r>
      <w:r>
        <w:rPr/>
        <w:t>SELIC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expectativa de ficar estável. Quanto ao PIB,</w:t>
      </w:r>
      <w:r>
        <w:rPr>
          <w:spacing w:val="40"/>
        </w:rPr>
        <w:t> </w:t>
      </w:r>
      <w:r>
        <w:rPr/>
        <w:t>a expectativa é de queda. Após, apresentou as movimentações financeiras do Instituto referentes ao mês de maio. As aplicações, nesse mês, somaram R$ 960.000,00 e os resgates, R$ 916.000,00. O saldo anterior era de R$ 1.178.250,68. O retorno financeiro foi de R$ 1.323,37 e o percentual de retorno de 0,1320%. O atingimento da meta atuarial no mês foi de 14,86%. Comparando o INPC e o IPCA, o primeiro registrou um acumulado de 1,12% e o segundo, 1,32%. A senhora Michele ainda apresentou o relatório de rentabilidade e risco dos ativos que compõem a carteira do Instituto. O índice VAR, que é a perda máxima num período, e o índice Sharp, que mede o desempenho dos fundos, variaram bastante em</w:t>
      </w:r>
      <w:r>
        <w:rPr>
          <w:spacing w:val="-1"/>
        </w:rPr>
        <w:t> </w:t>
      </w:r>
      <w:r>
        <w:rPr/>
        <w:t>relação ao que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apresentado na</w:t>
      </w:r>
      <w:r>
        <w:rPr>
          <w:spacing w:val="-2"/>
        </w:rPr>
        <w:t> </w:t>
      </w:r>
      <w:r>
        <w:rPr/>
        <w:t>reunião anterior. Os</w:t>
      </w:r>
      <w:r>
        <w:rPr>
          <w:spacing w:val="-1"/>
        </w:rPr>
        <w:t> </w:t>
      </w:r>
      <w:r>
        <w:rPr/>
        <w:t>índices VAR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Sharp foram, respectivamente, os seguintes: IRFM do BB:7,89 e 0,65; IRFM1 da CEF: 1,65 e 0,40; IRFM1 do</w:t>
      </w:r>
      <w:r>
        <w:rPr>
          <w:spacing w:val="55"/>
        </w:rPr>
        <w:t> </w:t>
      </w:r>
      <w:r>
        <w:rPr/>
        <w:t>BB:</w:t>
      </w:r>
      <w:r>
        <w:rPr>
          <w:spacing w:val="55"/>
        </w:rPr>
        <w:t> </w:t>
      </w:r>
      <w:r>
        <w:rPr/>
        <w:t>1,68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/>
        <w:t>0,34;</w:t>
      </w:r>
      <w:r>
        <w:rPr>
          <w:spacing w:val="55"/>
        </w:rPr>
        <w:t> </w:t>
      </w:r>
      <w:r>
        <w:rPr/>
        <w:t>CDI</w:t>
      </w:r>
      <w:r>
        <w:rPr>
          <w:spacing w:val="56"/>
        </w:rPr>
        <w:t> </w:t>
      </w:r>
      <w:r>
        <w:rPr/>
        <w:t>do</w:t>
      </w:r>
      <w:r>
        <w:rPr>
          <w:spacing w:val="54"/>
        </w:rPr>
        <w:t> </w:t>
      </w:r>
      <w:r>
        <w:rPr/>
        <w:t>BB:</w:t>
      </w:r>
      <w:r>
        <w:rPr>
          <w:spacing w:val="55"/>
        </w:rPr>
        <w:t> </w:t>
      </w:r>
      <w:r>
        <w:rPr/>
        <w:t>0,93</w:t>
      </w:r>
      <w:r>
        <w:rPr>
          <w:spacing w:val="56"/>
        </w:rPr>
        <w:t> </w:t>
      </w:r>
      <w:r>
        <w:rPr/>
        <w:t>e</w:t>
      </w:r>
      <w:r>
        <w:rPr>
          <w:spacing w:val="54"/>
        </w:rPr>
        <w:t> </w:t>
      </w:r>
      <w:r>
        <w:rPr/>
        <w:t>0,19;</w:t>
      </w:r>
      <w:r>
        <w:rPr>
          <w:spacing w:val="55"/>
        </w:rPr>
        <w:t> </w:t>
      </w:r>
      <w:r>
        <w:rPr/>
        <w:t>e</w:t>
      </w:r>
      <w:r>
        <w:rPr>
          <w:spacing w:val="55"/>
        </w:rPr>
        <w:t> </w:t>
      </w:r>
      <w:r>
        <w:rPr/>
        <w:t>CDI</w:t>
      </w:r>
      <w:r>
        <w:rPr>
          <w:spacing w:val="54"/>
        </w:rPr>
        <w:t> </w:t>
      </w:r>
      <w:r>
        <w:rPr/>
        <w:t>da</w:t>
      </w:r>
      <w:r>
        <w:rPr>
          <w:spacing w:val="55"/>
        </w:rPr>
        <w:t> </w:t>
      </w:r>
      <w:r>
        <w:rPr/>
        <w:t>CEF:</w:t>
      </w:r>
      <w:r>
        <w:rPr>
          <w:spacing w:val="55"/>
        </w:rPr>
        <w:t> </w:t>
      </w:r>
      <w:r>
        <w:rPr/>
        <w:t>0,98</w:t>
      </w:r>
      <w:r>
        <w:rPr>
          <w:spacing w:val="54"/>
        </w:rPr>
        <w:t> </w:t>
      </w:r>
      <w:r>
        <w:rPr/>
        <w:t>e</w:t>
      </w:r>
      <w:r>
        <w:rPr>
          <w:spacing w:val="56"/>
        </w:rPr>
        <w:t> </w:t>
      </w:r>
      <w:r>
        <w:rPr/>
        <w:t>-0,24.</w:t>
      </w:r>
      <w:r>
        <w:rPr>
          <w:spacing w:val="75"/>
        </w:rPr>
        <w:t> </w:t>
      </w:r>
      <w:r>
        <w:rPr/>
        <w:t>Por</w:t>
      </w:r>
      <w:r>
        <w:rPr>
          <w:spacing w:val="54"/>
        </w:rPr>
        <w:t> </w:t>
      </w:r>
      <w:r>
        <w:rPr/>
        <w:t>fim,</w:t>
      </w:r>
      <w:r>
        <w:rPr>
          <w:spacing w:val="56"/>
        </w:rPr>
        <w:t> </w:t>
      </w:r>
      <w:r>
        <w:rPr>
          <w:spacing w:val="-10"/>
        </w:rPr>
        <w:t>a</w:t>
      </w:r>
    </w:p>
    <w:p>
      <w:pPr>
        <w:pStyle w:val="BodyText"/>
        <w:spacing w:after="0" w:line="360" w:lineRule="auto"/>
        <w:jc w:val="both"/>
        <w:sectPr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before="178"/>
      </w:pPr>
    </w:p>
    <w:p>
      <w:pPr>
        <w:pStyle w:val="BodyText"/>
        <w:spacing w:line="360" w:lineRule="auto"/>
        <w:ind w:left="230" w:right="101"/>
        <w:jc w:val="both"/>
      </w:pPr>
      <w:r>
        <w:rPr/>
        <w:t>recomendação do consultor da empresa Di Blasi Consultoria, foi a seguinte: a) manter, no mínimo, 50% da carteira de investimentos protegida, com aplicação em fundos IRFM1 e CDI; b)- até 30% em fundos IDKA 2, e/ou fundos da família Gestão Estratégica, Alocação Ativa, Alocação Dinâmica, produtos que algumas instituições financeiras de primeiríssima linha disponibilizam; c)- até 20% em fundos da família IMA-B, IMA-B 5, IMA-B 5+, IRF-M e IRF- M 1+. Com relação ao FASSE, o saldo final de maio de 2018 somou R$ 278.998,10, com um total de 282.299,81 de saldo anterior, R$ 2.3000,00 de resgates, e rendimento negativo de R$ 1,001,71. No terceiro item da pauta, foi apresentado o fluxo de caixa pela Chefe da Divisão de Tesouraria. Informou que o saldo na conta previdenciária, em 13/06/18, é de R$ 418.835,88.</w:t>
      </w:r>
      <w:r>
        <w:rPr>
          <w:spacing w:val="40"/>
        </w:rPr>
        <w:t> </w:t>
      </w:r>
      <w:r>
        <w:rPr/>
        <w:t>Na conta administrativa o saldo, em 13/06/18, é de R$ 430.610,18. Analisando os itens 5 e 6, que tratam dos investimentos, a Presidente sugeriu que fossem realizadas aplicações de longo prazo no FASSE. O Comitê entendeu que, no momento, não seria conveniente devido à grande instabilidade do mercado e que, de qualquer forma, as aplicações feitas no IMAB5 e no IRFM já foram feitas justamente para que fiquem em prazo maior. A Presidente então solicitou que possamos fazer uma nova análise no futuro. Ela também solicitou que a gestora de investimentos, numa próxima reunião, informe as datas de início de todas as aplicações realizadas pelo INPAS e também a constituição de cada fundo. No tocante à proposição de investimentos, a gestora Carla sugeriu a abertura do DI. A gestora de investimentos, Michele, informou que, de acordo com o atual cenário, não tem condições de prever o que é melhor: se retirar agora e passar para o DI ou</w:t>
      </w:r>
      <w:r>
        <w:rPr>
          <w:spacing w:val="-1"/>
        </w:rPr>
        <w:t> </w:t>
      </w:r>
      <w:r>
        <w:rPr/>
        <w:t>deixar aplicado e acreditar numa melhora dos investimentos. O Comitê opinou por aguardar a entrada de novos recursos para fazer a aplicação em DI, tendo em vista que não temos valores disponíveis para serem aplicados, e o resgate, neste momento, poderia acarretar prejuízos. O Diretor Financeiro argumentou que até a próxima sexta-feira deverá entrar algum recurso e, sendo efetivado, o Comitê poderá reunir-se extraordinariamente para decidir sobre essa questão, o que foi aceito por todos os presentes. Em assuntos gerais, a gestora</w:t>
      </w:r>
      <w:r>
        <w:rPr>
          <w:spacing w:val="-2"/>
        </w:rPr>
        <w:t> </w:t>
      </w:r>
      <w:r>
        <w:rPr/>
        <w:t>previdenciária,</w:t>
      </w:r>
      <w:r>
        <w:rPr>
          <w:spacing w:val="-1"/>
        </w:rPr>
        <w:t> </w:t>
      </w:r>
      <w:r>
        <w:rPr/>
        <w:t>Adriana,</w:t>
      </w:r>
      <w:r>
        <w:rPr>
          <w:spacing w:val="-1"/>
        </w:rPr>
        <w:t> </w:t>
      </w:r>
      <w:r>
        <w:rPr/>
        <w:t>solicitou que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Comitê</w:t>
      </w:r>
      <w:r>
        <w:rPr>
          <w:spacing w:val="-1"/>
        </w:rPr>
        <w:t> </w:t>
      </w:r>
      <w:r>
        <w:rPr/>
        <w:t>tenha</w:t>
      </w:r>
      <w:r>
        <w:rPr>
          <w:spacing w:val="-1"/>
        </w:rPr>
        <w:t> </w:t>
      </w:r>
      <w:r>
        <w:rPr/>
        <w:t>acesso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contrato pactuado</w:t>
      </w:r>
      <w:r>
        <w:rPr>
          <w:spacing w:val="-1"/>
        </w:rPr>
        <w:t> </w:t>
      </w:r>
      <w:r>
        <w:rPr/>
        <w:t>entre a Prefeitura Municipal e o Banco Santander para saber se nele há alguma previsão sobre aplicações financeiras. O Diretor Financeiro informou que a licitação acabou de ser realizada e</w:t>
      </w:r>
    </w:p>
    <w:p>
      <w:pPr>
        <w:pStyle w:val="BodyText"/>
        <w:spacing w:after="0" w:line="360" w:lineRule="auto"/>
        <w:jc w:val="both"/>
        <w:sectPr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before="178"/>
      </w:pPr>
    </w:p>
    <w:p>
      <w:pPr>
        <w:pStyle w:val="BodyText"/>
        <w:spacing w:line="360" w:lineRule="auto"/>
        <w:ind w:left="230" w:right="100"/>
        <w:jc w:val="both"/>
      </w:pPr>
      <w:r>
        <w:rPr/>
        <w:t>que, no momento oportuno, o Comitê terá conhecimento a respeito desses detalhes através da Comissão que será constituída para acompanhamento do referido contrato. Sem mais, a Presidente encerrou a reunião às onze horas e vinte minutos e a presente Ata segue lavrada por mim, Carla Maduro Vogas Tavares, Secretária deste Comitê, que a</w:t>
      </w:r>
      <w:r>
        <w:rPr>
          <w:spacing w:val="-1"/>
        </w:rPr>
        <w:t> </w:t>
      </w:r>
      <w:r>
        <w:rPr/>
        <w:t>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615" w:right="38" w:firstLine="566"/>
      </w:pPr>
      <w:r>
        <w:rPr/>
        <w:t>Lucimar Glória Gomes Chefe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ind w:left="1796"/>
      </w:pPr>
      <w:r>
        <w:rPr>
          <w:spacing w:val="-2"/>
        </w:rPr>
        <w:t>Presidente</w:t>
      </w:r>
    </w:p>
    <w:p>
      <w:pPr>
        <w:pStyle w:val="BodyText"/>
        <w:spacing w:line="360" w:lineRule="auto" w:before="90"/>
        <w:ind w:left="917" w:right="1205" w:hanging="302"/>
      </w:pPr>
      <w:r>
        <w:rPr/>
        <w:br w:type="column"/>
      </w:r>
      <w:r>
        <w:rPr/>
        <w:t>Robson</w:t>
      </w:r>
      <w:r>
        <w:rPr>
          <w:spacing w:val="-14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Cruz Diretor Financeiro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1" w:footer="1479" w:top="1880" w:bottom="1660" w:left="1700" w:right="992"/>
          <w:cols w:num="2" w:equalWidth="0">
            <w:col w:w="4010" w:space="1270"/>
            <w:col w:w="42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475"/>
        <w:jc w:val="center"/>
      </w:pPr>
      <w:r>
        <w:rPr/>
        <w:t>Carla</w:t>
      </w:r>
      <w:r>
        <w:rPr>
          <w:spacing w:val="-8"/>
        </w:rPr>
        <w:t> </w:t>
      </w:r>
      <w:r>
        <w:rPr/>
        <w:t>Cristina</w:t>
      </w:r>
      <w:r>
        <w:rPr>
          <w:spacing w:val="-8"/>
        </w:rPr>
        <w:t> </w:t>
      </w:r>
      <w:r>
        <w:rPr/>
        <w:t>Correia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Tavares Gestora Previdenciária</w:t>
      </w:r>
    </w:p>
    <w:p>
      <w:pPr>
        <w:pStyle w:val="BodyText"/>
        <w:ind w:left="475" w:right="2"/>
        <w:jc w:val="center"/>
      </w:pPr>
      <w:r>
        <w:rPr>
          <w:spacing w:val="-2"/>
        </w:rPr>
        <w:t>Secretária</w:t>
      </w:r>
    </w:p>
    <w:p>
      <w:pPr>
        <w:pStyle w:val="BodyText"/>
        <w:spacing w:line="360" w:lineRule="auto" w:before="90"/>
        <w:ind w:left="529" w:right="1242" w:hanging="16"/>
      </w:pPr>
      <w:r>
        <w:rPr/>
        <w:br w:type="column"/>
      </w:r>
      <w:r>
        <w:rPr/>
        <w:t>Michele Schifller Forster Gestora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Investimentos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1" w:footer="1479" w:top="1880" w:bottom="1660" w:left="1700" w:right="992"/>
          <w:cols w:num="2" w:equalWidth="0">
            <w:col w:w="4115" w:space="1223"/>
            <w:col w:w="42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776" w:right="38" w:hanging="44"/>
      </w:pP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</w:t>
      </w:r>
      <w:r>
        <w:rPr>
          <w:spacing w:val="-1"/>
        </w:rPr>
        <w:t> </w:t>
      </w:r>
      <w:r>
        <w:rPr/>
        <w:t>Divisão de Tesouraria</w:t>
      </w:r>
    </w:p>
    <w:p>
      <w:pPr>
        <w:pStyle w:val="BodyText"/>
        <w:spacing w:line="360" w:lineRule="auto" w:before="90"/>
        <w:ind w:left="876" w:right="1190" w:hanging="144"/>
      </w:pPr>
      <w:r>
        <w:rPr/>
        <w:br w:type="column"/>
      </w:r>
      <w:r>
        <w:rPr/>
        <w:t>Adriana</w:t>
      </w:r>
      <w:r>
        <w:rPr>
          <w:spacing w:val="-13"/>
        </w:rPr>
        <w:t> </w:t>
      </w:r>
      <w:r>
        <w:rPr/>
        <w:t>Catarina</w:t>
      </w:r>
      <w:r>
        <w:rPr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/>
        <w:t>Costa Gestora Previdenciária</w:t>
      </w:r>
    </w:p>
    <w:sectPr>
      <w:type w:val="continuous"/>
      <w:pgSz w:w="12240" w:h="15840"/>
      <w:pgMar w:header="951" w:footer="1479" w:top="1880" w:bottom="1660" w:left="1700" w:right="992"/>
      <w:cols w:num="2" w:equalWidth="0">
        <w:col w:w="3894" w:space="1192"/>
        <w:col w:w="44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1615439</wp:posOffset>
              </wp:positionH>
              <wp:positionV relativeFrom="page">
                <wp:posOffset>8979404</wp:posOffset>
              </wp:positionV>
              <wp:extent cx="336486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486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6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199997pt;margin-top:707.039734pt;width:264.95pt;height:31.2pt;mso-position-horizontal-relative:page;mso-position-vertical-relative:page;z-index:-1577113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6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1073150</wp:posOffset>
          </wp:positionH>
          <wp:positionV relativeFrom="page">
            <wp:posOffset>604164</wp:posOffset>
          </wp:positionV>
          <wp:extent cx="1338580" cy="5054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580" cy="505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2472689</wp:posOffset>
              </wp:positionH>
              <wp:positionV relativeFrom="page">
                <wp:posOffset>597010</wp:posOffset>
              </wp:positionV>
              <wp:extent cx="347599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59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699997pt;margin-top:47.008705pt;width:273.7pt;height:29.25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 w:right="1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2025-05-16T18:41:50Z</dcterms:created>
  <dcterms:modified xsi:type="dcterms:W3CDTF">2025-05-16T18:41:50Z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