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64"/>
        </w:rPr>
      </w:pPr>
    </w:p>
    <w:p>
      <w:pPr>
        <w:pStyle w:val="BodyText"/>
        <w:rPr>
          <w:rFonts w:ascii="Times New Roman"/>
          <w:sz w:val="64"/>
        </w:rPr>
      </w:pPr>
    </w:p>
    <w:p>
      <w:pPr>
        <w:pStyle w:val="BodyText"/>
        <w:rPr>
          <w:rFonts w:ascii="Times New Roman"/>
          <w:sz w:val="64"/>
        </w:rPr>
      </w:pPr>
    </w:p>
    <w:p>
      <w:pPr>
        <w:pStyle w:val="BodyText"/>
        <w:rPr>
          <w:rFonts w:ascii="Times New Roman"/>
          <w:sz w:val="64"/>
        </w:rPr>
      </w:pPr>
    </w:p>
    <w:p>
      <w:pPr>
        <w:pStyle w:val="BodyText"/>
        <w:rPr>
          <w:rFonts w:ascii="Times New Roman"/>
          <w:sz w:val="64"/>
        </w:rPr>
      </w:pPr>
    </w:p>
    <w:p>
      <w:pPr>
        <w:pStyle w:val="BodyText"/>
        <w:rPr>
          <w:rFonts w:ascii="Times New Roman"/>
          <w:sz w:val="64"/>
        </w:rPr>
      </w:pPr>
    </w:p>
    <w:p>
      <w:pPr>
        <w:pStyle w:val="BodyText"/>
        <w:rPr>
          <w:rFonts w:ascii="Times New Roman"/>
          <w:sz w:val="64"/>
        </w:rPr>
      </w:pPr>
    </w:p>
    <w:p>
      <w:pPr>
        <w:pStyle w:val="BodyText"/>
        <w:rPr>
          <w:rFonts w:ascii="Times New Roman"/>
          <w:sz w:val="64"/>
        </w:rPr>
      </w:pPr>
    </w:p>
    <w:p>
      <w:pPr>
        <w:pStyle w:val="BodyText"/>
        <w:rPr>
          <w:rFonts w:ascii="Times New Roman"/>
          <w:sz w:val="64"/>
        </w:rPr>
      </w:pPr>
    </w:p>
    <w:p>
      <w:pPr>
        <w:pStyle w:val="BodyText"/>
        <w:rPr>
          <w:rFonts w:ascii="Times New Roman"/>
          <w:sz w:val="64"/>
        </w:rPr>
      </w:pPr>
    </w:p>
    <w:p>
      <w:pPr>
        <w:pStyle w:val="BodyText"/>
        <w:rPr>
          <w:rFonts w:ascii="Times New Roman"/>
          <w:sz w:val="64"/>
        </w:rPr>
      </w:pPr>
    </w:p>
    <w:p>
      <w:pPr>
        <w:pStyle w:val="BodyText"/>
        <w:spacing w:before="233"/>
        <w:rPr>
          <w:rFonts w:ascii="Times New Roman"/>
          <w:sz w:val="64"/>
        </w:rPr>
      </w:pPr>
    </w:p>
    <w:p>
      <w:pPr>
        <w:pStyle w:val="Title"/>
      </w:pPr>
      <w:r>
        <w:rPr>
          <w:color w:val="0D0E0E"/>
        </w:rPr>
        <w:t>PANORAMA</w:t>
      </w:r>
      <w:r>
        <w:rPr>
          <w:color w:val="0D0E0E"/>
          <w:spacing w:val="-6"/>
        </w:rPr>
        <w:t> </w:t>
      </w:r>
      <w:r>
        <w:rPr>
          <w:color w:val="0D0E0E"/>
          <w:spacing w:val="-2"/>
        </w:rPr>
        <w:t>ECONÔMICO</w:t>
      </w:r>
    </w:p>
    <w:p>
      <w:pPr>
        <w:spacing w:before="316"/>
        <w:ind w:left="3150" w:right="0" w:firstLine="0"/>
        <w:jc w:val="left"/>
        <w:rPr>
          <w:sz w:val="56"/>
        </w:rPr>
      </w:pPr>
      <w:r>
        <w:rPr>
          <w:color w:val="0D0E0E"/>
          <w:sz w:val="56"/>
        </w:rPr>
        <w:t>AGOSTO</w:t>
      </w:r>
      <w:r>
        <w:rPr>
          <w:color w:val="0D0E0E"/>
          <w:spacing w:val="-24"/>
          <w:sz w:val="56"/>
        </w:rPr>
        <w:t> </w:t>
      </w:r>
      <w:r>
        <w:rPr>
          <w:color w:val="0D0E0E"/>
          <w:spacing w:val="-4"/>
          <w:sz w:val="56"/>
        </w:rPr>
        <w:t>2023</w:t>
      </w:r>
    </w:p>
    <w:p>
      <w:pPr>
        <w:spacing w:after="0"/>
        <w:jc w:val="left"/>
        <w:rPr>
          <w:sz w:val="56"/>
        </w:rPr>
        <w:sectPr>
          <w:type w:val="continuous"/>
          <w:pgSz w:w="11920" w:h="16850"/>
          <w:pgMar w:top="1940" w:bottom="280" w:left="1559" w:right="141"/>
        </w:sectPr>
      </w:pPr>
    </w:p>
    <w:p>
      <w:pPr>
        <w:spacing w:line="487" w:lineRule="exact" w:before="0"/>
        <w:ind w:left="762" w:right="0" w:firstLine="0"/>
        <w:jc w:val="left"/>
        <w:rPr>
          <w:b/>
          <w:sz w:val="40"/>
        </w:rPr>
      </w:pPr>
      <w:r>
        <w:rPr>
          <w:b/>
          <w:spacing w:val="-2"/>
          <w:sz w:val="40"/>
        </w:rPr>
        <w:t>INTERNACIONAL</w:t>
      </w:r>
    </w:p>
    <w:p>
      <w:pPr>
        <w:pStyle w:val="BodyText"/>
        <w:spacing w:before="164"/>
        <w:rPr>
          <w:b/>
          <w:sz w:val="40"/>
        </w:rPr>
      </w:pPr>
    </w:p>
    <w:p>
      <w:pPr>
        <w:pStyle w:val="Heading1"/>
        <w:spacing w:before="1"/>
      </w:pPr>
      <w:r>
        <w:rPr/>
        <w:t>Estados</w:t>
      </w:r>
      <w:r>
        <w:rPr>
          <w:spacing w:val="-3"/>
        </w:rPr>
        <w:t> </w:t>
      </w:r>
      <w:r>
        <w:rPr>
          <w:spacing w:val="-2"/>
        </w:rPr>
        <w:t>Unidos</w:t>
      </w:r>
    </w:p>
    <w:p>
      <w:pPr>
        <w:pStyle w:val="Heading2"/>
        <w:spacing w:before="241"/>
      </w:pPr>
      <w:r>
        <w:rPr>
          <w:spacing w:val="-2"/>
        </w:rPr>
        <w:t>Inflação</w:t>
      </w:r>
    </w:p>
    <w:p>
      <w:pPr>
        <w:pStyle w:val="BodyText"/>
        <w:spacing w:before="239"/>
        <w:ind w:left="42" w:right="1252" w:firstLine="707"/>
        <w:jc w:val="both"/>
      </w:pPr>
      <w:r>
        <w:rPr>
          <w:color w:val="0D0E0E"/>
        </w:rPr>
        <w:t>Um dos dados referentes ao mês de agosto de 2023 mais aguardados da economia mundial foi divulgado recentemente na segunda semana do mês de setembro de 2023, o CPI</w:t>
      </w:r>
      <w:r>
        <w:rPr>
          <w:color w:val="0D0E0E"/>
          <w:spacing w:val="-6"/>
        </w:rPr>
        <w:t> </w:t>
      </w:r>
      <w:r>
        <w:rPr>
          <w:color w:val="0D0E0E"/>
        </w:rPr>
        <w:t>(Consumer</w:t>
      </w:r>
      <w:r>
        <w:rPr>
          <w:color w:val="0D0E0E"/>
          <w:spacing w:val="-8"/>
        </w:rPr>
        <w:t> </w:t>
      </w:r>
      <w:r>
        <w:rPr>
          <w:color w:val="0D0E0E"/>
        </w:rPr>
        <w:t>Price</w:t>
      </w:r>
      <w:r>
        <w:rPr>
          <w:color w:val="0D0E0E"/>
          <w:spacing w:val="-6"/>
        </w:rPr>
        <w:t> </w:t>
      </w:r>
      <w:r>
        <w:rPr>
          <w:color w:val="0D0E0E"/>
        </w:rPr>
        <w:t>Index).</w:t>
      </w:r>
      <w:r>
        <w:rPr>
          <w:color w:val="0D0E0E"/>
          <w:spacing w:val="-7"/>
        </w:rPr>
        <w:t> </w:t>
      </w:r>
      <w:r>
        <w:rPr>
          <w:color w:val="0D0E0E"/>
        </w:rPr>
        <w:t>Este</w:t>
      </w:r>
      <w:r>
        <w:rPr>
          <w:color w:val="0D0E0E"/>
          <w:spacing w:val="-6"/>
        </w:rPr>
        <w:t> </w:t>
      </w:r>
      <w:r>
        <w:rPr>
          <w:color w:val="0D0E0E"/>
        </w:rPr>
        <w:t>indicador</w:t>
      </w:r>
      <w:r>
        <w:rPr>
          <w:color w:val="0D0E0E"/>
          <w:spacing w:val="-7"/>
        </w:rPr>
        <w:t> </w:t>
      </w:r>
      <w:r>
        <w:rPr>
          <w:color w:val="0D0E0E"/>
        </w:rPr>
        <w:t>sempre</w:t>
      </w:r>
      <w:r>
        <w:rPr>
          <w:color w:val="0D0E0E"/>
          <w:spacing w:val="-9"/>
        </w:rPr>
        <w:t> </w:t>
      </w:r>
      <w:r>
        <w:rPr>
          <w:color w:val="0D0E0E"/>
        </w:rPr>
        <w:t>cumpre</w:t>
      </w:r>
      <w:r>
        <w:rPr>
          <w:color w:val="0D0E0E"/>
          <w:spacing w:val="-8"/>
        </w:rPr>
        <w:t> </w:t>
      </w:r>
      <w:r>
        <w:rPr>
          <w:color w:val="0D0E0E"/>
        </w:rPr>
        <w:t>um</w:t>
      </w:r>
      <w:r>
        <w:rPr>
          <w:color w:val="0D0E0E"/>
          <w:spacing w:val="-8"/>
        </w:rPr>
        <w:t> </w:t>
      </w:r>
      <w:r>
        <w:rPr>
          <w:color w:val="0D0E0E"/>
        </w:rPr>
        <w:t>papel</w:t>
      </w:r>
      <w:r>
        <w:rPr>
          <w:color w:val="0D0E0E"/>
          <w:spacing w:val="-8"/>
        </w:rPr>
        <w:t> </w:t>
      </w:r>
      <w:r>
        <w:rPr>
          <w:color w:val="0D0E0E"/>
        </w:rPr>
        <w:t>muito</w:t>
      </w:r>
      <w:r>
        <w:rPr>
          <w:color w:val="0D0E0E"/>
          <w:spacing w:val="-11"/>
        </w:rPr>
        <w:t> </w:t>
      </w:r>
      <w:r>
        <w:rPr>
          <w:color w:val="0D0E0E"/>
        </w:rPr>
        <w:t>importante</w:t>
      </w:r>
      <w:r>
        <w:rPr>
          <w:color w:val="0D0E0E"/>
          <w:spacing w:val="-8"/>
        </w:rPr>
        <w:t> </w:t>
      </w:r>
      <w:r>
        <w:rPr>
          <w:color w:val="0D0E0E"/>
        </w:rPr>
        <w:t>para as decisões de política monetária do banco central americano, e nos últimos meses esse papel ganhou ainda mais notoriedade.</w:t>
      </w:r>
    </w:p>
    <w:p>
      <w:pPr>
        <w:pStyle w:val="BodyText"/>
        <w:spacing w:before="239"/>
        <w:ind w:left="42" w:right="1261" w:firstLine="707"/>
        <w:jc w:val="both"/>
      </w:pPr>
      <w:r>
        <w:rPr>
          <w:color w:val="0D0E0E"/>
        </w:rPr>
        <w:t>Em especial, esse dado de agosto se mostra como ainda mais sensível, pois é uma das principais métricas a serem observadas pelo FOMC (comitê de política monetária americana) para a tomada de decisão de manutenção ou aumento da taxa básica de juros nos dias 19 e 20 de setembro.</w:t>
      </w:r>
    </w:p>
    <w:p>
      <w:pPr>
        <w:pStyle w:val="BodyText"/>
        <w:spacing w:before="242"/>
        <w:ind w:left="42" w:right="1258" w:firstLine="707"/>
        <w:jc w:val="both"/>
      </w:pPr>
      <w:r>
        <w:rPr>
          <w:color w:val="0D0E0E"/>
        </w:rPr>
        <w:t>No mês de agosto, o CPI apresentou uma aceleração esperada de 0,6% no mês de agosto,</w:t>
      </w:r>
      <w:r>
        <w:rPr>
          <w:color w:val="0D0E0E"/>
          <w:spacing w:val="-1"/>
        </w:rPr>
        <w:t> </w:t>
      </w:r>
      <w:r>
        <w:rPr>
          <w:color w:val="0D0E0E"/>
        </w:rPr>
        <w:t>e</w:t>
      </w:r>
      <w:r>
        <w:rPr>
          <w:color w:val="0D0E0E"/>
          <w:spacing w:val="-1"/>
        </w:rPr>
        <w:t> </w:t>
      </w:r>
      <w:r>
        <w:rPr>
          <w:color w:val="0D0E0E"/>
        </w:rPr>
        <w:t>de 3,7% na</w:t>
      </w:r>
      <w:r>
        <w:rPr>
          <w:color w:val="0D0E0E"/>
          <w:spacing w:val="-2"/>
        </w:rPr>
        <w:t> </w:t>
      </w:r>
      <w:r>
        <w:rPr>
          <w:color w:val="0D0E0E"/>
        </w:rPr>
        <w:t>janela de 12 meses. No</w:t>
      </w:r>
      <w:r>
        <w:rPr>
          <w:color w:val="0D0E0E"/>
          <w:spacing w:val="-1"/>
        </w:rPr>
        <w:t> </w:t>
      </w:r>
      <w:r>
        <w:rPr>
          <w:color w:val="0D0E0E"/>
        </w:rPr>
        <w:t>mês</w:t>
      </w:r>
      <w:r>
        <w:rPr>
          <w:color w:val="0D0E0E"/>
          <w:spacing w:val="-1"/>
        </w:rPr>
        <w:t> </w:t>
      </w:r>
      <w:r>
        <w:rPr>
          <w:color w:val="0D0E0E"/>
        </w:rPr>
        <w:t>anterior,</w:t>
      </w:r>
      <w:r>
        <w:rPr>
          <w:color w:val="0D0E0E"/>
          <w:spacing w:val="-2"/>
        </w:rPr>
        <w:t> </w:t>
      </w:r>
      <w:r>
        <w:rPr>
          <w:color w:val="0D0E0E"/>
        </w:rPr>
        <w:t>os</w:t>
      </w:r>
      <w:r>
        <w:rPr>
          <w:color w:val="0D0E0E"/>
          <w:spacing w:val="-1"/>
        </w:rPr>
        <w:t> </w:t>
      </w:r>
      <w:r>
        <w:rPr>
          <w:color w:val="0D0E0E"/>
        </w:rPr>
        <w:t>números</w:t>
      </w:r>
      <w:r>
        <w:rPr>
          <w:color w:val="0D0E0E"/>
          <w:spacing w:val="-1"/>
        </w:rPr>
        <w:t> </w:t>
      </w:r>
      <w:r>
        <w:rPr>
          <w:color w:val="0D0E0E"/>
        </w:rPr>
        <w:t>ficaram em</w:t>
      </w:r>
      <w:r>
        <w:rPr>
          <w:color w:val="0D0E0E"/>
          <w:spacing w:val="-1"/>
        </w:rPr>
        <w:t> </w:t>
      </w:r>
      <w:r>
        <w:rPr>
          <w:color w:val="0D0E0E"/>
        </w:rPr>
        <w:t>0,2%</w:t>
      </w:r>
      <w:r>
        <w:rPr>
          <w:color w:val="0D0E0E"/>
          <w:spacing w:val="-1"/>
        </w:rPr>
        <w:t> </w:t>
      </w:r>
      <w:r>
        <w:rPr>
          <w:color w:val="0D0E0E"/>
        </w:rPr>
        <w:t>no mês e 3,2% em 12 meses.</w:t>
      </w:r>
    </w:p>
    <w:p>
      <w:pPr>
        <w:pStyle w:val="BodyText"/>
        <w:spacing w:before="240"/>
        <w:ind w:left="704" w:right="1211"/>
        <w:jc w:val="center"/>
      </w:pPr>
      <w:r>
        <w:rPr>
          <w:color w:val="0D0E0E"/>
        </w:rPr>
        <w:t>CPI</w:t>
      </w:r>
      <w:r>
        <w:rPr>
          <w:color w:val="0D0E0E"/>
          <w:spacing w:val="-2"/>
        </w:rPr>
        <w:t> </w:t>
      </w:r>
      <w:r>
        <w:rPr>
          <w:color w:val="0D0E0E"/>
        </w:rPr>
        <w:t>-</w:t>
      </w:r>
      <w:r>
        <w:rPr>
          <w:color w:val="0D0E0E"/>
          <w:spacing w:val="-1"/>
        </w:rPr>
        <w:t> </w:t>
      </w:r>
      <w:r>
        <w:rPr>
          <w:color w:val="0D0E0E"/>
        </w:rPr>
        <w:t>Estados</w:t>
      </w:r>
      <w:r>
        <w:rPr>
          <w:color w:val="0D0E0E"/>
          <w:spacing w:val="-3"/>
        </w:rPr>
        <w:t> </w:t>
      </w:r>
      <w:r>
        <w:rPr>
          <w:color w:val="0D0E0E"/>
          <w:spacing w:val="-2"/>
        </w:rPr>
        <w:t>Unidos:</w:t>
      </w:r>
    </w:p>
    <w:p>
      <w:pPr>
        <w:pStyle w:val="BodyText"/>
        <w:spacing w:before="4"/>
        <w:rPr>
          <w:sz w:val="5"/>
        </w:rPr>
      </w:pPr>
      <w:r>
        <w:rPr>
          <w:sz w:val="5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1016000</wp:posOffset>
            </wp:positionH>
            <wp:positionV relativeFrom="paragraph">
              <wp:posOffset>56584</wp:posOffset>
            </wp:positionV>
            <wp:extent cx="5377866" cy="2394870"/>
            <wp:effectExtent l="0" t="0" r="0" b="0"/>
            <wp:wrapTopAndBottom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7866" cy="2394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5"/>
        <w:ind w:left="750"/>
      </w:pPr>
      <w:r>
        <w:rPr>
          <w:color w:val="0D0E0E"/>
          <w:spacing w:val="-2"/>
        </w:rPr>
        <w:t>Fonte:</w:t>
      </w:r>
      <w:r>
        <w:rPr>
          <w:color w:val="0D0E0E"/>
          <w:spacing w:val="55"/>
          <w:w w:val="150"/>
        </w:rPr>
        <w:t> </w:t>
      </w:r>
      <w:r>
        <w:rPr>
          <w:color w:val="0D0E0E"/>
          <w:spacing w:val="-2"/>
        </w:rPr>
        <w:t>https://tradingeconomics.com/united-states/inflation-</w:t>
      </w:r>
      <w:r>
        <w:rPr>
          <w:color w:val="0D0E0E"/>
          <w:spacing w:val="-5"/>
        </w:rPr>
        <w:t>cpi</w:t>
      </w:r>
    </w:p>
    <w:p>
      <w:pPr>
        <w:pStyle w:val="BodyText"/>
        <w:spacing w:before="241"/>
        <w:ind w:left="42" w:right="1254" w:firstLine="707"/>
        <w:jc w:val="both"/>
      </w:pPr>
      <w:r>
        <w:rPr>
          <w:color w:val="0D0E0E"/>
        </w:rPr>
        <w:t>Apesar dessa leve alta, a trajetória da inflação americana vem convergindo para a meta buscada pelas autoridades estatais americanas, principalmente para o que tange de política</w:t>
      </w:r>
      <w:r>
        <w:rPr>
          <w:color w:val="0D0E0E"/>
          <w:spacing w:val="-8"/>
        </w:rPr>
        <w:t> </w:t>
      </w:r>
      <w:r>
        <w:rPr>
          <w:color w:val="0D0E0E"/>
        </w:rPr>
        <w:t>monetária.</w:t>
      </w:r>
      <w:r>
        <w:rPr>
          <w:color w:val="0D0E0E"/>
          <w:spacing w:val="-8"/>
        </w:rPr>
        <w:t> </w:t>
      </w:r>
      <w:r>
        <w:rPr>
          <w:color w:val="0D0E0E"/>
        </w:rPr>
        <w:t>Após</w:t>
      </w:r>
      <w:r>
        <w:rPr>
          <w:color w:val="0D0E0E"/>
          <w:spacing w:val="-10"/>
        </w:rPr>
        <w:t> </w:t>
      </w:r>
      <w:r>
        <w:rPr>
          <w:color w:val="0D0E0E"/>
        </w:rPr>
        <w:t>o</w:t>
      </w:r>
      <w:r>
        <w:rPr>
          <w:color w:val="0D0E0E"/>
          <w:spacing w:val="-7"/>
        </w:rPr>
        <w:t> </w:t>
      </w:r>
      <w:r>
        <w:rPr>
          <w:color w:val="0D0E0E"/>
        </w:rPr>
        <w:t>CPI</w:t>
      </w:r>
      <w:r>
        <w:rPr>
          <w:color w:val="0D0E0E"/>
          <w:spacing w:val="-7"/>
        </w:rPr>
        <w:t> </w:t>
      </w:r>
      <w:r>
        <w:rPr>
          <w:color w:val="0D0E0E"/>
        </w:rPr>
        <w:t>atingir</w:t>
      </w:r>
      <w:r>
        <w:rPr>
          <w:color w:val="0D0E0E"/>
          <w:spacing w:val="-10"/>
        </w:rPr>
        <w:t> </w:t>
      </w:r>
      <w:r>
        <w:rPr>
          <w:color w:val="0D0E0E"/>
        </w:rPr>
        <w:t>3%</w:t>
      </w:r>
      <w:r>
        <w:rPr>
          <w:color w:val="0D0E0E"/>
          <w:spacing w:val="-8"/>
        </w:rPr>
        <w:t> </w:t>
      </w:r>
      <w:r>
        <w:rPr>
          <w:color w:val="0D0E0E"/>
        </w:rPr>
        <w:t>a/a</w:t>
      </w:r>
      <w:r>
        <w:rPr>
          <w:color w:val="0D0E0E"/>
          <w:spacing w:val="-8"/>
        </w:rPr>
        <w:t> </w:t>
      </w:r>
      <w:r>
        <w:rPr>
          <w:color w:val="0D0E0E"/>
        </w:rPr>
        <w:t>em</w:t>
      </w:r>
      <w:r>
        <w:rPr>
          <w:color w:val="0D0E0E"/>
          <w:spacing w:val="-9"/>
        </w:rPr>
        <w:t> </w:t>
      </w:r>
      <w:r>
        <w:rPr>
          <w:color w:val="0D0E0E"/>
        </w:rPr>
        <w:t>junho,</w:t>
      </w:r>
      <w:r>
        <w:rPr>
          <w:color w:val="0D0E0E"/>
          <w:spacing w:val="-7"/>
        </w:rPr>
        <w:t> </w:t>
      </w:r>
      <w:r>
        <w:rPr>
          <w:color w:val="0D0E0E"/>
        </w:rPr>
        <w:t>o</w:t>
      </w:r>
      <w:r>
        <w:rPr>
          <w:color w:val="0D0E0E"/>
          <w:spacing w:val="-10"/>
        </w:rPr>
        <w:t> </w:t>
      </w:r>
      <w:r>
        <w:rPr>
          <w:color w:val="0D0E0E"/>
        </w:rPr>
        <w:t>dado</w:t>
      </w:r>
      <w:r>
        <w:rPr>
          <w:color w:val="0D0E0E"/>
          <w:spacing w:val="-10"/>
        </w:rPr>
        <w:t> </w:t>
      </w:r>
      <w:r>
        <w:rPr>
          <w:color w:val="0D0E0E"/>
        </w:rPr>
        <w:t>permaneceu</w:t>
      </w:r>
      <w:r>
        <w:rPr>
          <w:color w:val="0D0E0E"/>
          <w:spacing w:val="-7"/>
        </w:rPr>
        <w:t> </w:t>
      </w:r>
      <w:r>
        <w:rPr>
          <w:color w:val="0D0E0E"/>
        </w:rPr>
        <w:t>na</w:t>
      </w:r>
      <w:r>
        <w:rPr>
          <w:color w:val="0D0E0E"/>
          <w:spacing w:val="-8"/>
        </w:rPr>
        <w:t> </w:t>
      </w:r>
      <w:r>
        <w:rPr>
          <w:color w:val="0D0E0E"/>
        </w:rPr>
        <w:t>casa</w:t>
      </w:r>
      <w:r>
        <w:rPr>
          <w:color w:val="0D0E0E"/>
          <w:spacing w:val="-8"/>
        </w:rPr>
        <w:t> </w:t>
      </w:r>
      <w:r>
        <w:rPr>
          <w:color w:val="0D0E0E"/>
        </w:rPr>
        <w:t>dos</w:t>
      </w:r>
      <w:r>
        <w:rPr>
          <w:color w:val="0D0E0E"/>
          <w:spacing w:val="-7"/>
        </w:rPr>
        <w:t> </w:t>
      </w:r>
      <w:r>
        <w:rPr>
          <w:color w:val="0D0E0E"/>
        </w:rPr>
        <w:t>“3% baixos”, porém ganhou um leve impulso no mês de agosto.</w:t>
      </w:r>
    </w:p>
    <w:p>
      <w:pPr>
        <w:pStyle w:val="BodyText"/>
        <w:spacing w:before="241"/>
        <w:ind w:left="42" w:right="1253" w:firstLine="707"/>
        <w:jc w:val="both"/>
      </w:pPr>
      <w:r>
        <w:rPr>
          <w:color w:val="0D0E0E"/>
        </w:rPr>
        <w:t>Ao longo do ano de 2023, alguns países membros da OPEP (Organização de Países Exportadores de Petróleo) anunciaram uma série de reduções na produção de barris de petróleo</w:t>
      </w:r>
      <w:r>
        <w:rPr>
          <w:color w:val="0D0E0E"/>
          <w:spacing w:val="-6"/>
        </w:rPr>
        <w:t> </w:t>
      </w:r>
      <w:r>
        <w:rPr>
          <w:color w:val="0D0E0E"/>
        </w:rPr>
        <w:t>ao</w:t>
      </w:r>
      <w:r>
        <w:rPr>
          <w:color w:val="0D0E0E"/>
          <w:spacing w:val="-5"/>
        </w:rPr>
        <w:t> </w:t>
      </w:r>
      <w:r>
        <w:rPr>
          <w:color w:val="0D0E0E"/>
        </w:rPr>
        <w:t>redor</w:t>
      </w:r>
      <w:r>
        <w:rPr>
          <w:color w:val="0D0E0E"/>
          <w:spacing w:val="-8"/>
        </w:rPr>
        <w:t> </w:t>
      </w:r>
      <w:r>
        <w:rPr>
          <w:color w:val="0D0E0E"/>
        </w:rPr>
        <w:t>do</w:t>
      </w:r>
      <w:r>
        <w:rPr>
          <w:color w:val="0D0E0E"/>
          <w:spacing w:val="-6"/>
        </w:rPr>
        <w:t> </w:t>
      </w:r>
      <w:r>
        <w:rPr>
          <w:color w:val="0D0E0E"/>
        </w:rPr>
        <w:t>mundo,</w:t>
      </w:r>
      <w:r>
        <w:rPr>
          <w:color w:val="0D0E0E"/>
          <w:spacing w:val="-6"/>
        </w:rPr>
        <w:t> </w:t>
      </w:r>
      <w:r>
        <w:rPr>
          <w:color w:val="0D0E0E"/>
        </w:rPr>
        <w:t>essa</w:t>
      </w:r>
      <w:r>
        <w:rPr>
          <w:color w:val="0D0E0E"/>
          <w:spacing w:val="-6"/>
        </w:rPr>
        <w:t> </w:t>
      </w:r>
      <w:r>
        <w:rPr>
          <w:color w:val="0D0E0E"/>
        </w:rPr>
        <w:t>evolução</w:t>
      </w:r>
      <w:r>
        <w:rPr>
          <w:color w:val="0D0E0E"/>
          <w:spacing w:val="-5"/>
        </w:rPr>
        <w:t> </w:t>
      </w:r>
      <w:r>
        <w:rPr>
          <w:color w:val="0D0E0E"/>
        </w:rPr>
        <w:t>no</w:t>
      </w:r>
      <w:r>
        <w:rPr>
          <w:color w:val="0D0E0E"/>
          <w:spacing w:val="-6"/>
        </w:rPr>
        <w:t> </w:t>
      </w:r>
      <w:r>
        <w:rPr>
          <w:color w:val="0D0E0E"/>
        </w:rPr>
        <w:t>corte</w:t>
      </w:r>
      <w:r>
        <w:rPr>
          <w:color w:val="0D0E0E"/>
          <w:spacing w:val="-6"/>
        </w:rPr>
        <w:t> </w:t>
      </w:r>
      <w:r>
        <w:rPr>
          <w:color w:val="0D0E0E"/>
        </w:rPr>
        <w:t>da</w:t>
      </w:r>
      <w:r>
        <w:rPr>
          <w:color w:val="0D0E0E"/>
          <w:spacing w:val="-9"/>
        </w:rPr>
        <w:t> </w:t>
      </w:r>
      <w:r>
        <w:rPr>
          <w:color w:val="0D0E0E"/>
        </w:rPr>
        <w:t>produção</w:t>
      </w:r>
      <w:r>
        <w:rPr>
          <w:color w:val="0D0E0E"/>
          <w:spacing w:val="-5"/>
        </w:rPr>
        <w:t> </w:t>
      </w:r>
      <w:r>
        <w:rPr>
          <w:color w:val="0D0E0E"/>
        </w:rPr>
        <w:t>por</w:t>
      </w:r>
      <w:r>
        <w:rPr>
          <w:color w:val="0D0E0E"/>
          <w:spacing w:val="-4"/>
        </w:rPr>
        <w:t> </w:t>
      </w:r>
      <w:r>
        <w:rPr>
          <w:color w:val="0D0E0E"/>
        </w:rPr>
        <w:t>sua</w:t>
      </w:r>
      <w:r>
        <w:rPr>
          <w:color w:val="0D0E0E"/>
          <w:spacing w:val="-9"/>
        </w:rPr>
        <w:t> </w:t>
      </w:r>
      <w:r>
        <w:rPr>
          <w:color w:val="0D0E0E"/>
        </w:rPr>
        <w:t>vez,</w:t>
      </w:r>
      <w:r>
        <w:rPr>
          <w:color w:val="0D0E0E"/>
          <w:spacing w:val="-4"/>
        </w:rPr>
        <w:t> </w:t>
      </w:r>
      <w:r>
        <w:rPr>
          <w:color w:val="0D0E0E"/>
        </w:rPr>
        <w:t>vem</w:t>
      </w:r>
      <w:r>
        <w:rPr>
          <w:color w:val="0D0E0E"/>
          <w:spacing w:val="-3"/>
        </w:rPr>
        <w:t> </w:t>
      </w:r>
      <w:r>
        <w:rPr>
          <w:color w:val="0D0E0E"/>
        </w:rPr>
        <w:t>gerando um impacto direto no preço da commodity ao longo dos meses, tendo agora em agosto tanto o Petróleo Brent, quanto o Petróleo WTI passado por um rally de alta, voltando a mostrar força para superar a barreira dos U$ 90 dólares o barril do insumo.</w:t>
      </w:r>
    </w:p>
    <w:p>
      <w:pPr>
        <w:pStyle w:val="BodyText"/>
        <w:spacing w:after="0"/>
        <w:jc w:val="both"/>
        <w:sectPr>
          <w:pgSz w:w="11920" w:h="16850"/>
          <w:pgMar w:top="1360" w:bottom="280" w:left="1559" w:right="141"/>
        </w:sectPr>
      </w:pPr>
    </w:p>
    <w:p>
      <w:pPr>
        <w:pStyle w:val="BodyText"/>
        <w:spacing w:before="39"/>
        <w:ind w:left="704" w:right="1211"/>
        <w:jc w:val="center"/>
      </w:pPr>
      <w:r>
        <w:rPr>
          <w:color w:val="0D0E0E"/>
        </w:rPr>
        <w:t>Cotação</w:t>
      </w:r>
      <w:r>
        <w:rPr>
          <w:color w:val="0D0E0E"/>
          <w:spacing w:val="-2"/>
        </w:rPr>
        <w:t> </w:t>
      </w:r>
      <w:r>
        <w:rPr>
          <w:color w:val="0D0E0E"/>
        </w:rPr>
        <w:t>-</w:t>
      </w:r>
      <w:r>
        <w:rPr>
          <w:color w:val="0D0E0E"/>
          <w:spacing w:val="-4"/>
        </w:rPr>
        <w:t> </w:t>
      </w:r>
      <w:r>
        <w:rPr>
          <w:color w:val="0D0E0E"/>
        </w:rPr>
        <w:t>Petróleo</w:t>
      </w:r>
      <w:r>
        <w:rPr>
          <w:color w:val="0D0E0E"/>
          <w:spacing w:val="-2"/>
        </w:rPr>
        <w:t> Brent:</w:t>
      </w:r>
    </w:p>
    <w:p>
      <w:pPr>
        <w:pStyle w:val="BodyText"/>
        <w:spacing w:before="4"/>
        <w:rPr>
          <w:sz w:val="7"/>
        </w:rPr>
      </w:pPr>
      <w:r>
        <w:rPr>
          <w:sz w:val="7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1016000</wp:posOffset>
            </wp:positionH>
            <wp:positionV relativeFrom="paragraph">
              <wp:posOffset>72536</wp:posOffset>
            </wp:positionV>
            <wp:extent cx="5392156" cy="3498437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2156" cy="3498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2"/>
        <w:ind w:left="750" w:right="0" w:firstLine="0"/>
        <w:jc w:val="left"/>
        <w:rPr>
          <w:i/>
          <w:sz w:val="20"/>
        </w:rPr>
      </w:pPr>
      <w:r>
        <w:rPr>
          <w:i/>
          <w:color w:val="0D0E0E"/>
          <w:spacing w:val="-2"/>
          <w:sz w:val="20"/>
        </w:rPr>
        <w:t>Fonte:</w:t>
      </w:r>
      <w:r>
        <w:rPr>
          <w:i/>
          <w:color w:val="0D0E0E"/>
          <w:spacing w:val="54"/>
          <w:sz w:val="20"/>
        </w:rPr>
        <w:t> </w:t>
      </w:r>
      <w:r>
        <w:rPr>
          <w:i/>
          <w:color w:val="0D0E0E"/>
          <w:spacing w:val="-2"/>
          <w:sz w:val="20"/>
        </w:rPr>
        <w:t>https://br.investing.com/commodities/brent-</w:t>
      </w:r>
      <w:r>
        <w:rPr>
          <w:i/>
          <w:color w:val="0D0E0E"/>
          <w:spacing w:val="-5"/>
          <w:sz w:val="20"/>
        </w:rPr>
        <w:t>oil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39"/>
        <w:rPr>
          <w:i/>
          <w:sz w:val="20"/>
        </w:rPr>
      </w:pPr>
    </w:p>
    <w:p>
      <w:pPr>
        <w:pStyle w:val="BodyText"/>
        <w:ind w:left="707" w:right="1211"/>
        <w:jc w:val="center"/>
      </w:pPr>
      <w:r>
        <w:rPr>
          <w:color w:val="0D0E0E"/>
        </w:rPr>
        <w:t>Cotação</w:t>
      </w:r>
      <w:r>
        <w:rPr>
          <w:color w:val="0D0E0E"/>
          <w:spacing w:val="-2"/>
        </w:rPr>
        <w:t> </w:t>
      </w:r>
      <w:r>
        <w:rPr>
          <w:color w:val="0D0E0E"/>
        </w:rPr>
        <w:t>-</w:t>
      </w:r>
      <w:r>
        <w:rPr>
          <w:color w:val="0D0E0E"/>
          <w:spacing w:val="-4"/>
        </w:rPr>
        <w:t> </w:t>
      </w:r>
      <w:r>
        <w:rPr>
          <w:color w:val="0D0E0E"/>
        </w:rPr>
        <w:t>Petróleo</w:t>
      </w:r>
      <w:r>
        <w:rPr>
          <w:color w:val="0D0E0E"/>
          <w:spacing w:val="-2"/>
        </w:rPr>
        <w:t> </w:t>
      </w:r>
      <w:r>
        <w:rPr>
          <w:color w:val="0D0E0E"/>
          <w:spacing w:val="-4"/>
        </w:rPr>
        <w:t>WTI:</w:t>
      </w:r>
    </w:p>
    <w:p>
      <w:pPr>
        <w:pStyle w:val="BodyText"/>
        <w:rPr>
          <w:sz w:val="13"/>
        </w:rPr>
      </w:pPr>
      <w:r>
        <w:rPr>
          <w:sz w:val="13"/>
        </w:rPr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1016000</wp:posOffset>
            </wp:positionH>
            <wp:positionV relativeFrom="paragraph">
              <wp:posOffset>116407</wp:posOffset>
            </wp:positionV>
            <wp:extent cx="5369033" cy="3425094"/>
            <wp:effectExtent l="0" t="0" r="0" b="0"/>
            <wp:wrapTopAndBottom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9033" cy="34250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40"/>
        <w:ind w:left="750" w:right="0" w:firstLine="0"/>
        <w:jc w:val="left"/>
        <w:rPr>
          <w:i/>
          <w:sz w:val="20"/>
        </w:rPr>
      </w:pPr>
      <w:r>
        <w:rPr>
          <w:i/>
          <w:color w:val="0D0E0E"/>
          <w:spacing w:val="-2"/>
          <w:sz w:val="20"/>
        </w:rPr>
        <w:t>Fonte:</w:t>
      </w:r>
      <w:r>
        <w:rPr>
          <w:i/>
          <w:color w:val="0D0E0E"/>
          <w:spacing w:val="48"/>
          <w:sz w:val="20"/>
        </w:rPr>
        <w:t> </w:t>
      </w:r>
      <w:r>
        <w:rPr>
          <w:i/>
          <w:color w:val="0D0E0E"/>
          <w:spacing w:val="-2"/>
          <w:sz w:val="20"/>
        </w:rPr>
        <w:t>https://br.investing.com/commodities/crude-</w:t>
      </w:r>
      <w:r>
        <w:rPr>
          <w:i/>
          <w:color w:val="0D0E0E"/>
          <w:spacing w:val="-5"/>
          <w:sz w:val="20"/>
        </w:rPr>
        <w:t>oil</w:t>
      </w:r>
    </w:p>
    <w:p>
      <w:pPr>
        <w:spacing w:after="0"/>
        <w:jc w:val="left"/>
        <w:rPr>
          <w:i/>
          <w:sz w:val="20"/>
        </w:rPr>
        <w:sectPr>
          <w:pgSz w:w="11920" w:h="16850"/>
          <w:pgMar w:top="1320" w:bottom="280" w:left="1559" w:right="141"/>
        </w:sectPr>
      </w:pPr>
    </w:p>
    <w:p>
      <w:pPr>
        <w:pStyle w:val="BodyText"/>
        <w:spacing w:before="39"/>
        <w:ind w:left="42" w:right="1253" w:firstLine="707"/>
        <w:jc w:val="both"/>
      </w:pPr>
      <w:r>
        <w:rPr>
          <w:color w:val="0D0E0E"/>
        </w:rPr>
        <w:t>Enquanto</w:t>
      </w:r>
      <w:r>
        <w:rPr>
          <w:color w:val="0D0E0E"/>
          <w:spacing w:val="-8"/>
        </w:rPr>
        <w:t> </w:t>
      </w:r>
      <w:r>
        <w:rPr>
          <w:color w:val="0D0E0E"/>
        </w:rPr>
        <w:t>a</w:t>
      </w:r>
      <w:r>
        <w:rPr>
          <w:color w:val="0D0E0E"/>
          <w:spacing w:val="-6"/>
        </w:rPr>
        <w:t> </w:t>
      </w:r>
      <w:r>
        <w:rPr>
          <w:color w:val="0D0E0E"/>
        </w:rPr>
        <w:t>cotação</w:t>
      </w:r>
      <w:r>
        <w:rPr>
          <w:color w:val="0D0E0E"/>
          <w:spacing w:val="-8"/>
        </w:rPr>
        <w:t> </w:t>
      </w:r>
      <w:r>
        <w:rPr>
          <w:color w:val="0D0E0E"/>
        </w:rPr>
        <w:t>do</w:t>
      </w:r>
      <w:r>
        <w:rPr>
          <w:color w:val="0D0E0E"/>
          <w:spacing w:val="-6"/>
        </w:rPr>
        <w:t> </w:t>
      </w:r>
      <w:r>
        <w:rPr>
          <w:color w:val="0D0E0E"/>
        </w:rPr>
        <w:t>Brent</w:t>
      </w:r>
      <w:r>
        <w:rPr>
          <w:color w:val="0D0E0E"/>
          <w:spacing w:val="-8"/>
        </w:rPr>
        <w:t> </w:t>
      </w:r>
      <w:r>
        <w:rPr>
          <w:color w:val="0D0E0E"/>
        </w:rPr>
        <w:t>é</w:t>
      </w:r>
      <w:r>
        <w:rPr>
          <w:color w:val="0D0E0E"/>
          <w:spacing w:val="-11"/>
        </w:rPr>
        <w:t> </w:t>
      </w:r>
      <w:r>
        <w:rPr>
          <w:color w:val="0D0E0E"/>
        </w:rPr>
        <w:t>negociada</w:t>
      </w:r>
      <w:r>
        <w:rPr>
          <w:color w:val="0D0E0E"/>
          <w:spacing w:val="-9"/>
        </w:rPr>
        <w:t> </w:t>
      </w:r>
      <w:r>
        <w:rPr>
          <w:color w:val="0D0E0E"/>
        </w:rPr>
        <w:t>e</w:t>
      </w:r>
      <w:r>
        <w:rPr>
          <w:color w:val="0D0E0E"/>
          <w:spacing w:val="-8"/>
        </w:rPr>
        <w:t> </w:t>
      </w:r>
      <w:r>
        <w:rPr>
          <w:color w:val="0D0E0E"/>
        </w:rPr>
        <w:t>influenciada</w:t>
      </w:r>
      <w:r>
        <w:rPr>
          <w:color w:val="0D0E0E"/>
          <w:spacing w:val="-9"/>
        </w:rPr>
        <w:t> </w:t>
      </w:r>
      <w:r>
        <w:rPr>
          <w:color w:val="0D0E0E"/>
        </w:rPr>
        <w:t>no</w:t>
      </w:r>
      <w:r>
        <w:rPr>
          <w:color w:val="0D0E0E"/>
          <w:spacing w:val="-8"/>
        </w:rPr>
        <w:t> </w:t>
      </w:r>
      <w:r>
        <w:rPr>
          <w:color w:val="0D0E0E"/>
        </w:rPr>
        <w:t>mercado</w:t>
      </w:r>
      <w:r>
        <w:rPr>
          <w:color w:val="0D0E0E"/>
          <w:spacing w:val="-8"/>
        </w:rPr>
        <w:t> </w:t>
      </w:r>
      <w:r>
        <w:rPr>
          <w:color w:val="0D0E0E"/>
        </w:rPr>
        <w:t>europeu,</w:t>
      </w:r>
      <w:r>
        <w:rPr>
          <w:color w:val="0D0E0E"/>
          <w:spacing w:val="-9"/>
        </w:rPr>
        <w:t> </w:t>
      </w:r>
      <w:r>
        <w:rPr>
          <w:color w:val="0D0E0E"/>
        </w:rPr>
        <w:t>o</w:t>
      </w:r>
      <w:r>
        <w:rPr>
          <w:color w:val="0D0E0E"/>
          <w:spacing w:val="-8"/>
        </w:rPr>
        <w:t> </w:t>
      </w:r>
      <w:r>
        <w:rPr>
          <w:color w:val="0D0E0E"/>
        </w:rPr>
        <w:t>WTI possui influencia direta na Bolsa de Nova Iorque, e por características diretas, esse rally possui</w:t>
      </w:r>
      <w:r>
        <w:rPr>
          <w:color w:val="0D0E0E"/>
          <w:spacing w:val="-4"/>
        </w:rPr>
        <w:t> </w:t>
      </w:r>
      <w:r>
        <w:rPr>
          <w:color w:val="0D0E0E"/>
        </w:rPr>
        <w:t>a</w:t>
      </w:r>
      <w:r>
        <w:rPr>
          <w:color w:val="0D0E0E"/>
          <w:spacing w:val="-4"/>
        </w:rPr>
        <w:t> </w:t>
      </w:r>
      <w:r>
        <w:rPr>
          <w:color w:val="0D0E0E"/>
        </w:rPr>
        <w:t>propensão</w:t>
      </w:r>
      <w:r>
        <w:rPr>
          <w:color w:val="0D0E0E"/>
          <w:spacing w:val="-3"/>
        </w:rPr>
        <w:t> </w:t>
      </w:r>
      <w:r>
        <w:rPr>
          <w:color w:val="0D0E0E"/>
        </w:rPr>
        <w:t>a</w:t>
      </w:r>
      <w:r>
        <w:rPr>
          <w:color w:val="0D0E0E"/>
          <w:spacing w:val="-4"/>
        </w:rPr>
        <w:t> </w:t>
      </w:r>
      <w:r>
        <w:rPr>
          <w:color w:val="0D0E0E"/>
        </w:rPr>
        <w:t>refletir</w:t>
      </w:r>
      <w:r>
        <w:rPr>
          <w:color w:val="0D0E0E"/>
          <w:spacing w:val="-4"/>
        </w:rPr>
        <w:t> </w:t>
      </w:r>
      <w:r>
        <w:rPr>
          <w:color w:val="0D0E0E"/>
        </w:rPr>
        <w:t>rapidamente</w:t>
      </w:r>
      <w:r>
        <w:rPr>
          <w:color w:val="0D0E0E"/>
          <w:spacing w:val="-3"/>
        </w:rPr>
        <w:t> </w:t>
      </w:r>
      <w:r>
        <w:rPr>
          <w:color w:val="0D0E0E"/>
        </w:rPr>
        <w:t>o</w:t>
      </w:r>
      <w:r>
        <w:rPr>
          <w:color w:val="0D0E0E"/>
          <w:spacing w:val="-3"/>
        </w:rPr>
        <w:t> </w:t>
      </w:r>
      <w:r>
        <w:rPr>
          <w:color w:val="0D0E0E"/>
        </w:rPr>
        <w:t>preço</w:t>
      </w:r>
      <w:r>
        <w:rPr>
          <w:color w:val="0D0E0E"/>
          <w:spacing w:val="-6"/>
        </w:rPr>
        <w:t> </w:t>
      </w:r>
      <w:r>
        <w:rPr>
          <w:color w:val="0D0E0E"/>
        </w:rPr>
        <w:t>dos</w:t>
      </w:r>
      <w:r>
        <w:rPr>
          <w:color w:val="0D0E0E"/>
          <w:spacing w:val="-3"/>
        </w:rPr>
        <w:t> </w:t>
      </w:r>
      <w:r>
        <w:rPr>
          <w:color w:val="0D0E0E"/>
        </w:rPr>
        <w:t>derivados</w:t>
      </w:r>
      <w:r>
        <w:rPr>
          <w:color w:val="0D0E0E"/>
          <w:spacing w:val="-3"/>
        </w:rPr>
        <w:t> </w:t>
      </w:r>
      <w:r>
        <w:rPr>
          <w:color w:val="0D0E0E"/>
        </w:rPr>
        <w:t>do</w:t>
      </w:r>
      <w:r>
        <w:rPr>
          <w:color w:val="0D0E0E"/>
          <w:spacing w:val="-6"/>
        </w:rPr>
        <w:t> </w:t>
      </w:r>
      <w:r>
        <w:rPr>
          <w:color w:val="0D0E0E"/>
        </w:rPr>
        <w:t>petróleo. E</w:t>
      </w:r>
      <w:r>
        <w:rPr>
          <w:color w:val="0D0E0E"/>
          <w:spacing w:val="-4"/>
        </w:rPr>
        <w:t> </w:t>
      </w:r>
      <w:r>
        <w:rPr>
          <w:color w:val="0D0E0E"/>
        </w:rPr>
        <w:t>como</w:t>
      </w:r>
      <w:r>
        <w:rPr>
          <w:color w:val="0D0E0E"/>
          <w:spacing w:val="-3"/>
        </w:rPr>
        <w:t> </w:t>
      </w:r>
      <w:r>
        <w:rPr>
          <w:color w:val="0D0E0E"/>
        </w:rPr>
        <w:t>como consequência direta, a gasolina enquanto derivada do petróleo, foi um dos produtos vilões responsáveis</w:t>
      </w:r>
      <w:r>
        <w:rPr>
          <w:color w:val="0D0E0E"/>
          <w:spacing w:val="-2"/>
        </w:rPr>
        <w:t> </w:t>
      </w:r>
      <w:r>
        <w:rPr>
          <w:color w:val="0D0E0E"/>
        </w:rPr>
        <w:t>pela</w:t>
      </w:r>
      <w:r>
        <w:rPr>
          <w:color w:val="0D0E0E"/>
          <w:spacing w:val="-1"/>
        </w:rPr>
        <w:t> </w:t>
      </w:r>
      <w:r>
        <w:rPr>
          <w:color w:val="0D0E0E"/>
        </w:rPr>
        <w:t>elevação do CPI no mês</w:t>
      </w:r>
      <w:r>
        <w:rPr>
          <w:color w:val="0D0E0E"/>
          <w:spacing w:val="-2"/>
        </w:rPr>
        <w:t> </w:t>
      </w:r>
      <w:r>
        <w:rPr>
          <w:color w:val="0D0E0E"/>
        </w:rPr>
        <w:t>de</w:t>
      </w:r>
      <w:r>
        <w:rPr>
          <w:color w:val="0D0E0E"/>
          <w:spacing w:val="-1"/>
        </w:rPr>
        <w:t> </w:t>
      </w:r>
      <w:r>
        <w:rPr>
          <w:color w:val="0D0E0E"/>
        </w:rPr>
        <w:t>agosto. Somente</w:t>
      </w:r>
      <w:r>
        <w:rPr>
          <w:color w:val="0D0E0E"/>
          <w:spacing w:val="-1"/>
        </w:rPr>
        <w:t> </w:t>
      </w:r>
      <w:r>
        <w:rPr>
          <w:color w:val="0D0E0E"/>
        </w:rPr>
        <w:t>este</w:t>
      </w:r>
      <w:r>
        <w:rPr>
          <w:color w:val="0D0E0E"/>
          <w:spacing w:val="-4"/>
        </w:rPr>
        <w:t> </w:t>
      </w:r>
      <w:r>
        <w:rPr>
          <w:color w:val="0D0E0E"/>
        </w:rPr>
        <w:t>bem</w:t>
      </w:r>
      <w:r>
        <w:rPr>
          <w:color w:val="0D0E0E"/>
          <w:spacing w:val="-1"/>
        </w:rPr>
        <w:t> </w:t>
      </w:r>
      <w:r>
        <w:rPr>
          <w:color w:val="0D0E0E"/>
        </w:rPr>
        <w:t>registrou</w:t>
      </w:r>
      <w:r>
        <w:rPr>
          <w:color w:val="0D0E0E"/>
          <w:spacing w:val="-3"/>
        </w:rPr>
        <w:t> </w:t>
      </w:r>
      <w:r>
        <w:rPr>
          <w:color w:val="0D0E0E"/>
        </w:rPr>
        <w:t>uma</w:t>
      </w:r>
      <w:r>
        <w:rPr>
          <w:color w:val="0D0E0E"/>
          <w:spacing w:val="-1"/>
        </w:rPr>
        <w:t> </w:t>
      </w:r>
      <w:r>
        <w:rPr>
          <w:color w:val="0D0E0E"/>
        </w:rPr>
        <w:t>alta superior a 10% no período, tendo colaborado para mais da metade da alta do índice.</w:t>
      </w:r>
    </w:p>
    <w:p>
      <w:pPr>
        <w:pStyle w:val="BodyText"/>
        <w:spacing w:before="240"/>
        <w:ind w:left="42" w:right="1257" w:firstLine="707"/>
        <w:jc w:val="both"/>
      </w:pPr>
      <w:r>
        <w:rPr>
          <w:color w:val="0D0E0E"/>
        </w:rPr>
        <w:t>Apesar dessa puxada para cima, na hipótese que</w:t>
      </w:r>
      <w:r>
        <w:rPr>
          <w:color w:val="0D0E0E"/>
          <w:spacing w:val="-1"/>
        </w:rPr>
        <w:t> </w:t>
      </w:r>
      <w:r>
        <w:rPr>
          <w:color w:val="0D0E0E"/>
        </w:rPr>
        <w:t>o preço da commodity permaneça girando em torno dos U$ 90 dólares por barril, não é esperado que a inflação norte americana volte a subir para os patamares registrados em meses anteriores.</w:t>
      </w:r>
    </w:p>
    <w:p>
      <w:pPr>
        <w:pStyle w:val="BodyText"/>
        <w:spacing w:before="239"/>
        <w:ind w:left="42" w:right="1253" w:firstLine="707"/>
        <w:jc w:val="both"/>
      </w:pPr>
      <w:r>
        <w:rPr>
          <w:color w:val="0D0E0E"/>
        </w:rPr>
        <w:t>Conforme relatado pelo departamento do trabalho americano, além da gasolina, outro bem que puxou para cima do índice foi o setor de habitação que registrou uma elevação de preços pelo 40º mês consecutivo, subindo 0,3% no mês. Como destaque, obtivemos registros de alta também no índice de seguros veiculares, nos índices de tarifas aéreas, cuidados pessoais, veículos novos, entre outros.</w:t>
      </w:r>
    </w:p>
    <w:p>
      <w:pPr>
        <w:pStyle w:val="BodyText"/>
        <w:spacing w:before="242"/>
        <w:ind w:left="42" w:right="1256" w:firstLine="707"/>
        <w:jc w:val="both"/>
      </w:pPr>
      <w:r>
        <w:rPr>
          <w:color w:val="0D0E0E"/>
        </w:rPr>
        <w:t>Por sua vez, o núcleo do CPI veio de 0,3% em agosto e 4,3% na janela de 12 meses, em linha com a expectativa de 0,2% e 4,3% respectivamente. Esses dados mostram uma inflação ainda resiliente, porém em trajetórias de redução em direção à meta que é de entorno dos 2%.</w:t>
      </w:r>
    </w:p>
    <w:p>
      <w:pPr>
        <w:pStyle w:val="BodyText"/>
        <w:spacing w:before="240"/>
        <w:ind w:left="42" w:right="1259" w:firstLine="707"/>
        <w:jc w:val="both"/>
      </w:pPr>
      <w:r>
        <w:rPr>
          <w:color w:val="0D0E0E"/>
        </w:rPr>
        <w:t>Essa</w:t>
      </w:r>
      <w:r>
        <w:rPr>
          <w:color w:val="0D0E0E"/>
          <w:spacing w:val="-6"/>
        </w:rPr>
        <w:t> </w:t>
      </w:r>
      <w:r>
        <w:rPr>
          <w:color w:val="0D0E0E"/>
        </w:rPr>
        <w:t>busca</w:t>
      </w:r>
      <w:r>
        <w:rPr>
          <w:color w:val="0D0E0E"/>
          <w:spacing w:val="-9"/>
        </w:rPr>
        <w:t> </w:t>
      </w:r>
      <w:r>
        <w:rPr>
          <w:color w:val="0D0E0E"/>
        </w:rPr>
        <w:t>para</w:t>
      </w:r>
      <w:r>
        <w:rPr>
          <w:color w:val="0D0E0E"/>
          <w:spacing w:val="-8"/>
        </w:rPr>
        <w:t> </w:t>
      </w:r>
      <w:r>
        <w:rPr>
          <w:color w:val="0D0E0E"/>
        </w:rPr>
        <w:t>trazer</w:t>
      </w:r>
      <w:r>
        <w:rPr>
          <w:color w:val="0D0E0E"/>
          <w:spacing w:val="-8"/>
        </w:rPr>
        <w:t> </w:t>
      </w:r>
      <w:r>
        <w:rPr>
          <w:color w:val="0D0E0E"/>
        </w:rPr>
        <w:t>a</w:t>
      </w:r>
      <w:r>
        <w:rPr>
          <w:color w:val="0D0E0E"/>
          <w:spacing w:val="-6"/>
        </w:rPr>
        <w:t> </w:t>
      </w:r>
      <w:r>
        <w:rPr>
          <w:color w:val="0D0E0E"/>
        </w:rPr>
        <w:t>inflação</w:t>
      </w:r>
      <w:r>
        <w:rPr>
          <w:color w:val="0D0E0E"/>
          <w:spacing w:val="-8"/>
        </w:rPr>
        <w:t> </w:t>
      </w:r>
      <w:r>
        <w:rPr>
          <w:color w:val="0D0E0E"/>
        </w:rPr>
        <w:t>para</w:t>
      </w:r>
      <w:r>
        <w:rPr>
          <w:color w:val="0D0E0E"/>
          <w:spacing w:val="-8"/>
        </w:rPr>
        <w:t> </w:t>
      </w:r>
      <w:r>
        <w:rPr>
          <w:color w:val="0D0E0E"/>
        </w:rPr>
        <w:t>dentro</w:t>
      </w:r>
      <w:r>
        <w:rPr>
          <w:color w:val="0D0E0E"/>
          <w:spacing w:val="-8"/>
        </w:rPr>
        <w:t> </w:t>
      </w:r>
      <w:r>
        <w:rPr>
          <w:color w:val="0D0E0E"/>
        </w:rPr>
        <w:t>da</w:t>
      </w:r>
      <w:r>
        <w:rPr>
          <w:color w:val="0D0E0E"/>
          <w:spacing w:val="-9"/>
        </w:rPr>
        <w:t> </w:t>
      </w:r>
      <w:r>
        <w:rPr>
          <w:color w:val="0D0E0E"/>
        </w:rPr>
        <w:t>meta</w:t>
      </w:r>
      <w:r>
        <w:rPr>
          <w:color w:val="0D0E0E"/>
          <w:spacing w:val="-9"/>
        </w:rPr>
        <w:t> </w:t>
      </w:r>
      <w:r>
        <w:rPr>
          <w:color w:val="0D0E0E"/>
        </w:rPr>
        <w:t>é</w:t>
      </w:r>
      <w:r>
        <w:rPr>
          <w:color w:val="0D0E0E"/>
          <w:spacing w:val="-8"/>
        </w:rPr>
        <w:t> </w:t>
      </w:r>
      <w:r>
        <w:rPr>
          <w:color w:val="0D0E0E"/>
        </w:rPr>
        <w:t>crucial</w:t>
      </w:r>
      <w:r>
        <w:rPr>
          <w:color w:val="0D0E0E"/>
          <w:spacing w:val="-8"/>
        </w:rPr>
        <w:t> </w:t>
      </w:r>
      <w:r>
        <w:rPr>
          <w:color w:val="0D0E0E"/>
        </w:rPr>
        <w:t>para</w:t>
      </w:r>
      <w:r>
        <w:rPr>
          <w:color w:val="0D0E0E"/>
          <w:spacing w:val="-8"/>
        </w:rPr>
        <w:t> </w:t>
      </w:r>
      <w:r>
        <w:rPr>
          <w:color w:val="0D0E0E"/>
        </w:rPr>
        <w:t>que</w:t>
      </w:r>
      <w:r>
        <w:rPr>
          <w:color w:val="0D0E0E"/>
          <w:spacing w:val="-8"/>
        </w:rPr>
        <w:t> </w:t>
      </w:r>
      <w:r>
        <w:rPr>
          <w:color w:val="0D0E0E"/>
        </w:rPr>
        <w:t>o</w:t>
      </w:r>
      <w:r>
        <w:rPr>
          <w:color w:val="0D0E0E"/>
          <w:spacing w:val="-8"/>
        </w:rPr>
        <w:t> </w:t>
      </w:r>
      <w:r>
        <w:rPr>
          <w:color w:val="0D0E0E"/>
        </w:rPr>
        <w:t>presidente do Federal Reserve, Jerome Powell, possa adotar uma postura menos hawkish (contracionista) na sua condução de política monetária.</w:t>
      </w:r>
    </w:p>
    <w:p>
      <w:pPr>
        <w:pStyle w:val="BodyText"/>
        <w:spacing w:before="239"/>
        <w:ind w:left="42" w:right="1258" w:firstLine="707"/>
        <w:jc w:val="both"/>
      </w:pPr>
      <w:r>
        <w:rPr>
          <w:color w:val="0D0E0E"/>
        </w:rPr>
        <w:t>Até o presente momento, a taxa de juros americana permanece na janela entre 5,25% e 5,5% ao ano, e o mercado se mostra com opiniões divididas entre mais uma elevação de 25 pontos base, ou manutenção da taxa nos patamares atuais. A decisão será tomada na quarta-feira, 20 de setembro.</w:t>
      </w:r>
    </w:p>
    <w:p>
      <w:pPr>
        <w:pStyle w:val="BodyText"/>
        <w:spacing w:before="240"/>
        <w:ind w:left="3337"/>
      </w:pPr>
      <w:r>
        <w:rPr>
          <w:color w:val="0D0E0E"/>
        </w:rPr>
        <w:t>Taxa</w:t>
      </w:r>
      <w:r>
        <w:rPr>
          <w:color w:val="0D0E0E"/>
          <w:spacing w:val="-2"/>
        </w:rPr>
        <w:t> </w:t>
      </w:r>
      <w:r>
        <w:rPr>
          <w:color w:val="0D0E0E"/>
        </w:rPr>
        <w:t>de</w:t>
      </w:r>
      <w:r>
        <w:rPr>
          <w:color w:val="0D0E0E"/>
          <w:spacing w:val="-4"/>
        </w:rPr>
        <w:t> </w:t>
      </w:r>
      <w:r>
        <w:rPr>
          <w:color w:val="0D0E0E"/>
        </w:rPr>
        <w:t>Juros</w:t>
      </w:r>
      <w:r>
        <w:rPr>
          <w:color w:val="0D0E0E"/>
          <w:spacing w:val="2"/>
        </w:rPr>
        <w:t> </w:t>
      </w:r>
      <w:r>
        <w:rPr>
          <w:color w:val="0D0E0E"/>
        </w:rPr>
        <w:t>–</w:t>
      </w:r>
      <w:r>
        <w:rPr>
          <w:color w:val="0D0E0E"/>
          <w:spacing w:val="-3"/>
        </w:rPr>
        <w:t> </w:t>
      </w:r>
      <w:r>
        <w:rPr>
          <w:color w:val="0D0E0E"/>
        </w:rPr>
        <w:t>Estados</w:t>
      </w:r>
      <w:r>
        <w:rPr>
          <w:color w:val="0D0E0E"/>
          <w:spacing w:val="-2"/>
        </w:rPr>
        <w:t> Unidos</w:t>
      </w:r>
    </w:p>
    <w:p>
      <w:pPr>
        <w:pStyle w:val="BodyText"/>
        <w:spacing w:before="2"/>
        <w:rPr>
          <w:sz w:val="16"/>
        </w:rPr>
      </w:pPr>
      <w:r>
        <w:rPr>
          <w:sz w:val="16"/>
        </w:rPr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1082462</wp:posOffset>
            </wp:positionH>
            <wp:positionV relativeFrom="paragraph">
              <wp:posOffset>141104</wp:posOffset>
            </wp:positionV>
            <wp:extent cx="5312445" cy="2602039"/>
            <wp:effectExtent l="0" t="0" r="0" b="0"/>
            <wp:wrapTopAndBottom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2445" cy="2602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9"/>
        <w:ind w:left="750" w:right="0" w:firstLine="0"/>
        <w:jc w:val="left"/>
        <w:rPr>
          <w:i/>
          <w:sz w:val="20"/>
        </w:rPr>
      </w:pPr>
      <w:r>
        <w:rPr>
          <w:i/>
          <w:color w:val="0D0E0E"/>
          <w:spacing w:val="-2"/>
          <w:sz w:val="20"/>
        </w:rPr>
        <w:t>Fonte:</w:t>
      </w:r>
      <w:r>
        <w:rPr>
          <w:i/>
          <w:color w:val="0D0E0E"/>
          <w:spacing w:val="59"/>
          <w:sz w:val="20"/>
        </w:rPr>
        <w:t> </w:t>
      </w:r>
      <w:r>
        <w:rPr>
          <w:i/>
          <w:color w:val="0D0E0E"/>
          <w:spacing w:val="-2"/>
          <w:sz w:val="20"/>
        </w:rPr>
        <w:t>https://tradingeconomics.com/united-states/interest-</w:t>
      </w:r>
      <w:r>
        <w:rPr>
          <w:i/>
          <w:color w:val="0D0E0E"/>
          <w:spacing w:val="-4"/>
          <w:sz w:val="20"/>
        </w:rPr>
        <w:t>rate</w:t>
      </w:r>
    </w:p>
    <w:p>
      <w:pPr>
        <w:spacing w:after="0"/>
        <w:jc w:val="left"/>
        <w:rPr>
          <w:i/>
          <w:sz w:val="20"/>
        </w:rPr>
        <w:sectPr>
          <w:pgSz w:w="11920" w:h="16850"/>
          <w:pgMar w:top="1320" w:bottom="280" w:left="1559" w:right="141"/>
        </w:sectPr>
      </w:pPr>
    </w:p>
    <w:p>
      <w:pPr>
        <w:spacing w:before="19"/>
        <w:ind w:left="42" w:right="0" w:firstLine="0"/>
        <w:jc w:val="left"/>
        <w:rPr>
          <w:sz w:val="28"/>
        </w:rPr>
      </w:pPr>
      <w:r>
        <w:rPr>
          <w:spacing w:val="-5"/>
          <w:sz w:val="28"/>
        </w:rPr>
        <w:t>PMI</w:t>
      </w:r>
    </w:p>
    <w:p>
      <w:pPr>
        <w:pStyle w:val="BodyText"/>
        <w:spacing w:before="240"/>
        <w:ind w:left="42" w:right="1252" w:firstLine="707"/>
        <w:jc w:val="both"/>
      </w:pPr>
      <w:r>
        <w:rPr>
          <w:color w:val="0D0E0E"/>
        </w:rPr>
        <w:t>Parte do reflexo dessa postura mais cautelosa do Powell é sentido por setores de todo o mercado, o recém-divulgado PMI de serviços de agosto americano retratou uma pontuação de 50,5 ante</w:t>
      </w:r>
      <w:r>
        <w:rPr>
          <w:color w:val="0D0E0E"/>
          <w:spacing w:val="-1"/>
        </w:rPr>
        <w:t> </w:t>
      </w:r>
      <w:r>
        <w:rPr>
          <w:color w:val="0D0E0E"/>
        </w:rPr>
        <w:t>52,3 de julho. No site da</w:t>
      </w:r>
      <w:r>
        <w:rPr>
          <w:color w:val="0D0E0E"/>
          <w:spacing w:val="-2"/>
        </w:rPr>
        <w:t> </w:t>
      </w:r>
      <w:r>
        <w:rPr>
          <w:color w:val="0D0E0E"/>
        </w:rPr>
        <w:t>S&amp;P Global, o seu economista-chefe Chris Williamson, realizou uma publicação em nota tratando inclusive do crescimento da possibilidade de estagflação, uma inflação em patamares elevados somado a uma estagnação econômica. Williamson reforça que as empresas estão relatando dos seus clientes</w:t>
      </w:r>
      <w:r>
        <w:rPr>
          <w:color w:val="0D0E0E"/>
          <w:spacing w:val="-9"/>
        </w:rPr>
        <w:t> </w:t>
      </w:r>
      <w:r>
        <w:rPr>
          <w:color w:val="0D0E0E"/>
        </w:rPr>
        <w:t>um</w:t>
      </w:r>
      <w:r>
        <w:rPr>
          <w:color w:val="0D0E0E"/>
          <w:spacing w:val="-8"/>
        </w:rPr>
        <w:t> </w:t>
      </w:r>
      <w:r>
        <w:rPr>
          <w:color w:val="0D0E0E"/>
        </w:rPr>
        <w:t>receio</w:t>
      </w:r>
      <w:r>
        <w:rPr>
          <w:color w:val="0D0E0E"/>
          <w:spacing w:val="-8"/>
        </w:rPr>
        <w:t> </w:t>
      </w:r>
      <w:r>
        <w:rPr>
          <w:color w:val="0D0E0E"/>
        </w:rPr>
        <w:t>maior</w:t>
      </w:r>
      <w:r>
        <w:rPr>
          <w:color w:val="0D0E0E"/>
          <w:spacing w:val="-7"/>
        </w:rPr>
        <w:t> </w:t>
      </w:r>
      <w:r>
        <w:rPr>
          <w:color w:val="0D0E0E"/>
        </w:rPr>
        <w:t>quanto</w:t>
      </w:r>
      <w:r>
        <w:rPr>
          <w:color w:val="0D0E0E"/>
          <w:spacing w:val="-8"/>
        </w:rPr>
        <w:t> </w:t>
      </w:r>
      <w:r>
        <w:rPr>
          <w:color w:val="0D0E0E"/>
        </w:rPr>
        <w:t>ao</w:t>
      </w:r>
      <w:r>
        <w:rPr>
          <w:color w:val="0D0E0E"/>
          <w:spacing w:val="-8"/>
        </w:rPr>
        <w:t> </w:t>
      </w:r>
      <w:r>
        <w:rPr>
          <w:color w:val="0D0E0E"/>
        </w:rPr>
        <w:t>aumento</w:t>
      </w:r>
      <w:r>
        <w:rPr>
          <w:color w:val="0D0E0E"/>
          <w:spacing w:val="-7"/>
        </w:rPr>
        <w:t> </w:t>
      </w:r>
      <w:r>
        <w:rPr>
          <w:color w:val="0D0E0E"/>
        </w:rPr>
        <w:t>consumo</w:t>
      </w:r>
      <w:r>
        <w:rPr>
          <w:color w:val="0D0E0E"/>
          <w:spacing w:val="-8"/>
        </w:rPr>
        <w:t> </w:t>
      </w:r>
      <w:r>
        <w:rPr>
          <w:color w:val="0D0E0E"/>
        </w:rPr>
        <w:t>em</w:t>
      </w:r>
      <w:r>
        <w:rPr>
          <w:color w:val="0D0E0E"/>
          <w:spacing w:val="-8"/>
        </w:rPr>
        <w:t> </w:t>
      </w:r>
      <w:r>
        <w:rPr>
          <w:color w:val="0D0E0E"/>
        </w:rPr>
        <w:t>um</w:t>
      </w:r>
      <w:r>
        <w:rPr>
          <w:color w:val="0D0E0E"/>
          <w:spacing w:val="-8"/>
        </w:rPr>
        <w:t> </w:t>
      </w:r>
      <w:r>
        <w:rPr>
          <w:color w:val="0D0E0E"/>
        </w:rPr>
        <w:t>ambiente</w:t>
      </w:r>
      <w:r>
        <w:rPr>
          <w:color w:val="0D0E0E"/>
          <w:spacing w:val="-8"/>
        </w:rPr>
        <w:t> </w:t>
      </w:r>
      <w:r>
        <w:rPr>
          <w:color w:val="0D0E0E"/>
        </w:rPr>
        <w:t>de</w:t>
      </w:r>
      <w:r>
        <w:rPr>
          <w:color w:val="0D0E0E"/>
          <w:spacing w:val="-8"/>
        </w:rPr>
        <w:t> </w:t>
      </w:r>
      <w:r>
        <w:rPr>
          <w:color w:val="0D0E0E"/>
        </w:rPr>
        <w:t>incertezas</w:t>
      </w:r>
      <w:r>
        <w:rPr>
          <w:color w:val="0D0E0E"/>
          <w:spacing w:val="-6"/>
        </w:rPr>
        <w:t> </w:t>
      </w:r>
      <w:r>
        <w:rPr>
          <w:color w:val="0D0E0E"/>
        </w:rPr>
        <w:t>junto com um aumento de juros.</w:t>
      </w:r>
    </w:p>
    <w:p>
      <w:pPr>
        <w:pStyle w:val="BodyText"/>
        <w:spacing w:before="241"/>
        <w:ind w:left="3362"/>
      </w:pPr>
      <w:r>
        <w:rPr>
          <w:color w:val="0D0E0E"/>
        </w:rPr>
        <w:t>PMI</w:t>
      </w:r>
      <w:r>
        <w:rPr>
          <w:color w:val="0D0E0E"/>
          <w:spacing w:val="-1"/>
        </w:rPr>
        <w:t> </w:t>
      </w:r>
      <w:r>
        <w:rPr>
          <w:color w:val="0D0E0E"/>
        </w:rPr>
        <w:t>Serviços</w:t>
      </w:r>
      <w:r>
        <w:rPr>
          <w:color w:val="0D0E0E"/>
          <w:spacing w:val="-2"/>
        </w:rPr>
        <w:t> </w:t>
      </w:r>
      <w:r>
        <w:rPr>
          <w:color w:val="0D0E0E"/>
        </w:rPr>
        <w:t>-</w:t>
      </w:r>
      <w:r>
        <w:rPr>
          <w:color w:val="0D0E0E"/>
          <w:spacing w:val="-2"/>
        </w:rPr>
        <w:t> </w:t>
      </w:r>
      <w:r>
        <w:rPr>
          <w:color w:val="0D0E0E"/>
        </w:rPr>
        <w:t>Estados </w:t>
      </w:r>
      <w:r>
        <w:rPr>
          <w:color w:val="0D0E0E"/>
          <w:spacing w:val="-2"/>
        </w:rPr>
        <w:t>Unidos:</w:t>
      </w:r>
    </w:p>
    <w:p>
      <w:pPr>
        <w:pStyle w:val="BodyText"/>
        <w:spacing w:before="1"/>
        <w:rPr>
          <w:sz w:val="16"/>
        </w:rPr>
      </w:pPr>
      <w:r>
        <w:rPr>
          <w:sz w:val="16"/>
        </w:rPr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1340272</wp:posOffset>
            </wp:positionH>
            <wp:positionV relativeFrom="paragraph">
              <wp:posOffset>140515</wp:posOffset>
            </wp:positionV>
            <wp:extent cx="5313351" cy="2577179"/>
            <wp:effectExtent l="0" t="0" r="0" b="0"/>
            <wp:wrapTopAndBottom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3351" cy="25771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4"/>
        <w:ind w:left="750" w:right="0" w:firstLine="0"/>
        <w:jc w:val="left"/>
        <w:rPr>
          <w:i/>
          <w:sz w:val="20"/>
        </w:rPr>
      </w:pPr>
      <w:r>
        <w:rPr>
          <w:i/>
          <w:color w:val="0D0E0E"/>
          <w:spacing w:val="-2"/>
          <w:sz w:val="20"/>
        </w:rPr>
        <w:t>Fonte:</w:t>
      </w:r>
      <w:r>
        <w:rPr>
          <w:i/>
          <w:color w:val="0D0E0E"/>
          <w:spacing w:val="56"/>
          <w:sz w:val="20"/>
        </w:rPr>
        <w:t> </w:t>
      </w:r>
      <w:r>
        <w:rPr>
          <w:i/>
          <w:color w:val="0D0E0E"/>
          <w:spacing w:val="-2"/>
          <w:sz w:val="20"/>
        </w:rPr>
        <w:t>https://tradingeconomics.com/united-states/services-</w:t>
      </w:r>
      <w:r>
        <w:rPr>
          <w:i/>
          <w:color w:val="0D0E0E"/>
          <w:spacing w:val="-5"/>
          <w:sz w:val="20"/>
        </w:rPr>
        <w:t>pmi</w:t>
      </w:r>
    </w:p>
    <w:p>
      <w:pPr>
        <w:pStyle w:val="BodyText"/>
        <w:spacing w:before="238"/>
        <w:ind w:left="42" w:right="1253" w:firstLine="707"/>
        <w:jc w:val="both"/>
      </w:pPr>
      <w:r>
        <w:rPr>
          <w:color w:val="0D0E0E"/>
        </w:rPr>
        <w:t>Em linha, o PMI industrial veio em queda de 49 em julho, para 47,9 em agosto, e o PMI composto ainda se manteve acima dos 50 pontos, porém com uma queda de 52 em julho para 50,2 em agosto.</w:t>
      </w:r>
    </w:p>
    <w:p>
      <w:pPr>
        <w:pStyle w:val="BodyText"/>
        <w:spacing w:after="0"/>
        <w:jc w:val="both"/>
        <w:sectPr>
          <w:pgSz w:w="11920" w:h="16850"/>
          <w:pgMar w:top="1340" w:bottom="280" w:left="1559" w:right="141"/>
        </w:sectPr>
      </w:pPr>
    </w:p>
    <w:p>
      <w:pPr>
        <w:pStyle w:val="BodyText"/>
        <w:spacing w:before="39"/>
        <w:ind w:left="3155"/>
      </w:pPr>
      <w:r>
        <w:rPr>
          <w:color w:val="0D0E0E"/>
        </w:rPr>
        <w:t>PMI</w:t>
      </w:r>
      <w:r>
        <w:rPr>
          <w:color w:val="0D0E0E"/>
          <w:spacing w:val="-6"/>
        </w:rPr>
        <w:t> </w:t>
      </w:r>
      <w:r>
        <w:rPr>
          <w:color w:val="0D0E0E"/>
        </w:rPr>
        <w:t>Manufatura</w:t>
      </w:r>
      <w:r>
        <w:rPr>
          <w:color w:val="0D0E0E"/>
          <w:spacing w:val="-2"/>
        </w:rPr>
        <w:t> </w:t>
      </w:r>
      <w:r>
        <w:rPr>
          <w:color w:val="0D0E0E"/>
        </w:rPr>
        <w:t>–</w:t>
      </w:r>
      <w:r>
        <w:rPr>
          <w:color w:val="0D0E0E"/>
          <w:spacing w:val="-2"/>
        </w:rPr>
        <w:t> </w:t>
      </w:r>
      <w:r>
        <w:rPr>
          <w:color w:val="0D0E0E"/>
        </w:rPr>
        <w:t>Estados</w:t>
      </w:r>
      <w:r>
        <w:rPr>
          <w:color w:val="0D0E0E"/>
          <w:spacing w:val="-2"/>
        </w:rPr>
        <w:t> Unidos:</w:t>
      </w:r>
    </w:p>
    <w:p>
      <w:pPr>
        <w:pStyle w:val="BodyText"/>
        <w:spacing w:before="8"/>
        <w:rPr>
          <w:sz w:val="17"/>
        </w:rPr>
      </w:pPr>
      <w:r>
        <w:rPr>
          <w:sz w:val="17"/>
        </w:rPr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1082462</wp:posOffset>
            </wp:positionH>
            <wp:positionV relativeFrom="paragraph">
              <wp:posOffset>152546</wp:posOffset>
            </wp:positionV>
            <wp:extent cx="5310041" cy="2535745"/>
            <wp:effectExtent l="0" t="0" r="0" b="0"/>
            <wp:wrapTopAndBottom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0041" cy="2535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30"/>
        <w:ind w:left="750" w:right="0" w:firstLine="0"/>
        <w:jc w:val="left"/>
        <w:rPr>
          <w:i/>
          <w:sz w:val="20"/>
        </w:rPr>
      </w:pPr>
      <w:r>
        <w:rPr>
          <w:i/>
          <w:color w:val="0D0E0E"/>
          <w:spacing w:val="-2"/>
          <w:sz w:val="20"/>
        </w:rPr>
        <w:t>Fonte:</w:t>
      </w:r>
      <w:r>
        <w:rPr>
          <w:i/>
          <w:color w:val="0D0E0E"/>
          <w:spacing w:val="60"/>
          <w:sz w:val="20"/>
        </w:rPr>
        <w:t> </w:t>
      </w:r>
      <w:r>
        <w:rPr>
          <w:i/>
          <w:color w:val="0D0E0E"/>
          <w:spacing w:val="-2"/>
          <w:sz w:val="20"/>
        </w:rPr>
        <w:t>https://tradingeconomics.com/united-states/manufacturing-</w:t>
      </w:r>
      <w:r>
        <w:rPr>
          <w:i/>
          <w:color w:val="0D0E0E"/>
          <w:spacing w:val="-5"/>
          <w:sz w:val="20"/>
        </w:rPr>
        <w:t>pmi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38"/>
        <w:rPr>
          <w:i/>
          <w:sz w:val="20"/>
        </w:rPr>
      </w:pPr>
    </w:p>
    <w:p>
      <w:pPr>
        <w:pStyle w:val="BodyText"/>
        <w:spacing w:before="1"/>
        <w:ind w:left="3239"/>
      </w:pPr>
      <w:r>
        <w:rPr>
          <w:color w:val="0D0E0E"/>
        </w:rPr>
        <w:t>PMI</w:t>
      </w:r>
      <w:r>
        <w:rPr>
          <w:color w:val="0D0E0E"/>
          <w:spacing w:val="-1"/>
        </w:rPr>
        <w:t> </w:t>
      </w:r>
      <w:r>
        <w:rPr>
          <w:color w:val="0D0E0E"/>
        </w:rPr>
        <w:t>Composto</w:t>
      </w:r>
      <w:r>
        <w:rPr>
          <w:color w:val="0D0E0E"/>
          <w:spacing w:val="-1"/>
        </w:rPr>
        <w:t> </w:t>
      </w:r>
      <w:r>
        <w:rPr>
          <w:color w:val="0D0E0E"/>
        </w:rPr>
        <w:t>–</w:t>
      </w:r>
      <w:r>
        <w:rPr>
          <w:color w:val="0D0E0E"/>
          <w:spacing w:val="-2"/>
        </w:rPr>
        <w:t> </w:t>
      </w:r>
      <w:r>
        <w:rPr>
          <w:color w:val="0D0E0E"/>
        </w:rPr>
        <w:t>Estados</w:t>
      </w:r>
      <w:r>
        <w:rPr>
          <w:color w:val="0D0E0E"/>
          <w:spacing w:val="-2"/>
        </w:rPr>
        <w:t> Unidos:</w:t>
      </w:r>
    </w:p>
    <w:p>
      <w:pPr>
        <w:pStyle w:val="BodyText"/>
        <w:spacing w:before="2"/>
        <w:rPr>
          <w:sz w:val="10"/>
        </w:rPr>
      </w:pPr>
      <w:r>
        <w:rPr>
          <w:sz w:val="10"/>
        </w:rPr>
        <w:drawing>
          <wp:anchor distT="0" distB="0" distL="0" distR="0" allowOverlap="1" layoutInCell="1" locked="0" behindDoc="1" simplePos="0" relativeHeight="487590912">
            <wp:simplePos x="0" y="0"/>
            <wp:positionH relativeFrom="page">
              <wp:posOffset>1082462</wp:posOffset>
            </wp:positionH>
            <wp:positionV relativeFrom="paragraph">
              <wp:posOffset>94087</wp:posOffset>
            </wp:positionV>
            <wp:extent cx="5317731" cy="2610326"/>
            <wp:effectExtent l="0" t="0" r="0" b="0"/>
            <wp:wrapTopAndBottom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7731" cy="2610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5"/>
        <w:ind w:left="750" w:right="0" w:firstLine="0"/>
        <w:jc w:val="left"/>
        <w:rPr>
          <w:i/>
          <w:sz w:val="20"/>
        </w:rPr>
      </w:pPr>
      <w:r>
        <w:rPr>
          <w:i/>
          <w:color w:val="0D0E0E"/>
          <w:spacing w:val="-2"/>
          <w:sz w:val="20"/>
        </w:rPr>
        <w:t>Fonte:</w:t>
      </w:r>
      <w:r>
        <w:rPr>
          <w:i/>
          <w:color w:val="0D0E0E"/>
          <w:spacing w:val="61"/>
          <w:sz w:val="20"/>
        </w:rPr>
        <w:t> </w:t>
      </w:r>
      <w:r>
        <w:rPr>
          <w:i/>
          <w:color w:val="0D0E0E"/>
          <w:spacing w:val="-2"/>
          <w:sz w:val="20"/>
        </w:rPr>
        <w:t>https://tradingeconomics.com/united-states/composite-</w:t>
      </w:r>
      <w:r>
        <w:rPr>
          <w:i/>
          <w:color w:val="0D0E0E"/>
          <w:spacing w:val="-5"/>
          <w:sz w:val="20"/>
        </w:rPr>
        <w:t>pmi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39"/>
        <w:rPr>
          <w:i/>
          <w:sz w:val="20"/>
        </w:rPr>
      </w:pPr>
    </w:p>
    <w:p>
      <w:pPr>
        <w:pStyle w:val="BodyText"/>
        <w:ind w:left="42" w:right="1252" w:firstLine="707"/>
        <w:jc w:val="both"/>
      </w:pPr>
      <w:r>
        <w:rPr>
          <w:color w:val="0D0E0E"/>
        </w:rPr>
        <w:t>No mercado acionário, os destaques vão para o índice Nasdaq que passou por um mês</w:t>
      </w:r>
      <w:r>
        <w:rPr>
          <w:color w:val="0D0E0E"/>
          <w:spacing w:val="-6"/>
        </w:rPr>
        <w:t> </w:t>
      </w:r>
      <w:r>
        <w:rPr>
          <w:color w:val="0D0E0E"/>
        </w:rPr>
        <w:t>de</w:t>
      </w:r>
      <w:r>
        <w:rPr>
          <w:color w:val="0D0E0E"/>
          <w:spacing w:val="-6"/>
        </w:rPr>
        <w:t> </w:t>
      </w:r>
      <w:r>
        <w:rPr>
          <w:color w:val="0D0E0E"/>
        </w:rPr>
        <w:t>agosto</w:t>
      </w:r>
      <w:r>
        <w:rPr>
          <w:color w:val="0D0E0E"/>
          <w:spacing w:val="-6"/>
        </w:rPr>
        <w:t> </w:t>
      </w:r>
      <w:r>
        <w:rPr>
          <w:color w:val="0D0E0E"/>
        </w:rPr>
        <w:t>de</w:t>
      </w:r>
      <w:r>
        <w:rPr>
          <w:color w:val="0D0E0E"/>
          <w:spacing w:val="-6"/>
        </w:rPr>
        <w:t> </w:t>
      </w:r>
      <w:r>
        <w:rPr>
          <w:color w:val="0D0E0E"/>
        </w:rPr>
        <w:t>muita</w:t>
      </w:r>
      <w:r>
        <w:rPr>
          <w:color w:val="0D0E0E"/>
          <w:spacing w:val="-9"/>
        </w:rPr>
        <w:t> </w:t>
      </w:r>
      <w:r>
        <w:rPr>
          <w:color w:val="0D0E0E"/>
        </w:rPr>
        <w:t>volatilidade,</w:t>
      </w:r>
      <w:r>
        <w:rPr>
          <w:color w:val="0D0E0E"/>
          <w:spacing w:val="-4"/>
        </w:rPr>
        <w:t> </w:t>
      </w:r>
      <w:r>
        <w:rPr>
          <w:color w:val="0D0E0E"/>
        </w:rPr>
        <w:t>porém</w:t>
      </w:r>
      <w:r>
        <w:rPr>
          <w:color w:val="0D0E0E"/>
          <w:spacing w:val="-6"/>
        </w:rPr>
        <w:t> </w:t>
      </w:r>
      <w:r>
        <w:rPr>
          <w:color w:val="0D0E0E"/>
        </w:rPr>
        <w:t>vem</w:t>
      </w:r>
      <w:r>
        <w:rPr>
          <w:color w:val="0D0E0E"/>
          <w:spacing w:val="-7"/>
        </w:rPr>
        <w:t> </w:t>
      </w:r>
      <w:r>
        <w:rPr>
          <w:color w:val="0D0E0E"/>
        </w:rPr>
        <w:t>desde</w:t>
      </w:r>
      <w:r>
        <w:rPr>
          <w:color w:val="0D0E0E"/>
          <w:spacing w:val="-8"/>
        </w:rPr>
        <w:t> </w:t>
      </w:r>
      <w:r>
        <w:rPr>
          <w:color w:val="0D0E0E"/>
        </w:rPr>
        <w:t>o</w:t>
      </w:r>
      <w:r>
        <w:rPr>
          <w:color w:val="0D0E0E"/>
          <w:spacing w:val="-6"/>
        </w:rPr>
        <w:t> </w:t>
      </w:r>
      <w:r>
        <w:rPr>
          <w:color w:val="0D0E0E"/>
        </w:rPr>
        <w:t>início</w:t>
      </w:r>
      <w:r>
        <w:rPr>
          <w:color w:val="0D0E0E"/>
          <w:spacing w:val="-8"/>
        </w:rPr>
        <w:t> </w:t>
      </w:r>
      <w:r>
        <w:rPr>
          <w:color w:val="0D0E0E"/>
        </w:rPr>
        <w:t>do</w:t>
      </w:r>
      <w:r>
        <w:rPr>
          <w:color w:val="0D0E0E"/>
          <w:spacing w:val="-6"/>
        </w:rPr>
        <w:t> </w:t>
      </w:r>
      <w:r>
        <w:rPr>
          <w:color w:val="0D0E0E"/>
        </w:rPr>
        <w:t>ano</w:t>
      </w:r>
      <w:r>
        <w:rPr>
          <w:color w:val="0D0E0E"/>
          <w:spacing w:val="-3"/>
        </w:rPr>
        <w:t> </w:t>
      </w:r>
      <w:r>
        <w:rPr>
          <w:color w:val="0D0E0E"/>
        </w:rPr>
        <w:t>registrando</w:t>
      </w:r>
      <w:r>
        <w:rPr>
          <w:color w:val="0D0E0E"/>
          <w:spacing w:val="-6"/>
        </w:rPr>
        <w:t> </w:t>
      </w:r>
      <w:r>
        <w:rPr>
          <w:color w:val="0D0E0E"/>
        </w:rPr>
        <w:t>uma</w:t>
      </w:r>
      <w:r>
        <w:rPr>
          <w:color w:val="0D0E0E"/>
          <w:spacing w:val="-6"/>
        </w:rPr>
        <w:t> </w:t>
      </w:r>
      <w:r>
        <w:rPr>
          <w:color w:val="0D0E0E"/>
        </w:rPr>
        <w:t>alta que supera os 37% impulsionado principalmente pelas empresas de tecnologia ligadas ao setor de Inteligencia Artificial, como a popular empresa Nvidia.</w:t>
      </w:r>
    </w:p>
    <w:p>
      <w:pPr>
        <w:pStyle w:val="BodyText"/>
        <w:spacing w:after="0"/>
        <w:jc w:val="both"/>
        <w:sectPr>
          <w:pgSz w:w="11920" w:h="16850"/>
          <w:pgMar w:top="1320" w:bottom="280" w:left="1559" w:right="141"/>
        </w:sectPr>
      </w:pPr>
    </w:p>
    <w:p>
      <w:pPr>
        <w:pStyle w:val="BodyText"/>
        <w:spacing w:before="39"/>
        <w:ind w:left="705" w:right="1211"/>
        <w:jc w:val="center"/>
      </w:pPr>
      <w:r>
        <w:rPr>
          <w:color w:val="0D0E0E"/>
        </w:rPr>
        <w:t>Índice</w:t>
      </w:r>
      <w:r>
        <w:rPr>
          <w:color w:val="0D0E0E"/>
          <w:spacing w:val="-5"/>
        </w:rPr>
        <w:t> </w:t>
      </w:r>
      <w:r>
        <w:rPr>
          <w:color w:val="0D0E0E"/>
          <w:spacing w:val="-2"/>
        </w:rPr>
        <w:t>Nasdaq:</w:t>
      </w:r>
    </w:p>
    <w:p>
      <w:pPr>
        <w:pStyle w:val="BodyText"/>
        <w:spacing w:before="11"/>
        <w:rPr>
          <w:sz w:val="16"/>
        </w:rPr>
      </w:pPr>
      <w:r>
        <w:rPr>
          <w:sz w:val="16"/>
        </w:rPr>
        <w:drawing>
          <wp:anchor distT="0" distB="0" distL="0" distR="0" allowOverlap="1" layoutInCell="1" locked="0" behindDoc="1" simplePos="0" relativeHeight="487591424">
            <wp:simplePos x="0" y="0"/>
            <wp:positionH relativeFrom="page">
              <wp:posOffset>1092200</wp:posOffset>
            </wp:positionH>
            <wp:positionV relativeFrom="paragraph">
              <wp:posOffset>146831</wp:posOffset>
            </wp:positionV>
            <wp:extent cx="5486400" cy="2270759"/>
            <wp:effectExtent l="0" t="0" r="0" b="0"/>
            <wp:wrapTopAndBottom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70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40"/>
      </w:pPr>
    </w:p>
    <w:p>
      <w:pPr>
        <w:pStyle w:val="BodyText"/>
        <w:ind w:left="42" w:right="1257" w:firstLine="707"/>
        <w:jc w:val="both"/>
      </w:pPr>
      <w:r>
        <w:rPr>
          <w:color w:val="0D0E0E"/>
        </w:rPr>
        <w:t>Já o S&amp;P, no ano vem superando os 17%, tendo em agosto, se tornado volátil principalmente pela preocupação pelo ritmo dos juros futuros.</w:t>
      </w:r>
    </w:p>
    <w:p>
      <w:pPr>
        <w:pStyle w:val="BodyText"/>
        <w:spacing w:before="240"/>
        <w:ind w:left="705" w:right="1211"/>
        <w:jc w:val="center"/>
      </w:pPr>
      <w:r>
        <w:rPr>
          <w:color w:val="0D0E0E"/>
        </w:rPr>
        <w:t>Índice</w:t>
      </w:r>
      <w:r>
        <w:rPr>
          <w:color w:val="0D0E0E"/>
          <w:spacing w:val="-3"/>
        </w:rPr>
        <w:t> </w:t>
      </w:r>
      <w:r>
        <w:rPr>
          <w:color w:val="0D0E0E"/>
        </w:rPr>
        <w:t>S&amp;P</w:t>
      </w:r>
      <w:r>
        <w:rPr>
          <w:color w:val="0D0E0E"/>
          <w:spacing w:val="-2"/>
        </w:rPr>
        <w:t> </w:t>
      </w:r>
      <w:r>
        <w:rPr>
          <w:color w:val="0D0E0E"/>
          <w:spacing w:val="-4"/>
        </w:rPr>
        <w:t>500:</w:t>
      </w:r>
    </w:p>
    <w:p>
      <w:pPr>
        <w:pStyle w:val="BodyText"/>
        <w:spacing w:before="4"/>
        <w:rPr>
          <w:sz w:val="12"/>
        </w:rPr>
      </w:pPr>
      <w:r>
        <w:rPr>
          <w:sz w:val="12"/>
        </w:rPr>
        <w:drawing>
          <wp:anchor distT="0" distB="0" distL="0" distR="0" allowOverlap="1" layoutInCell="1" locked="0" behindDoc="1" simplePos="0" relativeHeight="487591936">
            <wp:simplePos x="0" y="0"/>
            <wp:positionH relativeFrom="page">
              <wp:posOffset>1089660</wp:posOffset>
            </wp:positionH>
            <wp:positionV relativeFrom="paragraph">
              <wp:posOffset>111204</wp:posOffset>
            </wp:positionV>
            <wp:extent cx="5417819" cy="2316479"/>
            <wp:effectExtent l="0" t="0" r="0" b="0"/>
            <wp:wrapTopAndBottom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7819" cy="2316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9"/>
      </w:pPr>
    </w:p>
    <w:p>
      <w:pPr>
        <w:pStyle w:val="Heading1"/>
      </w:pPr>
      <w:r>
        <w:rPr/>
        <w:t>Zona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>
          <w:spacing w:val="-4"/>
        </w:rPr>
        <w:t>Euro</w:t>
      </w:r>
    </w:p>
    <w:p>
      <w:pPr>
        <w:pStyle w:val="Heading2"/>
        <w:spacing w:before="242"/>
      </w:pPr>
      <w:r>
        <w:rPr>
          <w:spacing w:val="-2"/>
        </w:rPr>
        <w:t>Inflação</w:t>
      </w:r>
    </w:p>
    <w:p>
      <w:pPr>
        <w:pStyle w:val="BodyText"/>
        <w:spacing w:before="239"/>
        <w:ind w:left="42" w:right="1252" w:firstLine="707"/>
        <w:jc w:val="both"/>
      </w:pPr>
      <w:r>
        <w:rPr>
          <w:color w:val="0D0E0E"/>
        </w:rPr>
        <w:t>Em</w:t>
      </w:r>
      <w:r>
        <w:rPr>
          <w:color w:val="0D0E0E"/>
          <w:spacing w:val="-8"/>
        </w:rPr>
        <w:t> </w:t>
      </w:r>
      <w:r>
        <w:rPr>
          <w:color w:val="0D0E0E"/>
        </w:rPr>
        <w:t>agosto,</w:t>
      </w:r>
      <w:r>
        <w:rPr>
          <w:color w:val="0D0E0E"/>
          <w:spacing w:val="-10"/>
        </w:rPr>
        <w:t> </w:t>
      </w:r>
      <w:r>
        <w:rPr>
          <w:color w:val="0D0E0E"/>
        </w:rPr>
        <w:t>o</w:t>
      </w:r>
      <w:r>
        <w:rPr>
          <w:color w:val="0D0E0E"/>
          <w:spacing w:val="-11"/>
        </w:rPr>
        <w:t> </w:t>
      </w:r>
      <w:r>
        <w:rPr>
          <w:color w:val="0D0E0E"/>
        </w:rPr>
        <w:t>velho</w:t>
      </w:r>
      <w:r>
        <w:rPr>
          <w:color w:val="0D0E0E"/>
          <w:spacing w:val="-8"/>
        </w:rPr>
        <w:t> </w:t>
      </w:r>
      <w:r>
        <w:rPr>
          <w:color w:val="0D0E0E"/>
        </w:rPr>
        <w:t>continente</w:t>
      </w:r>
      <w:r>
        <w:rPr>
          <w:color w:val="0D0E0E"/>
          <w:spacing w:val="-11"/>
        </w:rPr>
        <w:t> </w:t>
      </w:r>
      <w:r>
        <w:rPr>
          <w:color w:val="0D0E0E"/>
        </w:rPr>
        <w:t>registrou</w:t>
      </w:r>
      <w:r>
        <w:rPr>
          <w:color w:val="0D0E0E"/>
          <w:spacing w:val="-10"/>
        </w:rPr>
        <w:t> </w:t>
      </w:r>
      <w:r>
        <w:rPr>
          <w:color w:val="0D0E0E"/>
        </w:rPr>
        <w:t>a</w:t>
      </w:r>
      <w:r>
        <w:rPr>
          <w:color w:val="0D0E0E"/>
          <w:spacing w:val="-11"/>
        </w:rPr>
        <w:t> </w:t>
      </w:r>
      <w:r>
        <w:rPr>
          <w:color w:val="0D0E0E"/>
        </w:rPr>
        <w:t>mesma</w:t>
      </w:r>
      <w:r>
        <w:rPr>
          <w:color w:val="0D0E0E"/>
          <w:spacing w:val="-11"/>
        </w:rPr>
        <w:t> </w:t>
      </w:r>
      <w:r>
        <w:rPr>
          <w:color w:val="0D0E0E"/>
        </w:rPr>
        <w:t>taxa</w:t>
      </w:r>
      <w:r>
        <w:rPr>
          <w:color w:val="0D0E0E"/>
          <w:spacing w:val="-11"/>
        </w:rPr>
        <w:t> </w:t>
      </w:r>
      <w:r>
        <w:rPr>
          <w:color w:val="0D0E0E"/>
        </w:rPr>
        <w:t>de</w:t>
      </w:r>
      <w:r>
        <w:rPr>
          <w:color w:val="0D0E0E"/>
          <w:spacing w:val="-8"/>
        </w:rPr>
        <w:t> </w:t>
      </w:r>
      <w:r>
        <w:rPr>
          <w:color w:val="0D0E0E"/>
        </w:rPr>
        <w:t>aumento</w:t>
      </w:r>
      <w:r>
        <w:rPr>
          <w:color w:val="0D0E0E"/>
          <w:spacing w:val="-11"/>
        </w:rPr>
        <w:t> </w:t>
      </w:r>
      <w:r>
        <w:rPr>
          <w:color w:val="0D0E0E"/>
        </w:rPr>
        <w:t>de</w:t>
      </w:r>
      <w:r>
        <w:rPr>
          <w:color w:val="0D0E0E"/>
          <w:spacing w:val="-11"/>
        </w:rPr>
        <w:t> </w:t>
      </w:r>
      <w:r>
        <w:rPr>
          <w:color w:val="0D0E0E"/>
        </w:rPr>
        <w:t>preços</w:t>
      </w:r>
      <w:r>
        <w:rPr>
          <w:color w:val="0D0E0E"/>
          <w:spacing w:val="-9"/>
        </w:rPr>
        <w:t> </w:t>
      </w:r>
      <w:r>
        <w:rPr>
          <w:color w:val="0D0E0E"/>
        </w:rPr>
        <w:t>do</w:t>
      </w:r>
      <w:r>
        <w:rPr>
          <w:color w:val="0D0E0E"/>
          <w:spacing w:val="-11"/>
        </w:rPr>
        <w:t> </w:t>
      </w:r>
      <w:r>
        <w:rPr>
          <w:color w:val="0D0E0E"/>
        </w:rPr>
        <w:t>mês anterior, em 5,3%, ainda longe da meta do Banco Central Europeu de 2% em média, e um pouco acima da projeção de 5,1% do mercado.</w:t>
      </w:r>
    </w:p>
    <w:p>
      <w:pPr>
        <w:pStyle w:val="BodyText"/>
        <w:spacing w:after="0"/>
        <w:jc w:val="both"/>
        <w:sectPr>
          <w:pgSz w:w="11920" w:h="16850"/>
          <w:pgMar w:top="1320" w:bottom="280" w:left="1559" w:right="141"/>
        </w:sectPr>
      </w:pPr>
    </w:p>
    <w:p>
      <w:pPr>
        <w:pStyle w:val="BodyText"/>
        <w:spacing w:before="39"/>
        <w:ind w:left="705" w:right="1211"/>
        <w:jc w:val="center"/>
      </w:pPr>
      <w:r>
        <w:rPr>
          <w:color w:val="0D0E0E"/>
        </w:rPr>
        <w:t>CPI</w:t>
      </w:r>
      <w:r>
        <w:rPr>
          <w:color w:val="0D0E0E"/>
          <w:spacing w:val="-3"/>
        </w:rPr>
        <w:t> </w:t>
      </w:r>
      <w:r>
        <w:rPr>
          <w:color w:val="0D0E0E"/>
        </w:rPr>
        <w:t>– Zona</w:t>
      </w:r>
      <w:r>
        <w:rPr>
          <w:color w:val="0D0E0E"/>
          <w:spacing w:val="-2"/>
        </w:rPr>
        <w:t> </w:t>
      </w:r>
      <w:r>
        <w:rPr>
          <w:color w:val="0D0E0E"/>
        </w:rPr>
        <w:t>do </w:t>
      </w:r>
      <w:r>
        <w:rPr>
          <w:color w:val="0D0E0E"/>
          <w:spacing w:val="-4"/>
        </w:rPr>
        <w:t>Euro: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92448">
            <wp:simplePos x="0" y="0"/>
            <wp:positionH relativeFrom="page">
              <wp:posOffset>1016000</wp:posOffset>
            </wp:positionH>
            <wp:positionV relativeFrom="paragraph">
              <wp:posOffset>180943</wp:posOffset>
            </wp:positionV>
            <wp:extent cx="5388626" cy="2668333"/>
            <wp:effectExtent l="0" t="0" r="0" b="0"/>
            <wp:wrapTopAndBottom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8626" cy="26683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0"/>
        <w:ind w:left="750" w:right="0" w:firstLine="0"/>
        <w:jc w:val="left"/>
        <w:rPr>
          <w:i/>
          <w:sz w:val="20"/>
        </w:rPr>
      </w:pPr>
      <w:r>
        <w:rPr>
          <w:i/>
          <w:color w:val="0D0E0E"/>
          <w:spacing w:val="-2"/>
          <w:sz w:val="20"/>
        </w:rPr>
        <w:t>Fonte:</w:t>
      </w:r>
      <w:r>
        <w:rPr>
          <w:i/>
          <w:color w:val="0D0E0E"/>
          <w:spacing w:val="53"/>
          <w:sz w:val="20"/>
        </w:rPr>
        <w:t> </w:t>
      </w:r>
      <w:r>
        <w:rPr>
          <w:i/>
          <w:color w:val="0D0E0E"/>
          <w:spacing w:val="-2"/>
          <w:sz w:val="20"/>
        </w:rPr>
        <w:t>https://tradingeconomics.com/euro-area/inflation-</w:t>
      </w:r>
      <w:r>
        <w:rPr>
          <w:i/>
          <w:color w:val="0D0E0E"/>
          <w:spacing w:val="-5"/>
          <w:sz w:val="20"/>
        </w:rPr>
        <w:t>cpi</w:t>
      </w:r>
    </w:p>
    <w:p>
      <w:pPr>
        <w:pStyle w:val="BodyText"/>
        <w:spacing w:before="239"/>
        <w:ind w:left="42" w:right="1252" w:firstLine="707"/>
        <w:jc w:val="both"/>
      </w:pPr>
      <w:r>
        <w:rPr>
          <w:color w:val="0D0E0E"/>
        </w:rPr>
        <w:t>Em</w:t>
      </w:r>
      <w:r>
        <w:rPr>
          <w:color w:val="0D0E0E"/>
          <w:spacing w:val="-3"/>
        </w:rPr>
        <w:t> </w:t>
      </w:r>
      <w:r>
        <w:rPr>
          <w:color w:val="0D0E0E"/>
        </w:rPr>
        <w:t>relação</w:t>
      </w:r>
      <w:r>
        <w:rPr>
          <w:color w:val="0D0E0E"/>
          <w:spacing w:val="-4"/>
        </w:rPr>
        <w:t> </w:t>
      </w:r>
      <w:r>
        <w:rPr>
          <w:color w:val="0D0E0E"/>
        </w:rPr>
        <w:t>aos</w:t>
      </w:r>
      <w:r>
        <w:rPr>
          <w:color w:val="0D0E0E"/>
          <w:spacing w:val="-3"/>
        </w:rPr>
        <w:t> </w:t>
      </w:r>
      <w:r>
        <w:rPr>
          <w:color w:val="0D0E0E"/>
        </w:rPr>
        <w:t>componentes</w:t>
      </w:r>
      <w:r>
        <w:rPr>
          <w:color w:val="0D0E0E"/>
          <w:spacing w:val="-6"/>
        </w:rPr>
        <w:t> </w:t>
      </w:r>
      <w:r>
        <w:rPr>
          <w:color w:val="0D0E0E"/>
        </w:rPr>
        <w:t>do</w:t>
      </w:r>
      <w:r>
        <w:rPr>
          <w:color w:val="0D0E0E"/>
          <w:spacing w:val="-3"/>
        </w:rPr>
        <w:t> </w:t>
      </w:r>
      <w:r>
        <w:rPr>
          <w:color w:val="0D0E0E"/>
        </w:rPr>
        <w:t>índice,</w:t>
      </w:r>
      <w:r>
        <w:rPr>
          <w:color w:val="0D0E0E"/>
          <w:spacing w:val="-3"/>
        </w:rPr>
        <w:t> </w:t>
      </w:r>
      <w:r>
        <w:rPr>
          <w:color w:val="0D0E0E"/>
        </w:rPr>
        <w:t>vale</w:t>
      </w:r>
      <w:r>
        <w:rPr>
          <w:color w:val="0D0E0E"/>
          <w:spacing w:val="-1"/>
        </w:rPr>
        <w:t> </w:t>
      </w:r>
      <w:r>
        <w:rPr>
          <w:color w:val="0D0E0E"/>
        </w:rPr>
        <w:t>destaque</w:t>
      </w:r>
      <w:r>
        <w:rPr>
          <w:color w:val="0D0E0E"/>
          <w:spacing w:val="-6"/>
        </w:rPr>
        <w:t> </w:t>
      </w:r>
      <w:r>
        <w:rPr>
          <w:color w:val="0D0E0E"/>
        </w:rPr>
        <w:t>para</w:t>
      </w:r>
      <w:r>
        <w:rPr>
          <w:color w:val="0D0E0E"/>
          <w:spacing w:val="-6"/>
        </w:rPr>
        <w:t> </w:t>
      </w:r>
      <w:r>
        <w:rPr>
          <w:color w:val="0D0E0E"/>
        </w:rPr>
        <w:t>energia,</w:t>
      </w:r>
      <w:r>
        <w:rPr>
          <w:color w:val="0D0E0E"/>
          <w:spacing w:val="-4"/>
        </w:rPr>
        <w:t> </w:t>
      </w:r>
      <w:r>
        <w:rPr>
          <w:color w:val="0D0E0E"/>
        </w:rPr>
        <w:t>que</w:t>
      </w:r>
      <w:r>
        <w:rPr>
          <w:color w:val="0D0E0E"/>
          <w:spacing w:val="-6"/>
        </w:rPr>
        <w:t> </w:t>
      </w:r>
      <w:r>
        <w:rPr>
          <w:color w:val="0D0E0E"/>
        </w:rPr>
        <w:t>trouxe</w:t>
      </w:r>
      <w:r>
        <w:rPr>
          <w:color w:val="0D0E0E"/>
          <w:spacing w:val="-3"/>
        </w:rPr>
        <w:t> </w:t>
      </w:r>
      <w:r>
        <w:rPr>
          <w:color w:val="0D0E0E"/>
        </w:rPr>
        <w:t>uma diminuição de preços em patamares menores que no mês anterior, número de -3,3% em agosto versus -6,1% em julho, e para alimentos, que inflacionou em menor ritmo, 9,8% em agosto contra 10,8% em julho.</w:t>
      </w:r>
    </w:p>
    <w:p>
      <w:pPr>
        <w:pStyle w:val="BodyText"/>
        <w:spacing w:before="239"/>
        <w:ind w:left="708" w:right="1211"/>
        <w:jc w:val="center"/>
      </w:pPr>
      <w:r>
        <w:rPr>
          <w:color w:val="0D0E0E"/>
        </w:rPr>
        <w:t>CPI</w:t>
      </w:r>
      <w:r>
        <w:rPr>
          <w:color w:val="0D0E0E"/>
          <w:spacing w:val="-2"/>
        </w:rPr>
        <w:t> </w:t>
      </w:r>
      <w:r>
        <w:rPr>
          <w:color w:val="0D0E0E"/>
        </w:rPr>
        <w:t>mensal</w:t>
      </w:r>
      <w:r>
        <w:rPr>
          <w:color w:val="0D0E0E"/>
          <w:spacing w:val="-2"/>
        </w:rPr>
        <w:t> </w:t>
      </w:r>
      <w:r>
        <w:rPr>
          <w:color w:val="0D0E0E"/>
        </w:rPr>
        <w:t>– Zona</w:t>
      </w:r>
      <w:r>
        <w:rPr>
          <w:color w:val="0D0E0E"/>
          <w:spacing w:val="-3"/>
        </w:rPr>
        <w:t> </w:t>
      </w:r>
      <w:r>
        <w:rPr>
          <w:color w:val="0D0E0E"/>
        </w:rPr>
        <w:t>do</w:t>
      </w:r>
      <w:r>
        <w:rPr>
          <w:color w:val="0D0E0E"/>
          <w:spacing w:val="-2"/>
        </w:rPr>
        <w:t> Euro:</w:t>
      </w:r>
    </w:p>
    <w:p>
      <w:pPr>
        <w:pStyle w:val="BodyText"/>
        <w:spacing w:before="6"/>
        <w:rPr>
          <w:sz w:val="9"/>
        </w:rPr>
      </w:pPr>
      <w:r>
        <w:rPr>
          <w:sz w:val="9"/>
        </w:rPr>
        <w:drawing>
          <wp:anchor distT="0" distB="0" distL="0" distR="0" allowOverlap="1" layoutInCell="1" locked="0" behindDoc="1" simplePos="0" relativeHeight="487592960">
            <wp:simplePos x="0" y="0"/>
            <wp:positionH relativeFrom="page">
              <wp:posOffset>1082462</wp:posOffset>
            </wp:positionH>
            <wp:positionV relativeFrom="paragraph">
              <wp:posOffset>88846</wp:posOffset>
            </wp:positionV>
            <wp:extent cx="5317030" cy="2560605"/>
            <wp:effectExtent l="0" t="0" r="0" b="0"/>
            <wp:wrapTopAndBottom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7030" cy="2560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1"/>
        <w:ind w:left="750" w:right="0" w:firstLine="0"/>
        <w:jc w:val="left"/>
        <w:rPr>
          <w:i/>
          <w:sz w:val="20"/>
        </w:rPr>
      </w:pPr>
      <w:r>
        <w:rPr>
          <w:i/>
          <w:color w:val="0D0E0E"/>
          <w:spacing w:val="-2"/>
          <w:sz w:val="20"/>
        </w:rPr>
        <w:t>Fonte:</w:t>
      </w:r>
      <w:r>
        <w:rPr>
          <w:i/>
          <w:color w:val="0D0E0E"/>
          <w:spacing w:val="62"/>
          <w:sz w:val="20"/>
        </w:rPr>
        <w:t> </w:t>
      </w:r>
      <w:r>
        <w:rPr>
          <w:i/>
          <w:color w:val="0D0E0E"/>
          <w:spacing w:val="-2"/>
          <w:sz w:val="20"/>
        </w:rPr>
        <w:t>https://tradingeconomics.com/euro-area/inflation-rate-</w:t>
      </w:r>
      <w:r>
        <w:rPr>
          <w:i/>
          <w:color w:val="0D0E0E"/>
          <w:spacing w:val="-5"/>
          <w:sz w:val="20"/>
        </w:rPr>
        <w:t>mom</w:t>
      </w:r>
    </w:p>
    <w:p>
      <w:pPr>
        <w:pStyle w:val="BodyText"/>
        <w:spacing w:before="239"/>
        <w:ind w:left="42" w:right="1262" w:firstLine="707"/>
        <w:jc w:val="both"/>
      </w:pPr>
      <w:r>
        <w:rPr>
          <w:color w:val="0D0E0E"/>
        </w:rPr>
        <w:t>O</w:t>
      </w:r>
      <w:r>
        <w:rPr>
          <w:color w:val="0D0E0E"/>
          <w:spacing w:val="-7"/>
        </w:rPr>
        <w:t> </w:t>
      </w:r>
      <w:r>
        <w:rPr>
          <w:color w:val="0D0E0E"/>
        </w:rPr>
        <w:t>núcleo,</w:t>
      </w:r>
      <w:r>
        <w:rPr>
          <w:color w:val="0D0E0E"/>
          <w:spacing w:val="-9"/>
        </w:rPr>
        <w:t> </w:t>
      </w:r>
      <w:r>
        <w:rPr>
          <w:color w:val="0D0E0E"/>
        </w:rPr>
        <w:t>que</w:t>
      </w:r>
      <w:r>
        <w:rPr>
          <w:color w:val="0D0E0E"/>
          <w:spacing w:val="-8"/>
        </w:rPr>
        <w:t> </w:t>
      </w:r>
      <w:r>
        <w:rPr>
          <w:color w:val="0D0E0E"/>
        </w:rPr>
        <w:t>elimina</w:t>
      </w:r>
      <w:r>
        <w:rPr>
          <w:color w:val="0D0E0E"/>
          <w:spacing w:val="-6"/>
        </w:rPr>
        <w:t> </w:t>
      </w:r>
      <w:r>
        <w:rPr>
          <w:color w:val="0D0E0E"/>
        </w:rPr>
        <w:t>os</w:t>
      </w:r>
      <w:r>
        <w:rPr>
          <w:color w:val="0D0E0E"/>
          <w:spacing w:val="-8"/>
        </w:rPr>
        <w:t> </w:t>
      </w:r>
      <w:r>
        <w:rPr>
          <w:color w:val="0D0E0E"/>
        </w:rPr>
        <w:t>itens</w:t>
      </w:r>
      <w:r>
        <w:rPr>
          <w:color w:val="0D0E0E"/>
          <w:spacing w:val="-7"/>
        </w:rPr>
        <w:t> </w:t>
      </w:r>
      <w:r>
        <w:rPr>
          <w:color w:val="0D0E0E"/>
        </w:rPr>
        <w:t>mais</w:t>
      </w:r>
      <w:r>
        <w:rPr>
          <w:color w:val="0D0E0E"/>
          <w:spacing w:val="-7"/>
        </w:rPr>
        <w:t> </w:t>
      </w:r>
      <w:r>
        <w:rPr>
          <w:color w:val="0D0E0E"/>
        </w:rPr>
        <w:t>voláteis,</w:t>
      </w:r>
      <w:r>
        <w:rPr>
          <w:color w:val="0D0E0E"/>
          <w:spacing w:val="-6"/>
        </w:rPr>
        <w:t> </w:t>
      </w:r>
      <w:r>
        <w:rPr>
          <w:color w:val="0D0E0E"/>
        </w:rPr>
        <w:t>registrou</w:t>
      </w:r>
      <w:r>
        <w:rPr>
          <w:color w:val="0D0E0E"/>
          <w:spacing w:val="-5"/>
        </w:rPr>
        <w:t> </w:t>
      </w:r>
      <w:r>
        <w:rPr>
          <w:color w:val="0D0E0E"/>
        </w:rPr>
        <w:t>uma</w:t>
      </w:r>
      <w:r>
        <w:rPr>
          <w:color w:val="0D0E0E"/>
          <w:spacing w:val="-6"/>
        </w:rPr>
        <w:t> </w:t>
      </w:r>
      <w:r>
        <w:rPr>
          <w:color w:val="0D0E0E"/>
        </w:rPr>
        <w:t>inflação</w:t>
      </w:r>
      <w:r>
        <w:rPr>
          <w:color w:val="0D0E0E"/>
          <w:spacing w:val="-6"/>
        </w:rPr>
        <w:t> </w:t>
      </w:r>
      <w:r>
        <w:rPr>
          <w:color w:val="0D0E0E"/>
        </w:rPr>
        <w:t>ainda</w:t>
      </w:r>
      <w:r>
        <w:rPr>
          <w:color w:val="0D0E0E"/>
          <w:spacing w:val="-9"/>
        </w:rPr>
        <w:t> </w:t>
      </w:r>
      <w:r>
        <w:rPr>
          <w:color w:val="0D0E0E"/>
        </w:rPr>
        <w:t>elevada</w:t>
      </w:r>
      <w:r>
        <w:rPr>
          <w:color w:val="0D0E0E"/>
          <w:spacing w:val="-6"/>
        </w:rPr>
        <w:t> </w:t>
      </w:r>
      <w:r>
        <w:rPr>
          <w:color w:val="0D0E0E"/>
        </w:rPr>
        <w:t>de 5,3%, porém menor que os 5,5% do mês anterior.</w:t>
      </w:r>
    </w:p>
    <w:p>
      <w:pPr>
        <w:pStyle w:val="BodyText"/>
        <w:spacing w:after="0"/>
        <w:jc w:val="both"/>
        <w:sectPr>
          <w:pgSz w:w="11920" w:h="16850"/>
          <w:pgMar w:top="1320" w:bottom="280" w:left="1559" w:right="141"/>
        </w:sectPr>
      </w:pPr>
    </w:p>
    <w:p>
      <w:pPr>
        <w:pStyle w:val="BodyText"/>
        <w:spacing w:before="39"/>
        <w:ind w:left="3306"/>
      </w:pPr>
      <w:r>
        <w:rPr>
          <w:color w:val="0D0E0E"/>
        </w:rPr>
        <w:t>Núcleo</w:t>
      </w:r>
      <w:r>
        <w:rPr>
          <w:color w:val="0D0E0E"/>
          <w:spacing w:val="-4"/>
        </w:rPr>
        <w:t> </w:t>
      </w:r>
      <w:r>
        <w:rPr>
          <w:color w:val="0D0E0E"/>
        </w:rPr>
        <w:t>inflação</w:t>
      </w:r>
      <w:r>
        <w:rPr>
          <w:color w:val="0D0E0E"/>
          <w:spacing w:val="-1"/>
        </w:rPr>
        <w:t> </w:t>
      </w:r>
      <w:r>
        <w:rPr>
          <w:color w:val="0D0E0E"/>
        </w:rPr>
        <w:t>–</w:t>
      </w:r>
      <w:r>
        <w:rPr>
          <w:color w:val="0D0E0E"/>
          <w:spacing w:val="-4"/>
        </w:rPr>
        <w:t> </w:t>
      </w:r>
      <w:r>
        <w:rPr>
          <w:color w:val="0D0E0E"/>
        </w:rPr>
        <w:t>Zona</w:t>
      </w:r>
      <w:r>
        <w:rPr>
          <w:color w:val="0D0E0E"/>
          <w:spacing w:val="-4"/>
        </w:rPr>
        <w:t> </w:t>
      </w:r>
      <w:r>
        <w:rPr>
          <w:color w:val="0D0E0E"/>
        </w:rPr>
        <w:t>do</w:t>
      </w:r>
      <w:r>
        <w:rPr>
          <w:color w:val="0D0E0E"/>
          <w:spacing w:val="-2"/>
        </w:rPr>
        <w:t> </w:t>
      </w:r>
      <w:r>
        <w:rPr>
          <w:color w:val="0D0E0E"/>
          <w:spacing w:val="-4"/>
        </w:rPr>
        <w:t>Euro: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93472">
            <wp:simplePos x="0" y="0"/>
            <wp:positionH relativeFrom="page">
              <wp:posOffset>1016000</wp:posOffset>
            </wp:positionH>
            <wp:positionV relativeFrom="paragraph">
              <wp:posOffset>180943</wp:posOffset>
            </wp:positionV>
            <wp:extent cx="5385076" cy="2593752"/>
            <wp:effectExtent l="0" t="0" r="0" b="0"/>
            <wp:wrapTopAndBottom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5076" cy="2593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7"/>
        <w:ind w:left="750" w:right="0" w:firstLine="0"/>
        <w:jc w:val="left"/>
        <w:rPr>
          <w:i/>
          <w:sz w:val="20"/>
        </w:rPr>
      </w:pPr>
      <w:r>
        <w:rPr>
          <w:i/>
          <w:color w:val="0D0E0E"/>
          <w:spacing w:val="-2"/>
          <w:sz w:val="20"/>
        </w:rPr>
        <w:t>Fonte:</w:t>
      </w:r>
      <w:r>
        <w:rPr>
          <w:i/>
          <w:color w:val="0D0E0E"/>
          <w:spacing w:val="62"/>
          <w:sz w:val="20"/>
        </w:rPr>
        <w:t> </w:t>
      </w:r>
      <w:r>
        <w:rPr>
          <w:i/>
          <w:color w:val="0D0E0E"/>
          <w:spacing w:val="-2"/>
          <w:sz w:val="20"/>
        </w:rPr>
        <w:t>https://tradingeconomics.com/euro-area/core-inflation-</w:t>
      </w:r>
      <w:r>
        <w:rPr>
          <w:i/>
          <w:color w:val="0D0E0E"/>
          <w:spacing w:val="-4"/>
          <w:sz w:val="20"/>
        </w:rPr>
        <w:t>rate</w:t>
      </w:r>
    </w:p>
    <w:p>
      <w:pPr>
        <w:pStyle w:val="BodyText"/>
        <w:spacing w:before="238"/>
        <w:ind w:left="42" w:right="1262" w:firstLine="707"/>
        <w:jc w:val="both"/>
      </w:pPr>
      <w:r>
        <w:rPr>
          <w:color w:val="0D0E0E"/>
        </w:rPr>
        <w:t>Atualmente, as projeções de inflação do mercado para os finais dos anos são as seguintes: 5,6% para 2023, 3,2% em 2024 e de 2,1% para 2025, próximo à meta.</w:t>
      </w:r>
    </w:p>
    <w:p>
      <w:pPr>
        <w:pStyle w:val="BodyText"/>
        <w:spacing w:before="240"/>
        <w:ind w:left="42" w:right="1261" w:firstLine="707"/>
        <w:jc w:val="both"/>
      </w:pPr>
      <w:r>
        <w:rPr>
          <w:color w:val="0D0E0E"/>
        </w:rPr>
        <w:t>De maneira não surpreendente, o principal fator para essa alta nos preços se deve principalmente por conta do setor energético, que passa por uma crise no continente amplificada pela guerra na Ucrânia.</w:t>
      </w:r>
    </w:p>
    <w:p>
      <w:pPr>
        <w:pStyle w:val="BodyText"/>
        <w:spacing w:before="240"/>
        <w:ind w:left="42" w:right="1262" w:firstLine="707"/>
        <w:jc w:val="both"/>
      </w:pPr>
      <w:r>
        <w:rPr>
          <w:color w:val="0D0E0E"/>
        </w:rPr>
        <w:t>As projeções do núcleo de inflação seguem muito próximo do indicador cheio, em torno de 5,1% para 2023, 2,9% para o ano seguinte, em 2024 e de 2,2% em 2025.</w:t>
      </w:r>
    </w:p>
    <w:p>
      <w:pPr>
        <w:pStyle w:val="BodyText"/>
      </w:pPr>
    </w:p>
    <w:p>
      <w:pPr>
        <w:pStyle w:val="BodyText"/>
        <w:spacing w:before="189"/>
      </w:pPr>
    </w:p>
    <w:p>
      <w:pPr>
        <w:pStyle w:val="Heading2"/>
      </w:pPr>
      <w:r>
        <w:rPr>
          <w:spacing w:val="-2"/>
        </w:rPr>
        <w:t>Juros</w:t>
      </w:r>
    </w:p>
    <w:p>
      <w:pPr>
        <w:pStyle w:val="BodyText"/>
        <w:spacing w:before="239"/>
        <w:ind w:left="42" w:right="1256" w:firstLine="707"/>
        <w:jc w:val="both"/>
      </w:pPr>
      <w:r>
        <w:rPr>
          <w:color w:val="0D0E0E"/>
        </w:rPr>
        <w:t>Através principalmente dos resultados dos índices de inflação, não havia um pleno consenso</w:t>
      </w:r>
      <w:r>
        <w:rPr>
          <w:color w:val="0D0E0E"/>
          <w:spacing w:val="-5"/>
        </w:rPr>
        <w:t> </w:t>
      </w:r>
      <w:r>
        <w:rPr>
          <w:color w:val="0D0E0E"/>
        </w:rPr>
        <w:t>de</w:t>
      </w:r>
      <w:r>
        <w:rPr>
          <w:color w:val="0D0E0E"/>
          <w:spacing w:val="-2"/>
        </w:rPr>
        <w:t> </w:t>
      </w:r>
      <w:r>
        <w:rPr>
          <w:color w:val="0D0E0E"/>
        </w:rPr>
        <w:t>mercado</w:t>
      </w:r>
      <w:r>
        <w:rPr>
          <w:color w:val="0D0E0E"/>
          <w:spacing w:val="-5"/>
        </w:rPr>
        <w:t> </w:t>
      </w:r>
      <w:r>
        <w:rPr>
          <w:color w:val="0D0E0E"/>
        </w:rPr>
        <w:t>quanto</w:t>
      </w:r>
      <w:r>
        <w:rPr>
          <w:color w:val="0D0E0E"/>
          <w:spacing w:val="-5"/>
        </w:rPr>
        <w:t> </w:t>
      </w:r>
      <w:r>
        <w:rPr>
          <w:color w:val="0D0E0E"/>
        </w:rPr>
        <w:t>aos</w:t>
      </w:r>
      <w:r>
        <w:rPr>
          <w:color w:val="0D0E0E"/>
          <w:spacing w:val="-6"/>
        </w:rPr>
        <w:t> </w:t>
      </w:r>
      <w:r>
        <w:rPr>
          <w:color w:val="0D0E0E"/>
        </w:rPr>
        <w:t>próximos</w:t>
      </w:r>
      <w:r>
        <w:rPr>
          <w:color w:val="0D0E0E"/>
          <w:spacing w:val="-6"/>
        </w:rPr>
        <w:t> </w:t>
      </w:r>
      <w:r>
        <w:rPr>
          <w:color w:val="0D0E0E"/>
        </w:rPr>
        <w:t>passos</w:t>
      </w:r>
      <w:r>
        <w:rPr>
          <w:color w:val="0D0E0E"/>
          <w:spacing w:val="-3"/>
        </w:rPr>
        <w:t> </w:t>
      </w:r>
      <w:r>
        <w:rPr>
          <w:color w:val="0D0E0E"/>
        </w:rPr>
        <w:t>de</w:t>
      </w:r>
      <w:r>
        <w:rPr>
          <w:color w:val="0D0E0E"/>
          <w:spacing w:val="-5"/>
        </w:rPr>
        <w:t> </w:t>
      </w:r>
      <w:r>
        <w:rPr>
          <w:color w:val="0D0E0E"/>
        </w:rPr>
        <w:t>política</w:t>
      </w:r>
      <w:r>
        <w:rPr>
          <w:color w:val="0D0E0E"/>
          <w:spacing w:val="-5"/>
        </w:rPr>
        <w:t> </w:t>
      </w:r>
      <w:r>
        <w:rPr>
          <w:color w:val="0D0E0E"/>
        </w:rPr>
        <w:t>monetária</w:t>
      </w:r>
      <w:r>
        <w:rPr>
          <w:color w:val="0D0E0E"/>
          <w:spacing w:val="-5"/>
        </w:rPr>
        <w:t> </w:t>
      </w:r>
      <w:r>
        <w:rPr>
          <w:color w:val="0D0E0E"/>
        </w:rPr>
        <w:t>a</w:t>
      </w:r>
      <w:r>
        <w:rPr>
          <w:color w:val="0D0E0E"/>
          <w:spacing w:val="-5"/>
        </w:rPr>
        <w:t> </w:t>
      </w:r>
      <w:r>
        <w:rPr>
          <w:color w:val="0D0E0E"/>
        </w:rPr>
        <w:t>ser</w:t>
      </w:r>
      <w:r>
        <w:rPr>
          <w:color w:val="0D0E0E"/>
          <w:spacing w:val="-2"/>
        </w:rPr>
        <w:t> </w:t>
      </w:r>
      <w:r>
        <w:rPr>
          <w:color w:val="0D0E0E"/>
        </w:rPr>
        <w:t>adotada</w:t>
      </w:r>
      <w:r>
        <w:rPr>
          <w:color w:val="0D0E0E"/>
          <w:spacing w:val="-5"/>
        </w:rPr>
        <w:t> </w:t>
      </w:r>
      <w:r>
        <w:rPr>
          <w:color w:val="0D0E0E"/>
        </w:rPr>
        <w:t>pelo Banco</w:t>
      </w:r>
      <w:r>
        <w:rPr>
          <w:color w:val="0D0E0E"/>
          <w:spacing w:val="-9"/>
        </w:rPr>
        <w:t> </w:t>
      </w:r>
      <w:r>
        <w:rPr>
          <w:color w:val="0D0E0E"/>
        </w:rPr>
        <w:t>Central</w:t>
      </w:r>
      <w:r>
        <w:rPr>
          <w:color w:val="0D0E0E"/>
          <w:spacing w:val="-9"/>
        </w:rPr>
        <w:t> </w:t>
      </w:r>
      <w:r>
        <w:rPr>
          <w:color w:val="0D0E0E"/>
        </w:rPr>
        <w:t>Europeu</w:t>
      </w:r>
      <w:r>
        <w:rPr>
          <w:color w:val="0D0E0E"/>
          <w:spacing w:val="-8"/>
        </w:rPr>
        <w:t> </w:t>
      </w:r>
      <w:r>
        <w:rPr>
          <w:color w:val="0D0E0E"/>
        </w:rPr>
        <w:t>sob</w:t>
      </w:r>
      <w:r>
        <w:rPr>
          <w:color w:val="0D0E0E"/>
          <w:spacing w:val="-8"/>
        </w:rPr>
        <w:t> </w:t>
      </w:r>
      <w:r>
        <w:rPr>
          <w:color w:val="0D0E0E"/>
        </w:rPr>
        <w:t>comando</w:t>
      </w:r>
      <w:r>
        <w:rPr>
          <w:color w:val="0D0E0E"/>
          <w:spacing w:val="-12"/>
        </w:rPr>
        <w:t> </w:t>
      </w:r>
      <w:r>
        <w:rPr>
          <w:color w:val="0D0E0E"/>
        </w:rPr>
        <w:t>de</w:t>
      </w:r>
      <w:r>
        <w:rPr>
          <w:color w:val="0D0E0E"/>
          <w:spacing w:val="-8"/>
        </w:rPr>
        <w:t> </w:t>
      </w:r>
      <w:r>
        <w:rPr>
          <w:color w:val="0D0E0E"/>
        </w:rPr>
        <w:t>Christine</w:t>
      </w:r>
      <w:r>
        <w:rPr>
          <w:color w:val="0D0E0E"/>
          <w:spacing w:val="-10"/>
        </w:rPr>
        <w:t> </w:t>
      </w:r>
      <w:r>
        <w:rPr>
          <w:color w:val="0D0E0E"/>
        </w:rPr>
        <w:t>Lagarde.</w:t>
      </w:r>
      <w:r>
        <w:rPr>
          <w:color w:val="0D0E0E"/>
          <w:spacing w:val="-10"/>
        </w:rPr>
        <w:t> </w:t>
      </w:r>
      <w:r>
        <w:rPr>
          <w:color w:val="0D0E0E"/>
        </w:rPr>
        <w:t>A</w:t>
      </w:r>
      <w:r>
        <w:rPr>
          <w:color w:val="0D0E0E"/>
          <w:spacing w:val="-12"/>
        </w:rPr>
        <w:t> </w:t>
      </w:r>
      <w:r>
        <w:rPr>
          <w:color w:val="0D0E0E"/>
        </w:rPr>
        <w:t>divisão</w:t>
      </w:r>
      <w:r>
        <w:rPr>
          <w:color w:val="0D0E0E"/>
          <w:spacing w:val="-11"/>
        </w:rPr>
        <w:t> </w:t>
      </w:r>
      <w:r>
        <w:rPr>
          <w:color w:val="0D0E0E"/>
        </w:rPr>
        <w:t>de</w:t>
      </w:r>
      <w:r>
        <w:rPr>
          <w:color w:val="0D0E0E"/>
          <w:spacing w:val="-12"/>
        </w:rPr>
        <w:t> </w:t>
      </w:r>
      <w:r>
        <w:rPr>
          <w:color w:val="0D0E0E"/>
        </w:rPr>
        <w:t>opinião</w:t>
      </w:r>
      <w:r>
        <w:rPr>
          <w:color w:val="0D0E0E"/>
          <w:spacing w:val="-9"/>
        </w:rPr>
        <w:t> </w:t>
      </w:r>
      <w:r>
        <w:rPr>
          <w:color w:val="0D0E0E"/>
        </w:rPr>
        <w:t>estava</w:t>
      </w:r>
      <w:r>
        <w:rPr>
          <w:color w:val="0D0E0E"/>
          <w:spacing w:val="-10"/>
        </w:rPr>
        <w:t> </w:t>
      </w:r>
      <w:r>
        <w:rPr>
          <w:color w:val="0D0E0E"/>
        </w:rPr>
        <w:t>entre uma</w:t>
      </w:r>
      <w:r>
        <w:rPr>
          <w:color w:val="0D0E0E"/>
          <w:spacing w:val="-14"/>
        </w:rPr>
        <w:t> </w:t>
      </w:r>
      <w:r>
        <w:rPr>
          <w:color w:val="0D0E0E"/>
        </w:rPr>
        <w:t>manutenção</w:t>
      </w:r>
      <w:r>
        <w:rPr>
          <w:color w:val="0D0E0E"/>
          <w:spacing w:val="-14"/>
        </w:rPr>
        <w:t> </w:t>
      </w:r>
      <w:r>
        <w:rPr>
          <w:color w:val="0D0E0E"/>
        </w:rPr>
        <w:t>da</w:t>
      </w:r>
      <w:r>
        <w:rPr>
          <w:color w:val="0D0E0E"/>
          <w:spacing w:val="-13"/>
        </w:rPr>
        <w:t> </w:t>
      </w:r>
      <w:r>
        <w:rPr>
          <w:color w:val="0D0E0E"/>
        </w:rPr>
        <w:t>taxa</w:t>
      </w:r>
      <w:r>
        <w:rPr>
          <w:color w:val="0D0E0E"/>
          <w:spacing w:val="-14"/>
        </w:rPr>
        <w:t> </w:t>
      </w:r>
      <w:r>
        <w:rPr>
          <w:color w:val="0D0E0E"/>
        </w:rPr>
        <w:t>de</w:t>
      </w:r>
      <w:r>
        <w:rPr>
          <w:color w:val="0D0E0E"/>
          <w:spacing w:val="-13"/>
        </w:rPr>
        <w:t> </w:t>
      </w:r>
      <w:r>
        <w:rPr>
          <w:color w:val="0D0E0E"/>
        </w:rPr>
        <w:t>juros</w:t>
      </w:r>
      <w:r>
        <w:rPr>
          <w:color w:val="0D0E0E"/>
          <w:spacing w:val="-14"/>
        </w:rPr>
        <w:t> </w:t>
      </w:r>
      <w:r>
        <w:rPr>
          <w:color w:val="0D0E0E"/>
        </w:rPr>
        <w:t>ainda</w:t>
      </w:r>
      <w:r>
        <w:rPr>
          <w:color w:val="0D0E0E"/>
          <w:spacing w:val="-13"/>
        </w:rPr>
        <w:t> </w:t>
      </w:r>
      <w:r>
        <w:rPr>
          <w:color w:val="0D0E0E"/>
        </w:rPr>
        <w:t>no</w:t>
      </w:r>
      <w:r>
        <w:rPr>
          <w:color w:val="0D0E0E"/>
          <w:spacing w:val="-14"/>
        </w:rPr>
        <w:t> </w:t>
      </w:r>
      <w:r>
        <w:rPr>
          <w:color w:val="0D0E0E"/>
        </w:rPr>
        <w:t>patamar</w:t>
      </w:r>
      <w:r>
        <w:rPr>
          <w:color w:val="0D0E0E"/>
          <w:spacing w:val="-14"/>
        </w:rPr>
        <w:t> </w:t>
      </w:r>
      <w:r>
        <w:rPr>
          <w:color w:val="0D0E0E"/>
        </w:rPr>
        <w:t>de</w:t>
      </w:r>
      <w:r>
        <w:rPr>
          <w:color w:val="0D0E0E"/>
          <w:spacing w:val="-13"/>
        </w:rPr>
        <w:t> </w:t>
      </w:r>
      <w:r>
        <w:rPr>
          <w:color w:val="0D0E0E"/>
        </w:rPr>
        <w:t>até</w:t>
      </w:r>
      <w:r>
        <w:rPr>
          <w:color w:val="0D0E0E"/>
          <w:spacing w:val="-14"/>
        </w:rPr>
        <w:t> </w:t>
      </w:r>
      <w:r>
        <w:rPr>
          <w:color w:val="0D0E0E"/>
        </w:rPr>
        <w:t>4,25%</w:t>
      </w:r>
      <w:r>
        <w:rPr>
          <w:color w:val="0D0E0E"/>
          <w:spacing w:val="-13"/>
        </w:rPr>
        <w:t> </w:t>
      </w:r>
      <w:r>
        <w:rPr>
          <w:color w:val="0D0E0E"/>
        </w:rPr>
        <w:t>ao</w:t>
      </w:r>
      <w:r>
        <w:rPr>
          <w:color w:val="0D0E0E"/>
          <w:spacing w:val="-14"/>
        </w:rPr>
        <w:t> </w:t>
      </w:r>
      <w:r>
        <w:rPr>
          <w:color w:val="0D0E0E"/>
        </w:rPr>
        <w:t>ano,</w:t>
      </w:r>
      <w:r>
        <w:rPr>
          <w:color w:val="0D0E0E"/>
          <w:spacing w:val="-13"/>
        </w:rPr>
        <w:t> </w:t>
      </w:r>
      <w:r>
        <w:rPr>
          <w:color w:val="0D0E0E"/>
        </w:rPr>
        <w:t>ou</w:t>
      </w:r>
      <w:r>
        <w:rPr>
          <w:color w:val="0D0E0E"/>
          <w:spacing w:val="-14"/>
        </w:rPr>
        <w:t> </w:t>
      </w:r>
      <w:r>
        <w:rPr>
          <w:color w:val="0D0E0E"/>
        </w:rPr>
        <w:t>na</w:t>
      </w:r>
      <w:r>
        <w:rPr>
          <w:color w:val="0D0E0E"/>
          <w:spacing w:val="-14"/>
        </w:rPr>
        <w:t> </w:t>
      </w:r>
      <w:r>
        <w:rPr>
          <w:color w:val="0D0E0E"/>
        </w:rPr>
        <w:t>possibilidade de um aperto ainda maior de mais 25 pontos base alcançando 4,5% ao ano.</w:t>
      </w:r>
    </w:p>
    <w:p>
      <w:pPr>
        <w:pStyle w:val="BodyText"/>
        <w:spacing w:before="240"/>
        <w:ind w:left="42" w:right="1265" w:firstLine="707"/>
        <w:jc w:val="both"/>
      </w:pPr>
      <w:r>
        <w:rPr>
          <w:color w:val="0D0E0E"/>
        </w:rPr>
        <w:t>Posteriormente, na reunião realizada na quarta feira 14 de setembro, a decisão do BCE foi da elevação da mesma, para a janela de 4,25% até 4,5% ao ano.</w:t>
      </w:r>
    </w:p>
    <w:p>
      <w:pPr>
        <w:pStyle w:val="BodyText"/>
        <w:spacing w:after="0"/>
        <w:jc w:val="both"/>
        <w:sectPr>
          <w:pgSz w:w="11920" w:h="16850"/>
          <w:pgMar w:top="1320" w:bottom="280" w:left="1559" w:right="141"/>
        </w:sectPr>
      </w:pPr>
    </w:p>
    <w:p>
      <w:pPr>
        <w:pStyle w:val="BodyText"/>
        <w:spacing w:before="39"/>
        <w:ind w:left="3402"/>
      </w:pPr>
      <w:r>
        <w:rPr>
          <w:color w:val="0D0E0E"/>
        </w:rPr>
        <w:t>Taxa</w:t>
      </w:r>
      <w:r>
        <w:rPr>
          <w:color w:val="0D0E0E"/>
          <w:spacing w:val="-2"/>
        </w:rPr>
        <w:t> </w:t>
      </w:r>
      <w:r>
        <w:rPr>
          <w:color w:val="0D0E0E"/>
        </w:rPr>
        <w:t>de</w:t>
      </w:r>
      <w:r>
        <w:rPr>
          <w:color w:val="0D0E0E"/>
          <w:spacing w:val="-3"/>
        </w:rPr>
        <w:t> </w:t>
      </w:r>
      <w:r>
        <w:rPr>
          <w:color w:val="0D0E0E"/>
        </w:rPr>
        <w:t>Juros</w:t>
      </w:r>
      <w:r>
        <w:rPr>
          <w:color w:val="0D0E0E"/>
          <w:spacing w:val="1"/>
        </w:rPr>
        <w:t> </w:t>
      </w:r>
      <w:r>
        <w:rPr>
          <w:color w:val="0D0E0E"/>
        </w:rPr>
        <w:t>–</w:t>
      </w:r>
      <w:r>
        <w:rPr>
          <w:color w:val="0D0E0E"/>
          <w:spacing w:val="-2"/>
        </w:rPr>
        <w:t> </w:t>
      </w:r>
      <w:r>
        <w:rPr>
          <w:color w:val="0D0E0E"/>
        </w:rPr>
        <w:t>Zona</w:t>
      </w:r>
      <w:r>
        <w:rPr>
          <w:color w:val="0D0E0E"/>
          <w:spacing w:val="-3"/>
        </w:rPr>
        <w:t> </w:t>
      </w:r>
      <w:r>
        <w:rPr>
          <w:color w:val="0D0E0E"/>
        </w:rPr>
        <w:t>do</w:t>
      </w:r>
      <w:r>
        <w:rPr>
          <w:color w:val="0D0E0E"/>
          <w:spacing w:val="-2"/>
        </w:rPr>
        <w:t> Euro:</w:t>
      </w:r>
    </w:p>
    <w:p>
      <w:pPr>
        <w:pStyle w:val="BodyText"/>
        <w:spacing w:before="9"/>
        <w:rPr>
          <w:sz w:val="14"/>
        </w:rPr>
      </w:pPr>
      <w:r>
        <w:rPr>
          <w:sz w:val="14"/>
        </w:rPr>
        <w:drawing>
          <wp:anchor distT="0" distB="0" distL="0" distR="0" allowOverlap="1" layoutInCell="1" locked="0" behindDoc="1" simplePos="0" relativeHeight="487593984">
            <wp:simplePos x="0" y="0"/>
            <wp:positionH relativeFrom="page">
              <wp:posOffset>1016000</wp:posOffset>
            </wp:positionH>
            <wp:positionV relativeFrom="paragraph">
              <wp:posOffset>129686</wp:posOffset>
            </wp:positionV>
            <wp:extent cx="5382448" cy="2593752"/>
            <wp:effectExtent l="0" t="0" r="0" b="0"/>
            <wp:wrapTopAndBottom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2448" cy="2593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7"/>
        <w:ind w:left="750" w:right="0" w:firstLine="0"/>
        <w:jc w:val="left"/>
        <w:rPr>
          <w:i/>
          <w:sz w:val="20"/>
        </w:rPr>
      </w:pPr>
      <w:r>
        <w:rPr>
          <w:i/>
          <w:color w:val="0D0E0E"/>
          <w:spacing w:val="-2"/>
          <w:sz w:val="20"/>
        </w:rPr>
        <w:t>Fonte:</w:t>
      </w:r>
      <w:r>
        <w:rPr>
          <w:i/>
          <w:color w:val="0D0E0E"/>
          <w:spacing w:val="53"/>
          <w:sz w:val="20"/>
        </w:rPr>
        <w:t> </w:t>
      </w:r>
      <w:r>
        <w:rPr>
          <w:i/>
          <w:color w:val="0D0E0E"/>
          <w:spacing w:val="-2"/>
          <w:sz w:val="20"/>
        </w:rPr>
        <w:t>https://tradingeconomics.com/euro-area/interest-</w:t>
      </w:r>
      <w:r>
        <w:rPr>
          <w:i/>
          <w:color w:val="0D0E0E"/>
          <w:spacing w:val="-4"/>
          <w:sz w:val="20"/>
        </w:rPr>
        <w:t>rate</w:t>
      </w:r>
    </w:p>
    <w:p>
      <w:pPr>
        <w:pStyle w:val="BodyText"/>
        <w:spacing w:before="239"/>
        <w:ind w:left="42" w:right="1261" w:firstLine="707"/>
        <w:jc w:val="both"/>
      </w:pPr>
      <w:r>
        <w:rPr>
          <w:color w:val="0D0E0E"/>
        </w:rPr>
        <w:t>Em</w:t>
      </w:r>
      <w:r>
        <w:rPr>
          <w:color w:val="0D0E0E"/>
          <w:spacing w:val="-4"/>
        </w:rPr>
        <w:t> </w:t>
      </w:r>
      <w:r>
        <w:rPr>
          <w:color w:val="0D0E0E"/>
        </w:rPr>
        <w:t>ata,</w:t>
      </w:r>
      <w:r>
        <w:rPr>
          <w:color w:val="0D0E0E"/>
          <w:spacing w:val="-7"/>
        </w:rPr>
        <w:t> </w:t>
      </w:r>
      <w:r>
        <w:rPr>
          <w:color w:val="0D0E0E"/>
        </w:rPr>
        <w:t>a</w:t>
      </w:r>
      <w:r>
        <w:rPr>
          <w:color w:val="0D0E0E"/>
          <w:spacing w:val="-5"/>
        </w:rPr>
        <w:t> </w:t>
      </w:r>
      <w:r>
        <w:rPr>
          <w:color w:val="0D0E0E"/>
        </w:rPr>
        <w:t>liderança</w:t>
      </w:r>
      <w:r>
        <w:rPr>
          <w:color w:val="0D0E0E"/>
          <w:spacing w:val="-5"/>
        </w:rPr>
        <w:t> </w:t>
      </w:r>
      <w:r>
        <w:rPr>
          <w:color w:val="0D0E0E"/>
        </w:rPr>
        <w:t>monetária</w:t>
      </w:r>
      <w:r>
        <w:rPr>
          <w:color w:val="0D0E0E"/>
          <w:spacing w:val="-7"/>
        </w:rPr>
        <w:t> </w:t>
      </w:r>
      <w:r>
        <w:rPr>
          <w:color w:val="0D0E0E"/>
        </w:rPr>
        <w:t>reforçou</w:t>
      </w:r>
      <w:r>
        <w:rPr>
          <w:color w:val="0D0E0E"/>
          <w:spacing w:val="-6"/>
        </w:rPr>
        <w:t> </w:t>
      </w:r>
      <w:r>
        <w:rPr>
          <w:color w:val="0D0E0E"/>
        </w:rPr>
        <w:t>o</w:t>
      </w:r>
      <w:r>
        <w:rPr>
          <w:color w:val="0D0E0E"/>
          <w:spacing w:val="-4"/>
        </w:rPr>
        <w:t> </w:t>
      </w:r>
      <w:r>
        <w:rPr>
          <w:color w:val="0D0E0E"/>
        </w:rPr>
        <w:t>compromisso</w:t>
      </w:r>
      <w:r>
        <w:rPr>
          <w:color w:val="0D0E0E"/>
          <w:spacing w:val="-5"/>
        </w:rPr>
        <w:t> </w:t>
      </w:r>
      <w:r>
        <w:rPr>
          <w:color w:val="0D0E0E"/>
        </w:rPr>
        <w:t>quanto</w:t>
      </w:r>
      <w:r>
        <w:rPr>
          <w:color w:val="0D0E0E"/>
          <w:spacing w:val="-4"/>
        </w:rPr>
        <w:t> </w:t>
      </w:r>
      <w:r>
        <w:rPr>
          <w:color w:val="0D0E0E"/>
        </w:rPr>
        <w:t>ao</w:t>
      </w:r>
      <w:r>
        <w:rPr>
          <w:color w:val="0D0E0E"/>
          <w:spacing w:val="-6"/>
        </w:rPr>
        <w:t> </w:t>
      </w:r>
      <w:r>
        <w:rPr>
          <w:color w:val="0D0E0E"/>
        </w:rPr>
        <w:t>papel</w:t>
      </w:r>
      <w:r>
        <w:rPr>
          <w:color w:val="0D0E0E"/>
          <w:spacing w:val="-7"/>
        </w:rPr>
        <w:t> </w:t>
      </w:r>
      <w:r>
        <w:rPr>
          <w:color w:val="0D0E0E"/>
        </w:rPr>
        <w:t>de</w:t>
      </w:r>
      <w:r>
        <w:rPr>
          <w:color w:val="0D0E0E"/>
          <w:spacing w:val="-4"/>
        </w:rPr>
        <w:t> </w:t>
      </w:r>
      <w:r>
        <w:rPr>
          <w:color w:val="0D0E0E"/>
        </w:rPr>
        <w:t>guardião da moeda, e pela busca de trazer as taxas de inflação para dentro da meta.</w:t>
      </w:r>
    </w:p>
    <w:p>
      <w:pPr>
        <w:pStyle w:val="BodyText"/>
        <w:spacing w:before="239"/>
        <w:ind w:left="42" w:right="1260" w:firstLine="707"/>
        <w:jc w:val="both"/>
      </w:pPr>
      <w:r>
        <w:rPr>
          <w:color w:val="0D0E0E"/>
        </w:rPr>
        <w:t>A taxa de juros nos atuais níveis, possui inegável impacto nas projeções de crescimento</w:t>
      </w:r>
      <w:r>
        <w:rPr>
          <w:color w:val="0D0E0E"/>
          <w:spacing w:val="-1"/>
        </w:rPr>
        <w:t> </w:t>
      </w:r>
      <w:r>
        <w:rPr>
          <w:color w:val="0D0E0E"/>
        </w:rPr>
        <w:t>econômico.</w:t>
      </w:r>
      <w:r>
        <w:rPr>
          <w:color w:val="0D0E0E"/>
          <w:spacing w:val="-3"/>
        </w:rPr>
        <w:t> </w:t>
      </w:r>
      <w:r>
        <w:rPr>
          <w:color w:val="0D0E0E"/>
        </w:rPr>
        <w:t>A projeção do</w:t>
      </w:r>
      <w:r>
        <w:rPr>
          <w:color w:val="0D0E0E"/>
          <w:spacing w:val="-1"/>
        </w:rPr>
        <w:t> </w:t>
      </w:r>
      <w:r>
        <w:rPr>
          <w:color w:val="0D0E0E"/>
        </w:rPr>
        <w:t>GDP</w:t>
      </w:r>
      <w:r>
        <w:rPr>
          <w:color w:val="0D0E0E"/>
          <w:spacing w:val="-1"/>
        </w:rPr>
        <w:t> </w:t>
      </w:r>
      <w:r>
        <w:rPr>
          <w:color w:val="0D0E0E"/>
        </w:rPr>
        <w:t>(PIB), para 2023,</w:t>
      </w:r>
      <w:r>
        <w:rPr>
          <w:color w:val="0D0E0E"/>
          <w:spacing w:val="-1"/>
        </w:rPr>
        <w:t> </w:t>
      </w:r>
      <w:r>
        <w:rPr>
          <w:color w:val="0D0E0E"/>
        </w:rPr>
        <w:t>é</w:t>
      </w:r>
      <w:r>
        <w:rPr>
          <w:color w:val="0D0E0E"/>
          <w:spacing w:val="-1"/>
        </w:rPr>
        <w:t> </w:t>
      </w:r>
      <w:r>
        <w:rPr>
          <w:color w:val="0D0E0E"/>
        </w:rPr>
        <w:t>de 0,7%,</w:t>
      </w:r>
      <w:r>
        <w:rPr>
          <w:color w:val="0D0E0E"/>
          <w:spacing w:val="-2"/>
        </w:rPr>
        <w:t> </w:t>
      </w:r>
      <w:r>
        <w:rPr>
          <w:color w:val="0D0E0E"/>
        </w:rPr>
        <w:t>para 2024 de 1% e 2025 em 1,5%. Essa baixa projeção se deve pelo possível escasseamento</w:t>
      </w:r>
      <w:r>
        <w:rPr>
          <w:color w:val="0D0E0E"/>
          <w:spacing w:val="-1"/>
        </w:rPr>
        <w:t> </w:t>
      </w:r>
      <w:r>
        <w:rPr>
          <w:color w:val="0D0E0E"/>
        </w:rPr>
        <w:t>de crédito gerado na economia.</w:t>
      </w:r>
    </w:p>
    <w:p>
      <w:pPr>
        <w:pStyle w:val="BodyText"/>
      </w:pPr>
    </w:p>
    <w:p>
      <w:pPr>
        <w:pStyle w:val="BodyText"/>
        <w:spacing w:before="237"/>
      </w:pPr>
    </w:p>
    <w:p>
      <w:pPr>
        <w:spacing w:before="1"/>
        <w:ind w:left="42" w:right="0" w:firstLine="0"/>
        <w:jc w:val="left"/>
        <w:rPr>
          <w:sz w:val="28"/>
        </w:rPr>
      </w:pPr>
      <w:r>
        <w:rPr>
          <w:spacing w:val="-5"/>
          <w:sz w:val="28"/>
        </w:rPr>
        <w:t>PMI</w:t>
      </w:r>
    </w:p>
    <w:p>
      <w:pPr>
        <w:pStyle w:val="BodyText"/>
        <w:spacing w:before="238"/>
        <w:ind w:left="42" w:right="1261" w:firstLine="707"/>
        <w:jc w:val="both"/>
      </w:pPr>
      <w:r>
        <w:rPr>
          <w:color w:val="0D0E0E"/>
        </w:rPr>
        <w:t>E não podemos ignorar os efeitos desse período de inflação e juros elevados, que surtem efeitos nas projeções de crescimento econômico da Europa. O PMI composto de agosto surpreendeu negativamente ao registrar 46,7 pontos versus 48,6 de julho.</w:t>
      </w:r>
    </w:p>
    <w:p>
      <w:pPr>
        <w:pStyle w:val="BodyText"/>
        <w:spacing w:before="240"/>
        <w:ind w:left="3350"/>
      </w:pPr>
      <w:r>
        <w:rPr>
          <w:color w:val="0D0E0E"/>
        </w:rPr>
        <w:t>PMI</w:t>
      </w:r>
      <w:r>
        <w:rPr>
          <w:color w:val="0D0E0E"/>
          <w:spacing w:val="-1"/>
        </w:rPr>
        <w:t> </w:t>
      </w:r>
      <w:r>
        <w:rPr>
          <w:color w:val="0D0E0E"/>
        </w:rPr>
        <w:t>composto</w:t>
      </w:r>
      <w:r>
        <w:rPr>
          <w:color w:val="0D0E0E"/>
          <w:spacing w:val="-1"/>
        </w:rPr>
        <w:t> </w:t>
      </w:r>
      <w:r>
        <w:rPr>
          <w:color w:val="0D0E0E"/>
        </w:rPr>
        <w:t>–</w:t>
      </w:r>
      <w:r>
        <w:rPr>
          <w:color w:val="0D0E0E"/>
          <w:spacing w:val="-1"/>
        </w:rPr>
        <w:t> </w:t>
      </w:r>
      <w:r>
        <w:rPr>
          <w:color w:val="0D0E0E"/>
        </w:rPr>
        <w:t>Zona</w:t>
      </w:r>
      <w:r>
        <w:rPr>
          <w:color w:val="0D0E0E"/>
          <w:spacing w:val="-3"/>
        </w:rPr>
        <w:t> </w:t>
      </w:r>
      <w:r>
        <w:rPr>
          <w:color w:val="0D0E0E"/>
        </w:rPr>
        <w:t>do</w:t>
      </w:r>
      <w:r>
        <w:rPr>
          <w:color w:val="0D0E0E"/>
          <w:spacing w:val="-2"/>
        </w:rPr>
        <w:t> </w:t>
      </w:r>
      <w:r>
        <w:rPr>
          <w:color w:val="0D0E0E"/>
          <w:spacing w:val="-4"/>
        </w:rPr>
        <w:t>Euro:</w:t>
      </w:r>
    </w:p>
    <w:p>
      <w:pPr>
        <w:pStyle w:val="BodyText"/>
        <w:spacing w:before="9"/>
        <w:rPr>
          <w:sz w:val="14"/>
        </w:rPr>
      </w:pPr>
      <w:r>
        <w:rPr>
          <w:sz w:val="14"/>
        </w:rPr>
        <w:drawing>
          <wp:anchor distT="0" distB="0" distL="0" distR="0" allowOverlap="1" layoutInCell="1" locked="0" behindDoc="1" simplePos="0" relativeHeight="487594496">
            <wp:simplePos x="0" y="0"/>
            <wp:positionH relativeFrom="page">
              <wp:posOffset>1296035</wp:posOffset>
            </wp:positionH>
            <wp:positionV relativeFrom="paragraph">
              <wp:posOffset>129671</wp:posOffset>
            </wp:positionV>
            <wp:extent cx="5074920" cy="2346960"/>
            <wp:effectExtent l="0" t="0" r="0" b="0"/>
            <wp:wrapTopAndBottom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4920" cy="2346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0"/>
      </w:pPr>
    </w:p>
    <w:p>
      <w:pPr>
        <w:spacing w:before="0"/>
        <w:ind w:left="750" w:right="0" w:firstLine="0"/>
        <w:jc w:val="left"/>
        <w:rPr>
          <w:i/>
          <w:sz w:val="20"/>
        </w:rPr>
      </w:pPr>
      <w:r>
        <w:rPr>
          <w:i/>
          <w:color w:val="0D0E0E"/>
          <w:spacing w:val="-2"/>
          <w:sz w:val="20"/>
        </w:rPr>
        <w:t>Fonte:</w:t>
      </w:r>
      <w:r>
        <w:rPr>
          <w:i/>
          <w:color w:val="0D0E0E"/>
          <w:spacing w:val="54"/>
          <w:sz w:val="20"/>
        </w:rPr>
        <w:t> </w:t>
      </w:r>
      <w:r>
        <w:rPr>
          <w:i/>
          <w:color w:val="0D0E0E"/>
          <w:spacing w:val="-2"/>
          <w:sz w:val="20"/>
        </w:rPr>
        <w:t>https://tradingeconomics.com/euro-area/composite-</w:t>
      </w:r>
      <w:r>
        <w:rPr>
          <w:i/>
          <w:color w:val="0D0E0E"/>
          <w:spacing w:val="-5"/>
          <w:sz w:val="20"/>
        </w:rPr>
        <w:t>pmi</w:t>
      </w:r>
    </w:p>
    <w:p>
      <w:pPr>
        <w:spacing w:after="0"/>
        <w:jc w:val="left"/>
        <w:rPr>
          <w:i/>
          <w:sz w:val="20"/>
        </w:rPr>
        <w:sectPr>
          <w:pgSz w:w="11920" w:h="16850"/>
          <w:pgMar w:top="1320" w:bottom="280" w:left="1559" w:right="141"/>
        </w:sectPr>
      </w:pPr>
    </w:p>
    <w:p>
      <w:pPr>
        <w:pStyle w:val="BodyText"/>
        <w:spacing w:before="39"/>
        <w:ind w:left="42" w:right="1253" w:firstLine="707"/>
        <w:jc w:val="both"/>
      </w:pPr>
      <w:r>
        <w:rPr>
          <w:color w:val="0D0E0E"/>
        </w:rPr>
        <w:t>Esse foi o registro mais baixo para o PMI composto desde novembro de 2020, no auge</w:t>
      </w:r>
      <w:r>
        <w:rPr>
          <w:color w:val="0D0E0E"/>
          <w:spacing w:val="-3"/>
        </w:rPr>
        <w:t> </w:t>
      </w:r>
      <w:r>
        <w:rPr>
          <w:color w:val="0D0E0E"/>
        </w:rPr>
        <w:t>da</w:t>
      </w:r>
      <w:r>
        <w:rPr>
          <w:color w:val="0D0E0E"/>
          <w:spacing w:val="-2"/>
        </w:rPr>
        <w:t> </w:t>
      </w:r>
      <w:r>
        <w:rPr>
          <w:color w:val="0D0E0E"/>
        </w:rPr>
        <w:t>pandemia.</w:t>
      </w:r>
      <w:r>
        <w:rPr>
          <w:color w:val="0D0E0E"/>
          <w:spacing w:val="-1"/>
        </w:rPr>
        <w:t> </w:t>
      </w:r>
      <w:r>
        <w:rPr>
          <w:color w:val="0D0E0E"/>
        </w:rPr>
        <w:t>Essa</w:t>
      </w:r>
      <w:r>
        <w:rPr>
          <w:color w:val="0D0E0E"/>
          <w:spacing w:val="-5"/>
        </w:rPr>
        <w:t> </w:t>
      </w:r>
      <w:r>
        <w:rPr>
          <w:color w:val="0D0E0E"/>
        </w:rPr>
        <w:t>contração</w:t>
      </w:r>
      <w:r>
        <w:rPr>
          <w:color w:val="0D0E0E"/>
          <w:spacing w:val="-3"/>
        </w:rPr>
        <w:t> </w:t>
      </w:r>
      <w:r>
        <w:rPr>
          <w:color w:val="0D0E0E"/>
        </w:rPr>
        <w:t>se</w:t>
      </w:r>
      <w:r>
        <w:rPr>
          <w:color w:val="0D0E0E"/>
          <w:spacing w:val="-3"/>
        </w:rPr>
        <w:t> </w:t>
      </w:r>
      <w:r>
        <w:rPr>
          <w:color w:val="0D0E0E"/>
        </w:rPr>
        <w:t>deve</w:t>
      </w:r>
      <w:r>
        <w:rPr>
          <w:color w:val="0D0E0E"/>
          <w:spacing w:val="-5"/>
        </w:rPr>
        <w:t> </w:t>
      </w:r>
      <w:r>
        <w:rPr>
          <w:color w:val="0D0E0E"/>
        </w:rPr>
        <w:t>principalmente</w:t>
      </w:r>
      <w:r>
        <w:rPr>
          <w:color w:val="0D0E0E"/>
          <w:spacing w:val="-3"/>
        </w:rPr>
        <w:t> </w:t>
      </w:r>
      <w:r>
        <w:rPr>
          <w:color w:val="0D0E0E"/>
        </w:rPr>
        <w:t>pela</w:t>
      </w:r>
      <w:r>
        <w:rPr>
          <w:color w:val="0D0E0E"/>
          <w:spacing w:val="-3"/>
        </w:rPr>
        <w:t> </w:t>
      </w:r>
      <w:r>
        <w:rPr>
          <w:color w:val="0D0E0E"/>
        </w:rPr>
        <w:t>baixíssima</w:t>
      </w:r>
      <w:r>
        <w:rPr>
          <w:color w:val="0D0E0E"/>
          <w:spacing w:val="-1"/>
        </w:rPr>
        <w:t> </w:t>
      </w:r>
      <w:r>
        <w:rPr>
          <w:color w:val="0D0E0E"/>
        </w:rPr>
        <w:t>procura</w:t>
      </w:r>
      <w:r>
        <w:rPr>
          <w:color w:val="0D0E0E"/>
          <w:spacing w:val="-3"/>
        </w:rPr>
        <w:t> </w:t>
      </w:r>
      <w:r>
        <w:rPr>
          <w:color w:val="0D0E0E"/>
        </w:rPr>
        <w:t>de</w:t>
      </w:r>
      <w:r>
        <w:rPr>
          <w:color w:val="0D0E0E"/>
          <w:spacing w:val="-3"/>
        </w:rPr>
        <w:t> </w:t>
      </w:r>
      <w:r>
        <w:rPr>
          <w:color w:val="0D0E0E"/>
        </w:rPr>
        <w:t>bens, conforme reportado pelas companhias, além do baixo crescimento da contratação de </w:t>
      </w:r>
      <w:r>
        <w:rPr>
          <w:color w:val="0D0E0E"/>
          <w:spacing w:val="-2"/>
        </w:rPr>
        <w:t>profissionais.</w:t>
      </w:r>
    </w:p>
    <w:p>
      <w:pPr>
        <w:pStyle w:val="BodyText"/>
        <w:spacing w:before="240"/>
        <w:ind w:left="42" w:right="1257" w:firstLine="707"/>
        <w:jc w:val="both"/>
      </w:pPr>
      <w:r>
        <w:rPr>
          <w:color w:val="0D0E0E"/>
        </w:rPr>
        <w:t>O setor industrial, ainda que em uma medição superior ao mês de julho, ainda evidencia um pessimismo que paira sobre o velho continente. Os números manufatureiros vieram em 43,5 em agosto, ante 42,7 em julho.</w:t>
      </w:r>
    </w:p>
    <w:p>
      <w:pPr>
        <w:pStyle w:val="BodyText"/>
        <w:spacing w:before="239"/>
        <w:ind w:left="707" w:right="1211"/>
        <w:jc w:val="center"/>
      </w:pPr>
      <w:r>
        <w:rPr>
          <w:color w:val="0D0E0E"/>
        </w:rPr>
        <w:t>PMI</w:t>
      </w:r>
      <w:r>
        <w:rPr>
          <w:color w:val="0D0E0E"/>
          <w:spacing w:val="-2"/>
        </w:rPr>
        <w:t> </w:t>
      </w:r>
      <w:r>
        <w:rPr>
          <w:color w:val="0D0E0E"/>
        </w:rPr>
        <w:t>industrial</w:t>
      </w:r>
      <w:r>
        <w:rPr>
          <w:color w:val="0D0E0E"/>
          <w:spacing w:val="-1"/>
        </w:rPr>
        <w:t> </w:t>
      </w:r>
      <w:r>
        <w:rPr>
          <w:color w:val="0D0E0E"/>
        </w:rPr>
        <w:t>– Zona</w:t>
      </w:r>
      <w:r>
        <w:rPr>
          <w:color w:val="0D0E0E"/>
          <w:spacing w:val="-3"/>
        </w:rPr>
        <w:t> </w:t>
      </w:r>
      <w:r>
        <w:rPr>
          <w:color w:val="0D0E0E"/>
        </w:rPr>
        <w:t>do</w:t>
      </w:r>
      <w:r>
        <w:rPr>
          <w:color w:val="0D0E0E"/>
          <w:spacing w:val="-5"/>
        </w:rPr>
        <w:t> </w:t>
      </w:r>
      <w:r>
        <w:rPr>
          <w:color w:val="0D0E0E"/>
          <w:spacing w:val="-4"/>
        </w:rPr>
        <w:t>Euro:</w:t>
      </w:r>
    </w:p>
    <w:p>
      <w:pPr>
        <w:pStyle w:val="BodyText"/>
        <w:spacing w:before="9"/>
        <w:rPr>
          <w:sz w:val="16"/>
        </w:rPr>
      </w:pPr>
      <w:r>
        <w:rPr>
          <w:sz w:val="16"/>
        </w:rPr>
        <w:drawing>
          <wp:anchor distT="0" distB="0" distL="0" distR="0" allowOverlap="1" layoutInCell="1" locked="0" behindDoc="1" simplePos="0" relativeHeight="487595008">
            <wp:simplePos x="0" y="0"/>
            <wp:positionH relativeFrom="page">
              <wp:posOffset>1122680</wp:posOffset>
            </wp:positionH>
            <wp:positionV relativeFrom="paragraph">
              <wp:posOffset>145573</wp:posOffset>
            </wp:positionV>
            <wp:extent cx="5105399" cy="2346960"/>
            <wp:effectExtent l="0" t="0" r="0" b="0"/>
            <wp:wrapTopAndBottom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5399" cy="2346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57"/>
        <w:ind w:left="750" w:right="0" w:firstLine="0"/>
        <w:jc w:val="left"/>
        <w:rPr>
          <w:i/>
          <w:sz w:val="20"/>
        </w:rPr>
      </w:pPr>
      <w:r>
        <w:rPr>
          <w:i/>
          <w:color w:val="0D0E0E"/>
          <w:spacing w:val="-2"/>
          <w:sz w:val="20"/>
        </w:rPr>
        <w:t>Fonte:</w:t>
      </w:r>
      <w:r>
        <w:rPr>
          <w:i/>
          <w:color w:val="0D0E0E"/>
          <w:spacing w:val="52"/>
          <w:sz w:val="20"/>
        </w:rPr>
        <w:t> </w:t>
      </w:r>
      <w:r>
        <w:rPr>
          <w:i/>
          <w:color w:val="0D0E0E"/>
          <w:spacing w:val="-2"/>
          <w:sz w:val="20"/>
        </w:rPr>
        <w:t>https://tradingeconomics.com/euro-area/manufacturing-</w:t>
      </w:r>
      <w:r>
        <w:rPr>
          <w:i/>
          <w:color w:val="0D0E0E"/>
          <w:spacing w:val="-5"/>
          <w:sz w:val="20"/>
        </w:rPr>
        <w:t>pmi</w:t>
      </w:r>
    </w:p>
    <w:p>
      <w:pPr>
        <w:pStyle w:val="BodyText"/>
        <w:spacing w:before="236"/>
        <w:ind w:left="42" w:right="1252" w:firstLine="707"/>
        <w:jc w:val="both"/>
      </w:pPr>
      <w:r>
        <w:rPr>
          <w:color w:val="0D0E0E"/>
        </w:rPr>
        <w:t>O</w:t>
      </w:r>
      <w:r>
        <w:rPr>
          <w:color w:val="0D0E0E"/>
          <w:spacing w:val="-8"/>
        </w:rPr>
        <w:t> </w:t>
      </w:r>
      <w:r>
        <w:rPr>
          <w:color w:val="0D0E0E"/>
        </w:rPr>
        <w:t>PMI</w:t>
      </w:r>
      <w:r>
        <w:rPr>
          <w:color w:val="0D0E0E"/>
          <w:spacing w:val="-8"/>
        </w:rPr>
        <w:t> </w:t>
      </w:r>
      <w:r>
        <w:rPr>
          <w:color w:val="0D0E0E"/>
        </w:rPr>
        <w:t>de</w:t>
      </w:r>
      <w:r>
        <w:rPr>
          <w:color w:val="0D0E0E"/>
          <w:spacing w:val="-7"/>
        </w:rPr>
        <w:t> </w:t>
      </w:r>
      <w:r>
        <w:rPr>
          <w:color w:val="0D0E0E"/>
        </w:rPr>
        <w:t>serviços</w:t>
      </w:r>
      <w:r>
        <w:rPr>
          <w:color w:val="0D0E0E"/>
          <w:spacing w:val="-7"/>
        </w:rPr>
        <w:t> </w:t>
      </w:r>
      <w:r>
        <w:rPr>
          <w:color w:val="0D0E0E"/>
        </w:rPr>
        <w:t>da</w:t>
      </w:r>
      <w:r>
        <w:rPr>
          <w:color w:val="0D0E0E"/>
          <w:spacing w:val="-8"/>
        </w:rPr>
        <w:t> </w:t>
      </w:r>
      <w:r>
        <w:rPr>
          <w:color w:val="0D0E0E"/>
        </w:rPr>
        <w:t>mesma</w:t>
      </w:r>
      <w:r>
        <w:rPr>
          <w:color w:val="0D0E0E"/>
          <w:spacing w:val="-8"/>
        </w:rPr>
        <w:t> </w:t>
      </w:r>
      <w:r>
        <w:rPr>
          <w:color w:val="0D0E0E"/>
        </w:rPr>
        <w:t>região</w:t>
      </w:r>
      <w:r>
        <w:rPr>
          <w:color w:val="0D0E0E"/>
          <w:spacing w:val="-7"/>
        </w:rPr>
        <w:t> </w:t>
      </w:r>
      <w:r>
        <w:rPr>
          <w:color w:val="0D0E0E"/>
        </w:rPr>
        <w:t>também</w:t>
      </w:r>
      <w:r>
        <w:rPr>
          <w:color w:val="0D0E0E"/>
          <w:spacing w:val="-7"/>
        </w:rPr>
        <w:t> </w:t>
      </w:r>
      <w:r>
        <w:rPr>
          <w:color w:val="0D0E0E"/>
        </w:rPr>
        <w:t>veio</w:t>
      </w:r>
      <w:r>
        <w:rPr>
          <w:color w:val="0D0E0E"/>
          <w:spacing w:val="-10"/>
        </w:rPr>
        <w:t> </w:t>
      </w:r>
      <w:r>
        <w:rPr>
          <w:color w:val="0D0E0E"/>
        </w:rPr>
        <w:t>no</w:t>
      </w:r>
      <w:r>
        <w:rPr>
          <w:color w:val="0D0E0E"/>
          <w:spacing w:val="-7"/>
        </w:rPr>
        <w:t> </w:t>
      </w:r>
      <w:r>
        <w:rPr>
          <w:color w:val="0D0E0E"/>
        </w:rPr>
        <w:t>menor</w:t>
      </w:r>
      <w:r>
        <w:rPr>
          <w:color w:val="0D0E0E"/>
          <w:spacing w:val="-7"/>
        </w:rPr>
        <w:t> </w:t>
      </w:r>
      <w:r>
        <w:rPr>
          <w:color w:val="0D0E0E"/>
        </w:rPr>
        <w:t>patamar</w:t>
      </w:r>
      <w:r>
        <w:rPr>
          <w:color w:val="0D0E0E"/>
          <w:spacing w:val="-10"/>
        </w:rPr>
        <w:t> </w:t>
      </w:r>
      <w:r>
        <w:rPr>
          <w:color w:val="0D0E0E"/>
        </w:rPr>
        <w:t>desde</w:t>
      </w:r>
      <w:r>
        <w:rPr>
          <w:color w:val="0D0E0E"/>
          <w:spacing w:val="-10"/>
        </w:rPr>
        <w:t> </w:t>
      </w:r>
      <w:r>
        <w:rPr>
          <w:color w:val="0D0E0E"/>
        </w:rPr>
        <w:t>fevereiro de 2021,</w:t>
      </w:r>
      <w:r>
        <w:rPr>
          <w:color w:val="0D0E0E"/>
          <w:spacing w:val="-2"/>
        </w:rPr>
        <w:t> </w:t>
      </w:r>
      <w:r>
        <w:rPr>
          <w:color w:val="0D0E0E"/>
        </w:rPr>
        <w:t>os</w:t>
      </w:r>
      <w:r>
        <w:rPr>
          <w:color w:val="0D0E0E"/>
          <w:spacing w:val="-2"/>
        </w:rPr>
        <w:t> </w:t>
      </w:r>
      <w:r>
        <w:rPr>
          <w:color w:val="0D0E0E"/>
        </w:rPr>
        <w:t>países</w:t>
      </w:r>
      <w:r>
        <w:rPr>
          <w:color w:val="0D0E0E"/>
          <w:spacing w:val="-3"/>
        </w:rPr>
        <w:t> </w:t>
      </w:r>
      <w:r>
        <w:rPr>
          <w:color w:val="0D0E0E"/>
        </w:rPr>
        <w:t>que</w:t>
      </w:r>
      <w:r>
        <w:rPr>
          <w:color w:val="0D0E0E"/>
          <w:spacing w:val="-3"/>
        </w:rPr>
        <w:t> </w:t>
      </w:r>
      <w:r>
        <w:rPr>
          <w:color w:val="0D0E0E"/>
        </w:rPr>
        <w:t>vieram com</w:t>
      </w:r>
      <w:r>
        <w:rPr>
          <w:color w:val="0D0E0E"/>
          <w:spacing w:val="-2"/>
        </w:rPr>
        <w:t> </w:t>
      </w:r>
      <w:r>
        <w:rPr>
          <w:color w:val="0D0E0E"/>
        </w:rPr>
        <w:t>os números</w:t>
      </w:r>
      <w:r>
        <w:rPr>
          <w:color w:val="0D0E0E"/>
          <w:spacing w:val="-3"/>
        </w:rPr>
        <w:t> </w:t>
      </w:r>
      <w:r>
        <w:rPr>
          <w:color w:val="0D0E0E"/>
        </w:rPr>
        <w:t>mais</w:t>
      </w:r>
      <w:r>
        <w:rPr>
          <w:color w:val="0D0E0E"/>
          <w:spacing w:val="-1"/>
        </w:rPr>
        <w:t> </w:t>
      </w:r>
      <w:r>
        <w:rPr>
          <w:color w:val="0D0E0E"/>
        </w:rPr>
        <w:t>baixos</w:t>
      </w:r>
      <w:r>
        <w:rPr>
          <w:color w:val="0D0E0E"/>
          <w:spacing w:val="-3"/>
        </w:rPr>
        <w:t> </w:t>
      </w:r>
      <w:r>
        <w:rPr>
          <w:color w:val="0D0E0E"/>
        </w:rPr>
        <w:t>foi a</w:t>
      </w:r>
      <w:r>
        <w:rPr>
          <w:color w:val="0D0E0E"/>
          <w:spacing w:val="-3"/>
        </w:rPr>
        <w:t> </w:t>
      </w:r>
      <w:r>
        <w:rPr>
          <w:color w:val="0D0E0E"/>
        </w:rPr>
        <w:t>França</w:t>
      </w:r>
      <w:r>
        <w:rPr>
          <w:color w:val="0D0E0E"/>
          <w:spacing w:val="-3"/>
        </w:rPr>
        <w:t> </w:t>
      </w:r>
      <w:r>
        <w:rPr>
          <w:color w:val="0D0E0E"/>
        </w:rPr>
        <w:t>e</w:t>
      </w:r>
      <w:r>
        <w:rPr>
          <w:color w:val="0D0E0E"/>
          <w:spacing w:val="-2"/>
        </w:rPr>
        <w:t> </w:t>
      </w:r>
      <w:r>
        <w:rPr>
          <w:color w:val="0D0E0E"/>
        </w:rPr>
        <w:t>a</w:t>
      </w:r>
      <w:r>
        <w:rPr>
          <w:color w:val="0D0E0E"/>
          <w:spacing w:val="-1"/>
        </w:rPr>
        <w:t> </w:t>
      </w:r>
      <w:r>
        <w:rPr>
          <w:color w:val="0D0E0E"/>
        </w:rPr>
        <w:t>Alemanha.</w:t>
      </w:r>
      <w:r>
        <w:rPr>
          <w:color w:val="0D0E0E"/>
          <w:spacing w:val="-1"/>
        </w:rPr>
        <w:t> </w:t>
      </w:r>
      <w:r>
        <w:rPr>
          <w:color w:val="0D0E0E"/>
        </w:rPr>
        <w:t>Para o setor de serviços, 47,9 pontos em agosto versus 50,9 em julho.</w:t>
      </w:r>
    </w:p>
    <w:p>
      <w:pPr>
        <w:pStyle w:val="BodyText"/>
        <w:spacing w:before="242"/>
        <w:ind w:left="707" w:right="1211"/>
        <w:jc w:val="center"/>
      </w:pPr>
      <w:r>
        <w:rPr>
          <w:color w:val="0D0E0E"/>
        </w:rPr>
        <w:t>PMI</w:t>
      </w:r>
      <w:r>
        <w:rPr>
          <w:color w:val="0D0E0E"/>
          <w:spacing w:val="-1"/>
        </w:rPr>
        <w:t> </w:t>
      </w:r>
      <w:r>
        <w:rPr>
          <w:color w:val="0D0E0E"/>
        </w:rPr>
        <w:t>serviços</w:t>
      </w:r>
      <w:r>
        <w:rPr>
          <w:color w:val="0D0E0E"/>
          <w:spacing w:val="-2"/>
        </w:rPr>
        <w:t> </w:t>
      </w:r>
      <w:r>
        <w:rPr>
          <w:color w:val="0D0E0E"/>
        </w:rPr>
        <w:t>– Zona</w:t>
      </w:r>
      <w:r>
        <w:rPr>
          <w:color w:val="0D0E0E"/>
          <w:spacing w:val="-3"/>
        </w:rPr>
        <w:t> </w:t>
      </w:r>
      <w:r>
        <w:rPr>
          <w:color w:val="0D0E0E"/>
        </w:rPr>
        <w:t>do</w:t>
      </w:r>
      <w:r>
        <w:rPr>
          <w:color w:val="0D0E0E"/>
          <w:spacing w:val="-1"/>
        </w:rPr>
        <w:t> </w:t>
      </w:r>
      <w:r>
        <w:rPr>
          <w:color w:val="0D0E0E"/>
          <w:spacing w:val="-2"/>
        </w:rPr>
        <w:t>Euro:</w:t>
      </w:r>
    </w:p>
    <w:p>
      <w:pPr>
        <w:pStyle w:val="BodyText"/>
        <w:spacing w:before="55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95520">
            <wp:simplePos x="0" y="0"/>
            <wp:positionH relativeFrom="page">
              <wp:posOffset>1473835</wp:posOffset>
            </wp:positionH>
            <wp:positionV relativeFrom="paragraph">
              <wp:posOffset>205467</wp:posOffset>
            </wp:positionV>
            <wp:extent cx="4999508" cy="2346960"/>
            <wp:effectExtent l="0" t="0" r="0" b="0"/>
            <wp:wrapTopAndBottom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9508" cy="2346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72"/>
        <w:ind w:left="750" w:right="0" w:firstLine="0"/>
        <w:jc w:val="left"/>
        <w:rPr>
          <w:i/>
          <w:sz w:val="20"/>
        </w:rPr>
      </w:pPr>
      <w:r>
        <w:rPr>
          <w:i/>
          <w:color w:val="0D0E0E"/>
          <w:spacing w:val="-2"/>
          <w:sz w:val="20"/>
        </w:rPr>
        <w:t>Fonte:</w:t>
      </w:r>
      <w:r>
        <w:rPr>
          <w:i/>
          <w:color w:val="0D0E0E"/>
          <w:spacing w:val="49"/>
          <w:sz w:val="20"/>
        </w:rPr>
        <w:t> </w:t>
      </w:r>
      <w:r>
        <w:rPr>
          <w:i/>
          <w:color w:val="0D0E0E"/>
          <w:spacing w:val="-2"/>
          <w:sz w:val="20"/>
        </w:rPr>
        <w:t>https://tradingeconomics.com/euro-area/services-</w:t>
      </w:r>
      <w:r>
        <w:rPr>
          <w:i/>
          <w:color w:val="0D0E0E"/>
          <w:spacing w:val="-5"/>
          <w:sz w:val="20"/>
        </w:rPr>
        <w:t>pmi</w:t>
      </w:r>
    </w:p>
    <w:p>
      <w:pPr>
        <w:spacing w:after="0"/>
        <w:jc w:val="left"/>
        <w:rPr>
          <w:i/>
          <w:sz w:val="20"/>
        </w:rPr>
        <w:sectPr>
          <w:pgSz w:w="11920" w:h="16850"/>
          <w:pgMar w:top="1320" w:bottom="280" w:left="1559" w:right="141"/>
        </w:sectPr>
      </w:pPr>
    </w:p>
    <w:p>
      <w:pPr>
        <w:pStyle w:val="Heading1"/>
        <w:spacing w:before="19"/>
      </w:pPr>
      <w:r>
        <w:rPr>
          <w:spacing w:val="-4"/>
        </w:rPr>
        <w:t>Ásia</w:t>
      </w:r>
    </w:p>
    <w:p>
      <w:pPr>
        <w:pStyle w:val="Heading2"/>
        <w:spacing w:before="240"/>
      </w:pPr>
      <w:r>
        <w:rPr>
          <w:spacing w:val="-2"/>
        </w:rPr>
        <w:t>Inflação</w:t>
      </w:r>
    </w:p>
    <w:p>
      <w:pPr>
        <w:pStyle w:val="BodyText"/>
        <w:spacing w:line="242" w:lineRule="auto" w:before="239"/>
        <w:ind w:left="42" w:right="1252" w:firstLine="707"/>
        <w:jc w:val="both"/>
      </w:pPr>
      <w:r>
        <w:rPr>
          <w:color w:val="0D0E0E"/>
        </w:rPr>
        <w:t>Na China, após uma inédita deflação anual registrada em julho de -0,3% a/a., o mês de</w:t>
      </w:r>
      <w:r>
        <w:rPr>
          <w:color w:val="0D0E0E"/>
          <w:spacing w:val="-11"/>
        </w:rPr>
        <w:t> </w:t>
      </w:r>
      <w:r>
        <w:rPr>
          <w:color w:val="0D0E0E"/>
        </w:rPr>
        <w:t>agosto</w:t>
      </w:r>
      <w:r>
        <w:rPr>
          <w:color w:val="0D0E0E"/>
          <w:spacing w:val="-11"/>
        </w:rPr>
        <w:t> </w:t>
      </w:r>
      <w:r>
        <w:rPr>
          <w:color w:val="0D0E0E"/>
        </w:rPr>
        <w:t>ainda</w:t>
      </w:r>
      <w:r>
        <w:rPr>
          <w:color w:val="0D0E0E"/>
          <w:spacing w:val="-11"/>
        </w:rPr>
        <w:t> </w:t>
      </w:r>
      <w:r>
        <w:rPr>
          <w:color w:val="0D0E0E"/>
        </w:rPr>
        <w:t>veio</w:t>
      </w:r>
      <w:r>
        <w:rPr>
          <w:color w:val="0D0E0E"/>
          <w:spacing w:val="-11"/>
        </w:rPr>
        <w:t> </w:t>
      </w:r>
      <w:r>
        <w:rPr>
          <w:color w:val="0D0E0E"/>
        </w:rPr>
        <w:t>levemente</w:t>
      </w:r>
      <w:r>
        <w:rPr>
          <w:color w:val="0D0E0E"/>
          <w:spacing w:val="-11"/>
        </w:rPr>
        <w:t> </w:t>
      </w:r>
      <w:r>
        <w:rPr>
          <w:color w:val="0D0E0E"/>
        </w:rPr>
        <w:t>abaixo</w:t>
      </w:r>
      <w:r>
        <w:rPr>
          <w:color w:val="0D0E0E"/>
          <w:spacing w:val="-13"/>
        </w:rPr>
        <w:t> </w:t>
      </w:r>
      <w:r>
        <w:rPr>
          <w:color w:val="0D0E0E"/>
        </w:rPr>
        <w:t>da</w:t>
      </w:r>
      <w:r>
        <w:rPr>
          <w:color w:val="0D0E0E"/>
          <w:spacing w:val="-13"/>
        </w:rPr>
        <w:t> </w:t>
      </w:r>
      <w:r>
        <w:rPr>
          <w:color w:val="0D0E0E"/>
        </w:rPr>
        <w:t>projeção</w:t>
      </w:r>
      <w:r>
        <w:rPr>
          <w:color w:val="0D0E0E"/>
          <w:spacing w:val="-11"/>
        </w:rPr>
        <w:t> </w:t>
      </w:r>
      <w:r>
        <w:rPr>
          <w:color w:val="0D0E0E"/>
        </w:rPr>
        <w:t>de</w:t>
      </w:r>
      <w:r>
        <w:rPr>
          <w:color w:val="0D0E0E"/>
          <w:spacing w:val="-11"/>
        </w:rPr>
        <w:t> </w:t>
      </w:r>
      <w:r>
        <w:rPr>
          <w:color w:val="0D0E0E"/>
        </w:rPr>
        <w:t>mercado</w:t>
      </w:r>
      <w:r>
        <w:rPr>
          <w:color w:val="0D0E0E"/>
          <w:spacing w:val="-11"/>
        </w:rPr>
        <w:t> </w:t>
      </w:r>
      <w:r>
        <w:rPr>
          <w:color w:val="0D0E0E"/>
        </w:rPr>
        <w:t>(0,2%</w:t>
      </w:r>
      <w:r>
        <w:rPr>
          <w:color w:val="0D0E0E"/>
          <w:spacing w:val="-9"/>
        </w:rPr>
        <w:t> </w:t>
      </w:r>
      <w:r>
        <w:rPr>
          <w:color w:val="0D0E0E"/>
        </w:rPr>
        <w:t>anual)</w:t>
      </w:r>
      <w:r>
        <w:rPr>
          <w:color w:val="0D0E0E"/>
          <w:spacing w:val="-12"/>
        </w:rPr>
        <w:t> </w:t>
      </w:r>
      <w:r>
        <w:rPr>
          <w:color w:val="0D0E0E"/>
        </w:rPr>
        <w:t>em</w:t>
      </w:r>
      <w:r>
        <w:rPr>
          <w:color w:val="0D0E0E"/>
          <w:spacing w:val="-10"/>
        </w:rPr>
        <w:t> </w:t>
      </w:r>
      <w:r>
        <w:rPr>
          <w:color w:val="0D0E0E"/>
        </w:rPr>
        <w:t>0,1%</w:t>
      </w:r>
      <w:r>
        <w:rPr>
          <w:color w:val="0D0E0E"/>
          <w:spacing w:val="-10"/>
        </w:rPr>
        <w:t> </w:t>
      </w:r>
      <w:r>
        <w:rPr>
          <w:color w:val="0D0E0E"/>
        </w:rPr>
        <w:t>anual.</w:t>
      </w:r>
    </w:p>
    <w:p>
      <w:pPr>
        <w:pStyle w:val="BodyText"/>
        <w:spacing w:before="236"/>
        <w:ind w:left="42" w:right="1250" w:firstLine="707"/>
        <w:jc w:val="both"/>
      </w:pPr>
      <w:r>
        <w:rPr>
          <w:color w:val="0D0E0E"/>
        </w:rPr>
        <w:t>Os principais itens em alta, conforme divulgado, foram no setor de educação (2,5% agosto</w:t>
      </w:r>
      <w:r>
        <w:rPr>
          <w:color w:val="0D0E0E"/>
          <w:spacing w:val="-5"/>
        </w:rPr>
        <w:t> </w:t>
      </w:r>
      <w:r>
        <w:rPr>
          <w:color w:val="0D0E0E"/>
        </w:rPr>
        <w:t>versus</w:t>
      </w:r>
      <w:r>
        <w:rPr>
          <w:color w:val="0D0E0E"/>
          <w:spacing w:val="-6"/>
        </w:rPr>
        <w:t> </w:t>
      </w:r>
      <w:r>
        <w:rPr>
          <w:color w:val="0D0E0E"/>
        </w:rPr>
        <w:t>2,4%</w:t>
      </w:r>
      <w:r>
        <w:rPr>
          <w:color w:val="0D0E0E"/>
          <w:spacing w:val="-5"/>
        </w:rPr>
        <w:t> </w:t>
      </w:r>
      <w:r>
        <w:rPr>
          <w:color w:val="0D0E0E"/>
        </w:rPr>
        <w:t>julho),</w:t>
      </w:r>
      <w:r>
        <w:rPr>
          <w:color w:val="0D0E0E"/>
          <w:spacing w:val="-5"/>
        </w:rPr>
        <w:t> </w:t>
      </w:r>
      <w:r>
        <w:rPr>
          <w:color w:val="0D0E0E"/>
        </w:rPr>
        <w:t>saúde</w:t>
      </w:r>
      <w:r>
        <w:rPr>
          <w:color w:val="0D0E0E"/>
          <w:spacing w:val="-5"/>
        </w:rPr>
        <w:t> </w:t>
      </w:r>
      <w:r>
        <w:rPr>
          <w:color w:val="0D0E0E"/>
        </w:rPr>
        <w:t>(que</w:t>
      </w:r>
      <w:r>
        <w:rPr>
          <w:color w:val="0D0E0E"/>
          <w:spacing w:val="-5"/>
        </w:rPr>
        <w:t> </w:t>
      </w:r>
      <w:r>
        <w:rPr>
          <w:color w:val="0D0E0E"/>
        </w:rPr>
        <w:t>se</w:t>
      </w:r>
      <w:r>
        <w:rPr>
          <w:color w:val="0D0E0E"/>
          <w:spacing w:val="-4"/>
        </w:rPr>
        <w:t> </w:t>
      </w:r>
      <w:r>
        <w:rPr>
          <w:color w:val="0D0E0E"/>
        </w:rPr>
        <w:t>manteve</w:t>
      </w:r>
      <w:r>
        <w:rPr>
          <w:color w:val="0D0E0E"/>
          <w:spacing w:val="-5"/>
        </w:rPr>
        <w:t> </w:t>
      </w:r>
      <w:r>
        <w:rPr>
          <w:color w:val="0D0E0E"/>
        </w:rPr>
        <w:t>em</w:t>
      </w:r>
      <w:r>
        <w:rPr>
          <w:color w:val="0D0E0E"/>
          <w:spacing w:val="-5"/>
        </w:rPr>
        <w:t> </w:t>
      </w:r>
      <w:r>
        <w:rPr>
          <w:color w:val="0D0E0E"/>
        </w:rPr>
        <w:t>1,2%)</w:t>
      </w:r>
      <w:r>
        <w:rPr>
          <w:color w:val="0D0E0E"/>
          <w:spacing w:val="-5"/>
        </w:rPr>
        <w:t> </w:t>
      </w:r>
      <w:r>
        <w:rPr>
          <w:color w:val="0D0E0E"/>
        </w:rPr>
        <w:t>e</w:t>
      </w:r>
      <w:r>
        <w:rPr>
          <w:color w:val="0D0E0E"/>
          <w:spacing w:val="-5"/>
        </w:rPr>
        <w:t> </w:t>
      </w:r>
      <w:r>
        <w:rPr>
          <w:color w:val="0D0E0E"/>
        </w:rPr>
        <w:t>vestuário</w:t>
      </w:r>
      <w:r>
        <w:rPr>
          <w:color w:val="0D0E0E"/>
          <w:spacing w:val="-5"/>
        </w:rPr>
        <w:t> </w:t>
      </w:r>
      <w:r>
        <w:rPr>
          <w:color w:val="0D0E0E"/>
        </w:rPr>
        <w:t>(1,1%</w:t>
      </w:r>
      <w:r>
        <w:rPr>
          <w:color w:val="0D0E0E"/>
          <w:spacing w:val="-5"/>
        </w:rPr>
        <w:t> </w:t>
      </w:r>
      <w:r>
        <w:rPr>
          <w:color w:val="0D0E0E"/>
        </w:rPr>
        <w:t>agosto</w:t>
      </w:r>
      <w:r>
        <w:rPr>
          <w:color w:val="0D0E0E"/>
          <w:spacing w:val="-5"/>
        </w:rPr>
        <w:t> </w:t>
      </w:r>
      <w:r>
        <w:rPr>
          <w:color w:val="0D0E0E"/>
        </w:rPr>
        <w:t>versus 1%</w:t>
      </w:r>
      <w:r>
        <w:rPr>
          <w:color w:val="0D0E0E"/>
          <w:spacing w:val="-14"/>
        </w:rPr>
        <w:t> </w:t>
      </w:r>
      <w:r>
        <w:rPr>
          <w:color w:val="0D0E0E"/>
        </w:rPr>
        <w:t>julho).</w:t>
      </w:r>
      <w:r>
        <w:rPr>
          <w:color w:val="0D0E0E"/>
          <w:spacing w:val="-14"/>
        </w:rPr>
        <w:t> </w:t>
      </w:r>
      <w:r>
        <w:rPr>
          <w:color w:val="0D0E0E"/>
        </w:rPr>
        <w:t>Os</w:t>
      </w:r>
      <w:r>
        <w:rPr>
          <w:color w:val="0D0E0E"/>
          <w:spacing w:val="-13"/>
        </w:rPr>
        <w:t> </w:t>
      </w:r>
      <w:r>
        <w:rPr>
          <w:color w:val="0D0E0E"/>
        </w:rPr>
        <w:t>setores</w:t>
      </w:r>
      <w:r>
        <w:rPr>
          <w:color w:val="0D0E0E"/>
          <w:spacing w:val="-14"/>
        </w:rPr>
        <w:t> </w:t>
      </w:r>
      <w:r>
        <w:rPr>
          <w:color w:val="0D0E0E"/>
        </w:rPr>
        <w:t>que</w:t>
      </w:r>
      <w:r>
        <w:rPr>
          <w:color w:val="0D0E0E"/>
          <w:spacing w:val="-13"/>
        </w:rPr>
        <w:t> </w:t>
      </w:r>
      <w:r>
        <w:rPr>
          <w:color w:val="0D0E0E"/>
        </w:rPr>
        <w:t>tiveram</w:t>
      </w:r>
      <w:r>
        <w:rPr>
          <w:color w:val="0D0E0E"/>
          <w:spacing w:val="-14"/>
        </w:rPr>
        <w:t> </w:t>
      </w:r>
      <w:r>
        <w:rPr>
          <w:color w:val="0D0E0E"/>
        </w:rPr>
        <w:t>queda</w:t>
      </w:r>
      <w:r>
        <w:rPr>
          <w:color w:val="0D0E0E"/>
          <w:spacing w:val="-13"/>
        </w:rPr>
        <w:t> </w:t>
      </w:r>
      <w:r>
        <w:rPr>
          <w:color w:val="0D0E0E"/>
        </w:rPr>
        <w:t>foram</w:t>
      </w:r>
      <w:r>
        <w:rPr>
          <w:color w:val="0D0E0E"/>
          <w:spacing w:val="-14"/>
        </w:rPr>
        <w:t> </w:t>
      </w:r>
      <w:r>
        <w:rPr>
          <w:color w:val="0D0E0E"/>
        </w:rPr>
        <w:t>principalmente</w:t>
      </w:r>
      <w:r>
        <w:rPr>
          <w:color w:val="0D0E0E"/>
          <w:spacing w:val="-14"/>
        </w:rPr>
        <w:t> </w:t>
      </w:r>
      <w:r>
        <w:rPr>
          <w:color w:val="0D0E0E"/>
        </w:rPr>
        <w:t>em</w:t>
      </w:r>
      <w:r>
        <w:rPr>
          <w:color w:val="0D0E0E"/>
          <w:spacing w:val="-13"/>
        </w:rPr>
        <w:t> </w:t>
      </w:r>
      <w:r>
        <w:rPr>
          <w:color w:val="0D0E0E"/>
        </w:rPr>
        <w:t>transportes</w:t>
      </w:r>
      <w:r>
        <w:rPr>
          <w:color w:val="0D0E0E"/>
          <w:spacing w:val="-14"/>
        </w:rPr>
        <w:t> </w:t>
      </w:r>
      <w:r>
        <w:rPr>
          <w:color w:val="0D0E0E"/>
        </w:rPr>
        <w:t>(-2,7%</w:t>
      </w:r>
      <w:r>
        <w:rPr>
          <w:color w:val="0D0E0E"/>
          <w:spacing w:val="-13"/>
        </w:rPr>
        <w:t> </w:t>
      </w:r>
      <w:r>
        <w:rPr>
          <w:color w:val="0D0E0E"/>
        </w:rPr>
        <w:t>agosto versus -4,7% julho) e de alimentação que caiu 1,7%.</w:t>
      </w:r>
    </w:p>
    <w:p>
      <w:pPr>
        <w:pStyle w:val="BodyText"/>
        <w:spacing w:before="239"/>
        <w:ind w:left="706" w:right="1211"/>
        <w:jc w:val="center"/>
      </w:pPr>
      <w:r>
        <w:rPr>
          <w:color w:val="0D0E0E"/>
        </w:rPr>
        <w:t>CPI</w:t>
      </w:r>
      <w:r>
        <w:rPr>
          <w:color w:val="0D0E0E"/>
          <w:spacing w:val="-2"/>
        </w:rPr>
        <w:t> </w:t>
      </w:r>
      <w:r>
        <w:rPr>
          <w:color w:val="0D0E0E"/>
        </w:rPr>
        <w:t>–</w:t>
      </w:r>
      <w:r>
        <w:rPr>
          <w:color w:val="0D0E0E"/>
          <w:spacing w:val="1"/>
        </w:rPr>
        <w:t> </w:t>
      </w:r>
      <w:r>
        <w:rPr>
          <w:color w:val="0D0E0E"/>
          <w:spacing w:val="-2"/>
        </w:rPr>
        <w:t>China:</w:t>
      </w:r>
    </w:p>
    <w:p>
      <w:pPr>
        <w:pStyle w:val="BodyText"/>
        <w:spacing w:before="116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96032">
            <wp:simplePos x="0" y="0"/>
            <wp:positionH relativeFrom="page">
              <wp:posOffset>1076960</wp:posOffset>
            </wp:positionH>
            <wp:positionV relativeFrom="paragraph">
              <wp:posOffset>244072</wp:posOffset>
            </wp:positionV>
            <wp:extent cx="5113020" cy="2392679"/>
            <wp:effectExtent l="0" t="0" r="0" b="0"/>
            <wp:wrapTopAndBottom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3020" cy="2392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  <w:spacing w:before="29"/>
      </w:pPr>
    </w:p>
    <w:p>
      <w:pPr>
        <w:spacing w:before="0"/>
        <w:ind w:left="750" w:right="0" w:firstLine="0"/>
        <w:jc w:val="left"/>
        <w:rPr>
          <w:i/>
          <w:sz w:val="20"/>
        </w:rPr>
      </w:pPr>
      <w:r>
        <w:rPr>
          <w:i/>
          <w:color w:val="0D0E0E"/>
          <w:spacing w:val="-2"/>
          <w:sz w:val="20"/>
        </w:rPr>
        <w:t>Fonte:</w:t>
      </w:r>
      <w:r>
        <w:rPr>
          <w:i/>
          <w:color w:val="0D0E0E"/>
          <w:spacing w:val="52"/>
          <w:sz w:val="20"/>
        </w:rPr>
        <w:t> </w:t>
      </w:r>
      <w:r>
        <w:rPr>
          <w:i/>
          <w:color w:val="0D0E0E"/>
          <w:spacing w:val="-2"/>
          <w:sz w:val="20"/>
        </w:rPr>
        <w:t>https://tradingeconomics.com/china/inflation-</w:t>
      </w:r>
      <w:r>
        <w:rPr>
          <w:i/>
          <w:color w:val="0D0E0E"/>
          <w:spacing w:val="-5"/>
          <w:sz w:val="20"/>
        </w:rPr>
        <w:t>cpi</w:t>
      </w:r>
    </w:p>
    <w:p>
      <w:pPr>
        <w:pStyle w:val="BodyText"/>
        <w:spacing w:before="236"/>
        <w:ind w:left="42" w:right="1262" w:firstLine="707"/>
        <w:jc w:val="both"/>
      </w:pPr>
      <w:r>
        <w:rPr>
          <w:color w:val="0D0E0E"/>
        </w:rPr>
        <w:t>O núcleo também registrou uma manutenção em baixos patamares, em agosto, em linha com o mês anterior de 0,8% ao ano.</w:t>
      </w:r>
    </w:p>
    <w:p>
      <w:pPr>
        <w:pStyle w:val="BodyText"/>
        <w:spacing w:after="0"/>
        <w:jc w:val="both"/>
        <w:sectPr>
          <w:pgSz w:w="11920" w:h="16850"/>
          <w:pgMar w:top="1340" w:bottom="280" w:left="1559" w:right="141"/>
        </w:sectPr>
      </w:pPr>
    </w:p>
    <w:p>
      <w:pPr>
        <w:pStyle w:val="Heading2"/>
        <w:spacing w:before="19"/>
      </w:pPr>
      <w:r>
        <w:rPr>
          <w:spacing w:val="-2"/>
        </w:rPr>
        <w:t>Juros</w:t>
      </w:r>
    </w:p>
    <w:p>
      <w:pPr>
        <w:pStyle w:val="BodyText"/>
        <w:spacing w:before="240"/>
        <w:ind w:left="42" w:right="1251" w:firstLine="707"/>
        <w:jc w:val="both"/>
      </w:pPr>
      <w:r>
        <w:rPr>
          <w:color w:val="0D0E0E"/>
        </w:rPr>
        <w:t>Como</w:t>
      </w:r>
      <w:r>
        <w:rPr>
          <w:color w:val="0D0E0E"/>
          <w:spacing w:val="-6"/>
        </w:rPr>
        <w:t> </w:t>
      </w:r>
      <w:r>
        <w:rPr>
          <w:color w:val="0D0E0E"/>
        </w:rPr>
        <w:t>todos</w:t>
      </w:r>
      <w:r>
        <w:rPr>
          <w:color w:val="0D0E0E"/>
          <w:spacing w:val="-8"/>
        </w:rPr>
        <w:t> </w:t>
      </w:r>
      <w:r>
        <w:rPr>
          <w:color w:val="0D0E0E"/>
        </w:rPr>
        <w:t>sabem,</w:t>
      </w:r>
      <w:r>
        <w:rPr>
          <w:color w:val="0D0E0E"/>
          <w:spacing w:val="-8"/>
        </w:rPr>
        <w:t> </w:t>
      </w:r>
      <w:r>
        <w:rPr>
          <w:color w:val="0D0E0E"/>
        </w:rPr>
        <w:t>o</w:t>
      </w:r>
      <w:r>
        <w:rPr>
          <w:color w:val="0D0E0E"/>
          <w:spacing w:val="-6"/>
        </w:rPr>
        <w:t> </w:t>
      </w:r>
      <w:r>
        <w:rPr>
          <w:color w:val="0D0E0E"/>
        </w:rPr>
        <w:t>PBOC</w:t>
      </w:r>
      <w:r>
        <w:rPr>
          <w:color w:val="0D0E0E"/>
          <w:spacing w:val="-8"/>
        </w:rPr>
        <w:t> </w:t>
      </w:r>
      <w:r>
        <w:rPr>
          <w:color w:val="0D0E0E"/>
        </w:rPr>
        <w:t>(Banco</w:t>
      </w:r>
      <w:r>
        <w:rPr>
          <w:color w:val="0D0E0E"/>
          <w:spacing w:val="-6"/>
        </w:rPr>
        <w:t> </w:t>
      </w:r>
      <w:r>
        <w:rPr>
          <w:color w:val="0D0E0E"/>
        </w:rPr>
        <w:t>Popular</w:t>
      </w:r>
      <w:r>
        <w:rPr>
          <w:color w:val="0D0E0E"/>
          <w:spacing w:val="-8"/>
        </w:rPr>
        <w:t> </w:t>
      </w:r>
      <w:r>
        <w:rPr>
          <w:color w:val="0D0E0E"/>
        </w:rPr>
        <w:t>da</w:t>
      </w:r>
      <w:r>
        <w:rPr>
          <w:color w:val="0D0E0E"/>
          <w:spacing w:val="-9"/>
        </w:rPr>
        <w:t> </w:t>
      </w:r>
      <w:r>
        <w:rPr>
          <w:color w:val="0D0E0E"/>
        </w:rPr>
        <w:t>China)</w:t>
      </w:r>
      <w:r>
        <w:rPr>
          <w:color w:val="0D0E0E"/>
          <w:spacing w:val="-7"/>
        </w:rPr>
        <w:t> </w:t>
      </w:r>
      <w:r>
        <w:rPr>
          <w:color w:val="0D0E0E"/>
        </w:rPr>
        <w:t>determina</w:t>
      </w:r>
      <w:r>
        <w:rPr>
          <w:color w:val="0D0E0E"/>
          <w:spacing w:val="-9"/>
        </w:rPr>
        <w:t> </w:t>
      </w:r>
      <w:r>
        <w:rPr>
          <w:color w:val="0D0E0E"/>
        </w:rPr>
        <w:t>não</w:t>
      </w:r>
      <w:r>
        <w:rPr>
          <w:color w:val="0D0E0E"/>
          <w:spacing w:val="-6"/>
        </w:rPr>
        <w:t> </w:t>
      </w:r>
      <w:r>
        <w:rPr>
          <w:color w:val="0D0E0E"/>
        </w:rPr>
        <w:t>somente</w:t>
      </w:r>
      <w:r>
        <w:rPr>
          <w:color w:val="0D0E0E"/>
          <w:spacing w:val="-8"/>
        </w:rPr>
        <w:t> </w:t>
      </w:r>
      <w:r>
        <w:rPr>
          <w:color w:val="0D0E0E"/>
        </w:rPr>
        <w:t>a</w:t>
      </w:r>
      <w:r>
        <w:rPr>
          <w:color w:val="0D0E0E"/>
          <w:spacing w:val="-9"/>
        </w:rPr>
        <w:t> </w:t>
      </w:r>
      <w:r>
        <w:rPr>
          <w:color w:val="0D0E0E"/>
        </w:rPr>
        <w:t>taxa básica</w:t>
      </w:r>
      <w:r>
        <w:rPr>
          <w:color w:val="0D0E0E"/>
          <w:spacing w:val="-10"/>
        </w:rPr>
        <w:t> </w:t>
      </w:r>
      <w:r>
        <w:rPr>
          <w:color w:val="0D0E0E"/>
        </w:rPr>
        <w:t>de</w:t>
      </w:r>
      <w:r>
        <w:rPr>
          <w:color w:val="0D0E0E"/>
          <w:spacing w:val="-10"/>
        </w:rPr>
        <w:t> </w:t>
      </w:r>
      <w:r>
        <w:rPr>
          <w:color w:val="0D0E0E"/>
        </w:rPr>
        <w:t>juros</w:t>
      </w:r>
      <w:r>
        <w:rPr>
          <w:color w:val="0D0E0E"/>
          <w:spacing w:val="-10"/>
        </w:rPr>
        <w:t> </w:t>
      </w:r>
      <w:r>
        <w:rPr>
          <w:color w:val="0D0E0E"/>
        </w:rPr>
        <w:t>na</w:t>
      </w:r>
      <w:r>
        <w:rPr>
          <w:color w:val="0D0E0E"/>
          <w:spacing w:val="-10"/>
        </w:rPr>
        <w:t> </w:t>
      </w:r>
      <w:r>
        <w:rPr>
          <w:color w:val="0D0E0E"/>
        </w:rPr>
        <w:t>ponta</w:t>
      </w:r>
      <w:r>
        <w:rPr>
          <w:color w:val="0D0E0E"/>
          <w:spacing w:val="-10"/>
        </w:rPr>
        <w:t> </w:t>
      </w:r>
      <w:r>
        <w:rPr>
          <w:color w:val="0D0E0E"/>
        </w:rPr>
        <w:t>curta</w:t>
      </w:r>
      <w:r>
        <w:rPr>
          <w:color w:val="0D0E0E"/>
          <w:spacing w:val="-10"/>
        </w:rPr>
        <w:t> </w:t>
      </w:r>
      <w:r>
        <w:rPr>
          <w:color w:val="0D0E0E"/>
        </w:rPr>
        <w:t>da</w:t>
      </w:r>
      <w:r>
        <w:rPr>
          <w:color w:val="0D0E0E"/>
          <w:spacing w:val="-10"/>
        </w:rPr>
        <w:t> </w:t>
      </w:r>
      <w:r>
        <w:rPr>
          <w:color w:val="0D0E0E"/>
        </w:rPr>
        <w:t>curva,</w:t>
      </w:r>
      <w:r>
        <w:rPr>
          <w:color w:val="0D0E0E"/>
          <w:spacing w:val="-10"/>
        </w:rPr>
        <w:t> </w:t>
      </w:r>
      <w:r>
        <w:rPr>
          <w:color w:val="0D0E0E"/>
        </w:rPr>
        <w:t>mas</w:t>
      </w:r>
      <w:r>
        <w:rPr>
          <w:color w:val="0D0E0E"/>
          <w:spacing w:val="-10"/>
        </w:rPr>
        <w:t> </w:t>
      </w:r>
      <w:r>
        <w:rPr>
          <w:color w:val="0D0E0E"/>
        </w:rPr>
        <w:t>também</w:t>
      </w:r>
      <w:r>
        <w:rPr>
          <w:color w:val="0D0E0E"/>
          <w:spacing w:val="-9"/>
        </w:rPr>
        <w:t> </w:t>
      </w:r>
      <w:r>
        <w:rPr>
          <w:color w:val="0D0E0E"/>
        </w:rPr>
        <w:t>toda</w:t>
      </w:r>
      <w:r>
        <w:rPr>
          <w:color w:val="0D0E0E"/>
          <w:spacing w:val="-8"/>
        </w:rPr>
        <w:t> </w:t>
      </w:r>
      <w:r>
        <w:rPr>
          <w:color w:val="0D0E0E"/>
        </w:rPr>
        <w:t>a</w:t>
      </w:r>
      <w:r>
        <w:rPr>
          <w:color w:val="0D0E0E"/>
          <w:spacing w:val="-10"/>
        </w:rPr>
        <w:t> </w:t>
      </w:r>
      <w:r>
        <w:rPr>
          <w:color w:val="0D0E0E"/>
        </w:rPr>
        <w:t>curva</w:t>
      </w:r>
      <w:r>
        <w:rPr>
          <w:color w:val="0D0E0E"/>
          <w:spacing w:val="-10"/>
        </w:rPr>
        <w:t> </w:t>
      </w:r>
      <w:r>
        <w:rPr>
          <w:color w:val="0D0E0E"/>
        </w:rPr>
        <w:t>de</w:t>
      </w:r>
      <w:r>
        <w:rPr>
          <w:color w:val="0D0E0E"/>
          <w:spacing w:val="-10"/>
        </w:rPr>
        <w:t> </w:t>
      </w:r>
      <w:r>
        <w:rPr>
          <w:color w:val="0D0E0E"/>
        </w:rPr>
        <w:t>juros</w:t>
      </w:r>
      <w:r>
        <w:rPr>
          <w:color w:val="0D0E0E"/>
          <w:spacing w:val="-13"/>
        </w:rPr>
        <w:t> </w:t>
      </w:r>
      <w:r>
        <w:rPr>
          <w:color w:val="0D0E0E"/>
        </w:rPr>
        <w:t>de</w:t>
      </w:r>
      <w:r>
        <w:rPr>
          <w:color w:val="0D0E0E"/>
          <w:spacing w:val="-10"/>
        </w:rPr>
        <w:t> </w:t>
      </w:r>
      <w:r>
        <w:rPr>
          <w:color w:val="0D0E0E"/>
        </w:rPr>
        <w:t>médio</w:t>
      </w:r>
      <w:r>
        <w:rPr>
          <w:color w:val="0D0E0E"/>
          <w:spacing w:val="-10"/>
        </w:rPr>
        <w:t> </w:t>
      </w:r>
      <w:r>
        <w:rPr>
          <w:color w:val="0D0E0E"/>
        </w:rPr>
        <w:t>e</w:t>
      </w:r>
      <w:r>
        <w:rPr>
          <w:color w:val="0D0E0E"/>
          <w:spacing w:val="-10"/>
        </w:rPr>
        <w:t> </w:t>
      </w:r>
      <w:r>
        <w:rPr>
          <w:color w:val="0D0E0E"/>
        </w:rPr>
        <w:t>longo prazo, e recentemente, no dia 21 de agosto, o banco central chinês realizou um corte de mais 10 pontos base em sua taxa de 1 ano, atingindo 3,45% ao ano.</w:t>
      </w:r>
    </w:p>
    <w:p>
      <w:pPr>
        <w:pStyle w:val="BodyText"/>
        <w:spacing w:before="239"/>
        <w:ind w:left="3402"/>
      </w:pPr>
      <w:r>
        <w:rPr>
          <w:color w:val="0D0E0E"/>
        </w:rPr>
        <w:t>Taxa</w:t>
      </w:r>
      <w:r>
        <w:rPr>
          <w:color w:val="0D0E0E"/>
          <w:spacing w:val="-2"/>
        </w:rPr>
        <w:t> </w:t>
      </w:r>
      <w:r>
        <w:rPr>
          <w:color w:val="0D0E0E"/>
        </w:rPr>
        <w:t>de</w:t>
      </w:r>
      <w:r>
        <w:rPr>
          <w:color w:val="0D0E0E"/>
          <w:spacing w:val="-3"/>
        </w:rPr>
        <w:t> </w:t>
      </w:r>
      <w:r>
        <w:rPr>
          <w:color w:val="0D0E0E"/>
        </w:rPr>
        <w:t>Juros</w:t>
      </w:r>
      <w:r>
        <w:rPr>
          <w:color w:val="0D0E0E"/>
          <w:spacing w:val="-1"/>
        </w:rPr>
        <w:t> </w:t>
      </w:r>
      <w:r>
        <w:rPr>
          <w:color w:val="0D0E0E"/>
        </w:rPr>
        <w:t>(1</w:t>
      </w:r>
      <w:r>
        <w:rPr>
          <w:color w:val="0D0E0E"/>
          <w:spacing w:val="-1"/>
        </w:rPr>
        <w:t> </w:t>
      </w:r>
      <w:r>
        <w:rPr>
          <w:color w:val="0D0E0E"/>
        </w:rPr>
        <w:t>ano)</w:t>
      </w:r>
      <w:r>
        <w:rPr>
          <w:color w:val="0D0E0E"/>
          <w:spacing w:val="1"/>
        </w:rPr>
        <w:t> </w:t>
      </w:r>
      <w:r>
        <w:rPr>
          <w:color w:val="0D0E0E"/>
        </w:rPr>
        <w:t>–</w:t>
      </w:r>
      <w:r>
        <w:rPr>
          <w:color w:val="0D0E0E"/>
          <w:spacing w:val="-2"/>
        </w:rPr>
        <w:t> China:</w:t>
      </w:r>
    </w:p>
    <w:p>
      <w:pPr>
        <w:pStyle w:val="BodyText"/>
        <w:spacing w:before="11"/>
        <w:rPr>
          <w:sz w:val="8"/>
        </w:rPr>
      </w:pPr>
      <w:r>
        <w:rPr>
          <w:sz w:val="8"/>
        </w:rPr>
        <w:drawing>
          <wp:anchor distT="0" distB="0" distL="0" distR="0" allowOverlap="1" layoutInCell="1" locked="0" behindDoc="1" simplePos="0" relativeHeight="487596544">
            <wp:simplePos x="0" y="0"/>
            <wp:positionH relativeFrom="page">
              <wp:posOffset>1311275</wp:posOffset>
            </wp:positionH>
            <wp:positionV relativeFrom="paragraph">
              <wp:posOffset>84556</wp:posOffset>
            </wp:positionV>
            <wp:extent cx="5082540" cy="2392679"/>
            <wp:effectExtent l="0" t="0" r="0" b="0"/>
            <wp:wrapTopAndBottom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2540" cy="2392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0"/>
      </w:pPr>
    </w:p>
    <w:p>
      <w:pPr>
        <w:spacing w:before="0"/>
        <w:ind w:left="750" w:right="0" w:firstLine="0"/>
        <w:jc w:val="left"/>
        <w:rPr>
          <w:i/>
          <w:sz w:val="20"/>
        </w:rPr>
      </w:pPr>
      <w:r>
        <w:rPr>
          <w:i/>
          <w:color w:val="0D0E0E"/>
          <w:spacing w:val="-2"/>
          <w:sz w:val="20"/>
        </w:rPr>
        <w:t>Fonte:</w:t>
      </w:r>
      <w:r>
        <w:rPr>
          <w:i/>
          <w:color w:val="0D0E0E"/>
          <w:spacing w:val="51"/>
          <w:sz w:val="20"/>
        </w:rPr>
        <w:t> </w:t>
      </w:r>
      <w:r>
        <w:rPr>
          <w:i/>
          <w:color w:val="0D0E0E"/>
          <w:spacing w:val="-2"/>
          <w:sz w:val="20"/>
        </w:rPr>
        <w:t>https://tradingeconomics.com/china/interest-</w:t>
      </w:r>
      <w:r>
        <w:rPr>
          <w:i/>
          <w:color w:val="0D0E0E"/>
          <w:spacing w:val="-4"/>
          <w:sz w:val="20"/>
        </w:rPr>
        <w:t>rate</w:t>
      </w:r>
    </w:p>
    <w:p>
      <w:pPr>
        <w:pStyle w:val="BodyText"/>
        <w:spacing w:before="239"/>
        <w:ind w:left="42" w:right="1255" w:firstLine="707"/>
        <w:jc w:val="both"/>
      </w:pPr>
      <w:r>
        <w:rPr>
          <w:color w:val="0D0E0E"/>
        </w:rPr>
        <w:t>Porém, a surpresa do mercado foi pela gigante asiática não ter realizado nenhum movimento</w:t>
      </w:r>
      <w:r>
        <w:rPr>
          <w:color w:val="0D0E0E"/>
          <w:spacing w:val="-11"/>
        </w:rPr>
        <w:t> </w:t>
      </w:r>
      <w:r>
        <w:rPr>
          <w:color w:val="0D0E0E"/>
        </w:rPr>
        <w:t>na</w:t>
      </w:r>
      <w:r>
        <w:rPr>
          <w:color w:val="0D0E0E"/>
          <w:spacing w:val="-9"/>
        </w:rPr>
        <w:t> </w:t>
      </w:r>
      <w:r>
        <w:rPr>
          <w:color w:val="0D0E0E"/>
        </w:rPr>
        <w:t>taxa</w:t>
      </w:r>
      <w:r>
        <w:rPr>
          <w:color w:val="0D0E0E"/>
          <w:spacing w:val="-9"/>
        </w:rPr>
        <w:t> </w:t>
      </w:r>
      <w:r>
        <w:rPr>
          <w:color w:val="0D0E0E"/>
        </w:rPr>
        <w:t>de</w:t>
      </w:r>
      <w:r>
        <w:rPr>
          <w:color w:val="0D0E0E"/>
          <w:spacing w:val="-11"/>
        </w:rPr>
        <w:t> </w:t>
      </w:r>
      <w:r>
        <w:rPr>
          <w:color w:val="0D0E0E"/>
        </w:rPr>
        <w:t>juros</w:t>
      </w:r>
      <w:r>
        <w:rPr>
          <w:color w:val="0D0E0E"/>
          <w:spacing w:val="-6"/>
        </w:rPr>
        <w:t> </w:t>
      </w:r>
      <w:r>
        <w:rPr>
          <w:color w:val="0D0E0E"/>
        </w:rPr>
        <w:t>de</w:t>
      </w:r>
      <w:r>
        <w:rPr>
          <w:color w:val="0D0E0E"/>
          <w:spacing w:val="-11"/>
        </w:rPr>
        <w:t> </w:t>
      </w:r>
      <w:r>
        <w:rPr>
          <w:color w:val="0D0E0E"/>
        </w:rPr>
        <w:t>empréstimo</w:t>
      </w:r>
      <w:r>
        <w:rPr>
          <w:color w:val="0D0E0E"/>
          <w:spacing w:val="-7"/>
        </w:rPr>
        <w:t> </w:t>
      </w:r>
      <w:r>
        <w:rPr>
          <w:color w:val="0D0E0E"/>
        </w:rPr>
        <w:t>de</w:t>
      </w:r>
      <w:r>
        <w:rPr>
          <w:color w:val="0D0E0E"/>
          <w:spacing w:val="-8"/>
        </w:rPr>
        <w:t> </w:t>
      </w:r>
      <w:r>
        <w:rPr>
          <w:color w:val="0D0E0E"/>
        </w:rPr>
        <w:t>vencimento</w:t>
      </w:r>
      <w:r>
        <w:rPr>
          <w:color w:val="0D0E0E"/>
          <w:spacing w:val="-10"/>
        </w:rPr>
        <w:t> </w:t>
      </w:r>
      <w:r>
        <w:rPr>
          <w:color w:val="0D0E0E"/>
        </w:rPr>
        <w:t>de</w:t>
      </w:r>
      <w:r>
        <w:rPr>
          <w:color w:val="0D0E0E"/>
          <w:spacing w:val="-8"/>
        </w:rPr>
        <w:t> </w:t>
      </w:r>
      <w:r>
        <w:rPr>
          <w:color w:val="0D0E0E"/>
        </w:rPr>
        <w:t>5</w:t>
      </w:r>
      <w:r>
        <w:rPr>
          <w:color w:val="0D0E0E"/>
          <w:spacing w:val="-10"/>
        </w:rPr>
        <w:t> </w:t>
      </w:r>
      <w:r>
        <w:rPr>
          <w:color w:val="0D0E0E"/>
        </w:rPr>
        <w:t>anos,</w:t>
      </w:r>
      <w:r>
        <w:rPr>
          <w:color w:val="0D0E0E"/>
          <w:spacing w:val="-11"/>
        </w:rPr>
        <w:t> </w:t>
      </w:r>
      <w:r>
        <w:rPr>
          <w:color w:val="0D0E0E"/>
        </w:rPr>
        <w:t>que</w:t>
      </w:r>
      <w:r>
        <w:rPr>
          <w:color w:val="0D0E0E"/>
          <w:spacing w:val="-11"/>
        </w:rPr>
        <w:t> </w:t>
      </w:r>
      <w:r>
        <w:rPr>
          <w:color w:val="0D0E0E"/>
        </w:rPr>
        <w:t>ainda</w:t>
      </w:r>
      <w:r>
        <w:rPr>
          <w:color w:val="0D0E0E"/>
          <w:spacing w:val="-11"/>
        </w:rPr>
        <w:t> </w:t>
      </w:r>
      <w:r>
        <w:rPr>
          <w:color w:val="0D0E0E"/>
        </w:rPr>
        <w:t>permanece no patamar de 4,2% (LPR) ao ano.</w:t>
      </w:r>
    </w:p>
    <w:p>
      <w:pPr>
        <w:pStyle w:val="BodyText"/>
        <w:spacing w:before="240"/>
        <w:ind w:left="42" w:right="1262" w:firstLine="707"/>
        <w:jc w:val="both"/>
      </w:pPr>
      <w:r>
        <w:rPr>
          <w:color w:val="0D0E0E"/>
        </w:rPr>
        <w:t>Essa taxa de vencimento mais longo favorece principalmente o setor imobiliário, através</w:t>
      </w:r>
      <w:r>
        <w:rPr>
          <w:color w:val="0D0E0E"/>
          <w:spacing w:val="-5"/>
        </w:rPr>
        <w:t> </w:t>
      </w:r>
      <w:r>
        <w:rPr>
          <w:color w:val="0D0E0E"/>
        </w:rPr>
        <w:t>das</w:t>
      </w:r>
      <w:r>
        <w:rPr>
          <w:color w:val="0D0E0E"/>
          <w:spacing w:val="-6"/>
        </w:rPr>
        <w:t> </w:t>
      </w:r>
      <w:r>
        <w:rPr>
          <w:color w:val="0D0E0E"/>
        </w:rPr>
        <w:t>hipotecas,</w:t>
      </w:r>
      <w:r>
        <w:rPr>
          <w:color w:val="0D0E0E"/>
          <w:spacing w:val="-5"/>
        </w:rPr>
        <w:t> </w:t>
      </w:r>
      <w:r>
        <w:rPr>
          <w:color w:val="0D0E0E"/>
        </w:rPr>
        <w:t>que</w:t>
      </w:r>
      <w:r>
        <w:rPr>
          <w:color w:val="0D0E0E"/>
          <w:spacing w:val="-4"/>
        </w:rPr>
        <w:t> </w:t>
      </w:r>
      <w:r>
        <w:rPr>
          <w:color w:val="0D0E0E"/>
        </w:rPr>
        <w:t>vem</w:t>
      </w:r>
      <w:r>
        <w:rPr>
          <w:color w:val="0D0E0E"/>
          <w:spacing w:val="-5"/>
        </w:rPr>
        <w:t> </w:t>
      </w:r>
      <w:r>
        <w:rPr>
          <w:color w:val="0D0E0E"/>
        </w:rPr>
        <w:t>mostrando</w:t>
      </w:r>
      <w:r>
        <w:rPr>
          <w:color w:val="0D0E0E"/>
          <w:spacing w:val="-4"/>
        </w:rPr>
        <w:t> </w:t>
      </w:r>
      <w:r>
        <w:rPr>
          <w:color w:val="0D0E0E"/>
        </w:rPr>
        <w:t>dificuldades</w:t>
      </w:r>
      <w:r>
        <w:rPr>
          <w:color w:val="0D0E0E"/>
          <w:spacing w:val="-5"/>
        </w:rPr>
        <w:t> </w:t>
      </w:r>
      <w:r>
        <w:rPr>
          <w:color w:val="0D0E0E"/>
        </w:rPr>
        <w:t>e</w:t>
      </w:r>
      <w:r>
        <w:rPr>
          <w:color w:val="0D0E0E"/>
          <w:spacing w:val="-6"/>
        </w:rPr>
        <w:t> </w:t>
      </w:r>
      <w:r>
        <w:rPr>
          <w:color w:val="0D0E0E"/>
        </w:rPr>
        <w:t>fragilidades</w:t>
      </w:r>
      <w:r>
        <w:rPr>
          <w:color w:val="0D0E0E"/>
          <w:spacing w:val="-6"/>
        </w:rPr>
        <w:t> </w:t>
      </w:r>
      <w:r>
        <w:rPr>
          <w:color w:val="0D0E0E"/>
        </w:rPr>
        <w:t>desde</w:t>
      </w:r>
      <w:r>
        <w:rPr>
          <w:color w:val="0D0E0E"/>
          <w:spacing w:val="-4"/>
        </w:rPr>
        <w:t> </w:t>
      </w:r>
      <w:r>
        <w:rPr>
          <w:color w:val="0D0E0E"/>
        </w:rPr>
        <w:t>o</w:t>
      </w:r>
      <w:r>
        <w:rPr>
          <w:color w:val="0D0E0E"/>
          <w:spacing w:val="-4"/>
        </w:rPr>
        <w:t> </w:t>
      </w:r>
      <w:r>
        <w:rPr>
          <w:color w:val="0D0E0E"/>
        </w:rPr>
        <w:t>ano</w:t>
      </w:r>
      <w:r>
        <w:rPr>
          <w:color w:val="0D0E0E"/>
          <w:spacing w:val="-4"/>
        </w:rPr>
        <w:t> </w:t>
      </w:r>
      <w:r>
        <w:rPr>
          <w:color w:val="0D0E0E"/>
        </w:rPr>
        <w:t>passado.</w:t>
      </w:r>
    </w:p>
    <w:p>
      <w:pPr>
        <w:pStyle w:val="BodyText"/>
        <w:spacing w:before="242"/>
        <w:ind w:left="42" w:right="1260" w:firstLine="707"/>
        <w:jc w:val="both"/>
      </w:pPr>
      <w:r>
        <w:rPr>
          <w:color w:val="0D0E0E"/>
        </w:rPr>
        <w:t>O</w:t>
      </w:r>
      <w:r>
        <w:rPr>
          <w:color w:val="0D0E0E"/>
          <w:spacing w:val="-9"/>
        </w:rPr>
        <w:t> </w:t>
      </w:r>
      <w:r>
        <w:rPr>
          <w:color w:val="0D0E0E"/>
        </w:rPr>
        <w:t>principal</w:t>
      </w:r>
      <w:r>
        <w:rPr>
          <w:color w:val="0D0E0E"/>
          <w:spacing w:val="-11"/>
        </w:rPr>
        <w:t> </w:t>
      </w:r>
      <w:r>
        <w:rPr>
          <w:color w:val="0D0E0E"/>
        </w:rPr>
        <w:t>fator</w:t>
      </w:r>
      <w:r>
        <w:rPr>
          <w:color w:val="0D0E0E"/>
          <w:spacing w:val="-8"/>
        </w:rPr>
        <w:t> </w:t>
      </w:r>
      <w:r>
        <w:rPr>
          <w:color w:val="0D0E0E"/>
        </w:rPr>
        <w:t>de</w:t>
      </w:r>
      <w:r>
        <w:rPr>
          <w:color w:val="0D0E0E"/>
          <w:spacing w:val="-11"/>
        </w:rPr>
        <w:t> </w:t>
      </w:r>
      <w:r>
        <w:rPr>
          <w:color w:val="0D0E0E"/>
        </w:rPr>
        <w:t>preocupação</w:t>
      </w:r>
      <w:r>
        <w:rPr>
          <w:color w:val="0D0E0E"/>
          <w:spacing w:val="-8"/>
        </w:rPr>
        <w:t> </w:t>
      </w:r>
      <w:r>
        <w:rPr>
          <w:color w:val="0D0E0E"/>
        </w:rPr>
        <w:t>para</w:t>
      </w:r>
      <w:r>
        <w:rPr>
          <w:color w:val="0D0E0E"/>
          <w:spacing w:val="-9"/>
        </w:rPr>
        <w:t> </w:t>
      </w:r>
      <w:r>
        <w:rPr>
          <w:color w:val="0D0E0E"/>
        </w:rPr>
        <w:t>não</w:t>
      </w:r>
      <w:r>
        <w:rPr>
          <w:color w:val="0D0E0E"/>
          <w:spacing w:val="-8"/>
        </w:rPr>
        <w:t> </w:t>
      </w:r>
      <w:r>
        <w:rPr>
          <w:color w:val="0D0E0E"/>
        </w:rPr>
        <w:t>realização</w:t>
      </w:r>
      <w:r>
        <w:rPr>
          <w:color w:val="0D0E0E"/>
          <w:spacing w:val="-8"/>
        </w:rPr>
        <w:t> </w:t>
      </w:r>
      <w:r>
        <w:rPr>
          <w:color w:val="0D0E0E"/>
        </w:rPr>
        <w:t>do</w:t>
      </w:r>
      <w:r>
        <w:rPr>
          <w:color w:val="0D0E0E"/>
          <w:spacing w:val="-8"/>
        </w:rPr>
        <w:t> </w:t>
      </w:r>
      <w:r>
        <w:rPr>
          <w:color w:val="0D0E0E"/>
        </w:rPr>
        <w:t>corte</w:t>
      </w:r>
      <w:r>
        <w:rPr>
          <w:color w:val="0D0E0E"/>
          <w:spacing w:val="-8"/>
        </w:rPr>
        <w:t> </w:t>
      </w:r>
      <w:r>
        <w:rPr>
          <w:color w:val="0D0E0E"/>
        </w:rPr>
        <w:t>de</w:t>
      </w:r>
      <w:r>
        <w:rPr>
          <w:color w:val="0D0E0E"/>
          <w:spacing w:val="-8"/>
        </w:rPr>
        <w:t> </w:t>
      </w:r>
      <w:r>
        <w:rPr>
          <w:color w:val="0D0E0E"/>
        </w:rPr>
        <w:t>juros</w:t>
      </w:r>
      <w:r>
        <w:rPr>
          <w:color w:val="0D0E0E"/>
          <w:spacing w:val="-9"/>
        </w:rPr>
        <w:t> </w:t>
      </w:r>
      <w:r>
        <w:rPr>
          <w:color w:val="0D0E0E"/>
        </w:rPr>
        <w:t>de</w:t>
      </w:r>
      <w:r>
        <w:rPr>
          <w:color w:val="0D0E0E"/>
          <w:spacing w:val="-8"/>
        </w:rPr>
        <w:t> </w:t>
      </w:r>
      <w:r>
        <w:rPr>
          <w:color w:val="0D0E0E"/>
        </w:rPr>
        <w:t>prazo</w:t>
      </w:r>
      <w:r>
        <w:rPr>
          <w:color w:val="0D0E0E"/>
          <w:spacing w:val="-8"/>
        </w:rPr>
        <w:t> </w:t>
      </w:r>
      <w:r>
        <w:rPr>
          <w:color w:val="0D0E0E"/>
        </w:rPr>
        <w:t>mais longo se deve por conta da preocupação de uma demasiada desvalorização cambial.</w:t>
      </w:r>
    </w:p>
    <w:p>
      <w:pPr>
        <w:pStyle w:val="BodyText"/>
      </w:pPr>
    </w:p>
    <w:p>
      <w:pPr>
        <w:pStyle w:val="BodyText"/>
        <w:spacing w:before="234"/>
      </w:pPr>
    </w:p>
    <w:p>
      <w:pPr>
        <w:spacing w:before="1"/>
        <w:ind w:left="42" w:right="0" w:firstLine="0"/>
        <w:jc w:val="left"/>
        <w:rPr>
          <w:sz w:val="28"/>
        </w:rPr>
      </w:pPr>
      <w:r>
        <w:rPr>
          <w:spacing w:val="-5"/>
          <w:sz w:val="28"/>
        </w:rPr>
        <w:t>PMI</w:t>
      </w:r>
    </w:p>
    <w:p>
      <w:pPr>
        <w:pStyle w:val="BodyText"/>
        <w:spacing w:before="239"/>
        <w:ind w:left="42" w:right="1259" w:firstLine="707"/>
        <w:jc w:val="both"/>
      </w:pPr>
      <w:r>
        <w:rPr>
          <w:color w:val="0D0E0E"/>
        </w:rPr>
        <w:t>O PMI de serviços de agosto se destacou no mercado pela revisão negativa para os 51,8 pontos ante 54,1 de julho, que reiterou o discurso de uma possível desaceleração da economia chinesa. A projeção de mercado era de 53,6, essa queda acentuada se deve principalmente pelo baixo crescimento de exportações no período.</w:t>
      </w:r>
    </w:p>
    <w:p>
      <w:pPr>
        <w:pStyle w:val="BodyText"/>
        <w:spacing w:after="0"/>
        <w:jc w:val="both"/>
        <w:sectPr>
          <w:pgSz w:w="11920" w:h="16850"/>
          <w:pgMar w:top="1340" w:bottom="280" w:left="1559" w:right="141"/>
        </w:sectPr>
      </w:pPr>
    </w:p>
    <w:p>
      <w:pPr>
        <w:pStyle w:val="BodyText"/>
        <w:spacing w:before="39"/>
        <w:ind w:left="708" w:right="1211"/>
        <w:jc w:val="center"/>
      </w:pPr>
      <w:r>
        <w:rPr>
          <w:color w:val="0D0E0E"/>
        </w:rPr>
        <w:t>PMI</w:t>
      </w:r>
      <w:r>
        <w:rPr>
          <w:color w:val="0D0E0E"/>
          <w:spacing w:val="-1"/>
        </w:rPr>
        <w:t> </w:t>
      </w:r>
      <w:r>
        <w:rPr>
          <w:color w:val="0D0E0E"/>
        </w:rPr>
        <w:t>serviços</w:t>
      </w:r>
      <w:r>
        <w:rPr>
          <w:color w:val="0D0E0E"/>
          <w:spacing w:val="-1"/>
        </w:rPr>
        <w:t> </w:t>
      </w:r>
      <w:r>
        <w:rPr>
          <w:color w:val="0D0E0E"/>
        </w:rPr>
        <w:t>–</w:t>
      </w:r>
      <w:r>
        <w:rPr>
          <w:color w:val="0D0E0E"/>
          <w:spacing w:val="1"/>
        </w:rPr>
        <w:t> </w:t>
      </w:r>
      <w:r>
        <w:rPr>
          <w:color w:val="0D0E0E"/>
          <w:spacing w:val="-2"/>
        </w:rPr>
        <w:t>China:</w:t>
      </w:r>
    </w:p>
    <w:p>
      <w:pPr>
        <w:pStyle w:val="BodyText"/>
        <w:spacing w:before="26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97056">
            <wp:simplePos x="0" y="0"/>
            <wp:positionH relativeFrom="page">
              <wp:posOffset>1069339</wp:posOffset>
            </wp:positionH>
            <wp:positionV relativeFrom="paragraph">
              <wp:posOffset>186836</wp:posOffset>
            </wp:positionV>
            <wp:extent cx="5105400" cy="2346959"/>
            <wp:effectExtent l="0" t="0" r="0" b="0"/>
            <wp:wrapTopAndBottom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2346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65"/>
      </w:pPr>
    </w:p>
    <w:p>
      <w:pPr>
        <w:spacing w:before="1"/>
        <w:ind w:left="750" w:right="0" w:firstLine="0"/>
        <w:jc w:val="left"/>
        <w:rPr>
          <w:i/>
          <w:sz w:val="20"/>
        </w:rPr>
      </w:pPr>
      <w:r>
        <w:rPr>
          <w:i/>
          <w:color w:val="0D0E0E"/>
          <w:spacing w:val="-2"/>
          <w:sz w:val="20"/>
        </w:rPr>
        <w:t>Fonte:</w:t>
      </w:r>
      <w:r>
        <w:rPr>
          <w:i/>
          <w:color w:val="0D0E0E"/>
          <w:spacing w:val="48"/>
          <w:sz w:val="20"/>
        </w:rPr>
        <w:t> </w:t>
      </w:r>
      <w:r>
        <w:rPr>
          <w:i/>
          <w:color w:val="0D0E0E"/>
          <w:spacing w:val="-2"/>
          <w:sz w:val="20"/>
        </w:rPr>
        <w:t>https://tradingeconomics.com/china/services-</w:t>
      </w:r>
      <w:r>
        <w:rPr>
          <w:i/>
          <w:color w:val="0D0E0E"/>
          <w:spacing w:val="-5"/>
          <w:sz w:val="20"/>
        </w:rPr>
        <w:t>pmi</w:t>
      </w:r>
    </w:p>
    <w:p>
      <w:pPr>
        <w:pStyle w:val="BodyText"/>
        <w:spacing w:before="238"/>
        <w:ind w:left="42" w:right="1255" w:firstLine="707"/>
        <w:jc w:val="both"/>
      </w:pPr>
      <w:r>
        <w:rPr>
          <w:color w:val="0D0E0E"/>
        </w:rPr>
        <w:t>O PMI industrial mostrou recuperação de confiança do setor após uma baixa expressiva do mês de julho. O índice subiu à 51 pontos em agosto, acima do esperado pelo mercado de 49,2.</w:t>
      </w:r>
    </w:p>
    <w:p>
      <w:pPr>
        <w:pStyle w:val="BodyText"/>
        <w:spacing w:before="240"/>
        <w:ind w:left="708" w:right="1211"/>
        <w:jc w:val="center"/>
      </w:pPr>
      <w:r>
        <w:rPr>
          <w:color w:val="0D0E0E"/>
        </w:rPr>
        <w:t>PMI</w:t>
      </w:r>
      <w:r>
        <w:rPr>
          <w:color w:val="0D0E0E"/>
          <w:spacing w:val="-2"/>
        </w:rPr>
        <w:t> </w:t>
      </w:r>
      <w:r>
        <w:rPr>
          <w:color w:val="0D0E0E"/>
        </w:rPr>
        <w:t>industrial</w:t>
      </w:r>
      <w:r>
        <w:rPr>
          <w:color w:val="0D0E0E"/>
          <w:spacing w:val="-1"/>
        </w:rPr>
        <w:t> </w:t>
      </w:r>
      <w:r>
        <w:rPr>
          <w:color w:val="0D0E0E"/>
        </w:rPr>
        <w:t>– </w:t>
      </w:r>
      <w:r>
        <w:rPr>
          <w:color w:val="0D0E0E"/>
          <w:spacing w:val="-2"/>
        </w:rPr>
        <w:t>China:</w:t>
      </w:r>
    </w:p>
    <w:p>
      <w:pPr>
        <w:pStyle w:val="BodyText"/>
        <w:spacing w:before="67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97568">
            <wp:simplePos x="0" y="0"/>
            <wp:positionH relativeFrom="page">
              <wp:posOffset>1099819</wp:posOffset>
            </wp:positionH>
            <wp:positionV relativeFrom="paragraph">
              <wp:posOffset>213369</wp:posOffset>
            </wp:positionV>
            <wp:extent cx="5120640" cy="2339340"/>
            <wp:effectExtent l="0" t="0" r="0" b="0"/>
            <wp:wrapTopAndBottom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0640" cy="2339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42"/>
      </w:pPr>
    </w:p>
    <w:p>
      <w:pPr>
        <w:spacing w:before="0"/>
        <w:ind w:left="750" w:right="0" w:firstLine="0"/>
        <w:jc w:val="left"/>
        <w:rPr>
          <w:i/>
          <w:sz w:val="20"/>
        </w:rPr>
      </w:pPr>
      <w:r>
        <w:rPr>
          <w:i/>
          <w:color w:val="0D0E0E"/>
          <w:spacing w:val="-2"/>
          <w:sz w:val="20"/>
        </w:rPr>
        <w:t>Fonte:</w:t>
      </w:r>
      <w:r>
        <w:rPr>
          <w:i/>
          <w:color w:val="0D0E0E"/>
          <w:spacing w:val="50"/>
          <w:sz w:val="20"/>
        </w:rPr>
        <w:t> </w:t>
      </w:r>
      <w:r>
        <w:rPr>
          <w:i/>
          <w:color w:val="0D0E0E"/>
          <w:spacing w:val="-2"/>
          <w:sz w:val="20"/>
        </w:rPr>
        <w:t>https://tradingeconomics.com/china/manufacturing-</w:t>
      </w:r>
      <w:r>
        <w:rPr>
          <w:i/>
          <w:color w:val="0D0E0E"/>
          <w:spacing w:val="-5"/>
          <w:sz w:val="20"/>
        </w:rPr>
        <w:t>pmi</w:t>
      </w:r>
    </w:p>
    <w:p>
      <w:pPr>
        <w:pStyle w:val="BodyText"/>
        <w:spacing w:before="239"/>
        <w:ind w:left="42" w:right="1258" w:firstLine="707"/>
        <w:jc w:val="both"/>
      </w:pPr>
      <w:r>
        <w:rPr>
          <w:color w:val="0D0E0E"/>
        </w:rPr>
        <w:t>E apesar da melhora de expectativa do setor industrial, a consolidação do PMI composto foi puxado levemente para baixo dado a queda de expectativa do setor de serviços. O índice composto de agosto fechou em 51,7 pontos versus 51,9 de agosto.</w:t>
      </w:r>
    </w:p>
    <w:p>
      <w:pPr>
        <w:pStyle w:val="BodyText"/>
        <w:spacing w:after="0"/>
        <w:jc w:val="both"/>
        <w:sectPr>
          <w:pgSz w:w="11920" w:h="16850"/>
          <w:pgMar w:top="1320" w:bottom="280" w:left="1559" w:right="141"/>
        </w:sectPr>
      </w:pPr>
    </w:p>
    <w:p>
      <w:pPr>
        <w:pStyle w:val="BodyText"/>
        <w:spacing w:before="39"/>
        <w:ind w:left="708" w:right="1211"/>
        <w:jc w:val="center"/>
      </w:pPr>
      <w:r>
        <w:rPr>
          <w:color w:val="0D0E0E"/>
        </w:rPr>
        <w:t>PMI composto</w:t>
      </w:r>
      <w:r>
        <w:rPr>
          <w:color w:val="0D0E0E"/>
          <w:spacing w:val="-1"/>
        </w:rPr>
        <w:t> </w:t>
      </w:r>
      <w:r>
        <w:rPr>
          <w:color w:val="0D0E0E"/>
        </w:rPr>
        <w:t>–</w:t>
      </w:r>
      <w:r>
        <w:rPr>
          <w:color w:val="0D0E0E"/>
          <w:spacing w:val="1"/>
        </w:rPr>
        <w:t> </w:t>
      </w:r>
      <w:r>
        <w:rPr>
          <w:color w:val="0D0E0E"/>
          <w:spacing w:val="-2"/>
        </w:rPr>
        <w:t>China:</w:t>
      </w:r>
    </w:p>
    <w:p>
      <w:pPr>
        <w:pStyle w:val="BodyText"/>
        <w:spacing w:before="134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98080">
            <wp:simplePos x="0" y="0"/>
            <wp:positionH relativeFrom="page">
              <wp:posOffset>1023619</wp:posOffset>
            </wp:positionH>
            <wp:positionV relativeFrom="paragraph">
              <wp:posOffset>255416</wp:posOffset>
            </wp:positionV>
            <wp:extent cx="4998719" cy="2346960"/>
            <wp:effectExtent l="0" t="0" r="0" b="0"/>
            <wp:wrapTopAndBottom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8719" cy="2346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  <w:spacing w:before="16"/>
      </w:pPr>
    </w:p>
    <w:p>
      <w:pPr>
        <w:spacing w:before="0"/>
        <w:ind w:left="750" w:right="0" w:firstLine="0"/>
        <w:jc w:val="left"/>
        <w:rPr>
          <w:i/>
          <w:sz w:val="20"/>
        </w:rPr>
      </w:pPr>
      <w:r>
        <w:rPr>
          <w:i/>
          <w:color w:val="0D0E0E"/>
          <w:spacing w:val="-2"/>
          <w:sz w:val="20"/>
        </w:rPr>
        <w:t>Fonte:</w:t>
      </w:r>
      <w:r>
        <w:rPr>
          <w:i/>
          <w:color w:val="0D0E0E"/>
          <w:spacing w:val="54"/>
          <w:sz w:val="20"/>
        </w:rPr>
        <w:t> </w:t>
      </w:r>
      <w:r>
        <w:rPr>
          <w:i/>
          <w:color w:val="0D0E0E"/>
          <w:spacing w:val="-2"/>
          <w:sz w:val="20"/>
        </w:rPr>
        <w:t>https://tradingeconomics.com/china/composite-</w:t>
      </w:r>
      <w:r>
        <w:rPr>
          <w:i/>
          <w:color w:val="0D0E0E"/>
          <w:spacing w:val="-5"/>
          <w:sz w:val="20"/>
        </w:rPr>
        <w:t>pmi</w:t>
      </w:r>
    </w:p>
    <w:p>
      <w:pPr>
        <w:pStyle w:val="BodyText"/>
        <w:rPr>
          <w:i/>
          <w:sz w:val="28"/>
        </w:rPr>
      </w:pPr>
    </w:p>
    <w:p>
      <w:pPr>
        <w:pStyle w:val="BodyText"/>
        <w:spacing w:before="136"/>
        <w:rPr>
          <w:i/>
          <w:sz w:val="28"/>
        </w:rPr>
      </w:pPr>
    </w:p>
    <w:p>
      <w:pPr>
        <w:pStyle w:val="Heading1"/>
      </w:pPr>
      <w:r>
        <w:rPr>
          <w:spacing w:val="-2"/>
        </w:rPr>
        <w:t>Brasil</w:t>
      </w:r>
    </w:p>
    <w:p>
      <w:pPr>
        <w:pStyle w:val="Heading2"/>
        <w:spacing w:before="239"/>
      </w:pPr>
      <w:r>
        <w:rPr>
          <w:spacing w:val="-2"/>
        </w:rPr>
        <w:t>Inflação</w:t>
      </w:r>
    </w:p>
    <w:p>
      <w:pPr>
        <w:pStyle w:val="BodyText"/>
        <w:spacing w:before="241"/>
        <w:ind w:left="698" w:right="1211"/>
        <w:jc w:val="center"/>
      </w:pPr>
      <w:r>
        <w:rPr>
          <w:color w:val="0D0E0E"/>
        </w:rPr>
        <w:t>O</w:t>
      </w:r>
      <w:r>
        <w:rPr>
          <w:color w:val="0D0E0E"/>
          <w:spacing w:val="-8"/>
        </w:rPr>
        <w:t> </w:t>
      </w:r>
      <w:r>
        <w:rPr>
          <w:color w:val="0D0E0E"/>
        </w:rPr>
        <w:t>mercado</w:t>
      </w:r>
      <w:r>
        <w:rPr>
          <w:color w:val="0D0E0E"/>
          <w:spacing w:val="-9"/>
        </w:rPr>
        <w:t> </w:t>
      </w:r>
      <w:r>
        <w:rPr>
          <w:color w:val="0D0E0E"/>
        </w:rPr>
        <w:t>reagiu</w:t>
      </w:r>
      <w:r>
        <w:rPr>
          <w:color w:val="0D0E0E"/>
          <w:spacing w:val="-8"/>
        </w:rPr>
        <w:t> </w:t>
      </w:r>
      <w:r>
        <w:rPr>
          <w:color w:val="0D0E0E"/>
        </w:rPr>
        <w:t>positivamente</w:t>
      </w:r>
      <w:r>
        <w:rPr>
          <w:color w:val="0D0E0E"/>
          <w:spacing w:val="-7"/>
        </w:rPr>
        <w:t> </w:t>
      </w:r>
      <w:r>
        <w:rPr>
          <w:color w:val="0D0E0E"/>
        </w:rPr>
        <w:t>com</w:t>
      </w:r>
      <w:r>
        <w:rPr>
          <w:color w:val="0D0E0E"/>
          <w:spacing w:val="-8"/>
        </w:rPr>
        <w:t> </w:t>
      </w:r>
      <w:r>
        <w:rPr>
          <w:color w:val="0D0E0E"/>
        </w:rPr>
        <w:t>o</w:t>
      </w:r>
      <w:r>
        <w:rPr>
          <w:color w:val="0D0E0E"/>
          <w:spacing w:val="-9"/>
        </w:rPr>
        <w:t> </w:t>
      </w:r>
      <w:r>
        <w:rPr>
          <w:color w:val="0D0E0E"/>
        </w:rPr>
        <w:t>resultado</w:t>
      </w:r>
      <w:r>
        <w:rPr>
          <w:color w:val="0D0E0E"/>
          <w:spacing w:val="-11"/>
        </w:rPr>
        <w:t> </w:t>
      </w:r>
      <w:r>
        <w:rPr>
          <w:color w:val="0D0E0E"/>
        </w:rPr>
        <w:t>do</w:t>
      </w:r>
      <w:r>
        <w:rPr>
          <w:color w:val="0D0E0E"/>
          <w:spacing w:val="-7"/>
        </w:rPr>
        <w:t> </w:t>
      </w:r>
      <w:r>
        <w:rPr>
          <w:color w:val="0D0E0E"/>
        </w:rPr>
        <w:t>IPCA</w:t>
      </w:r>
      <w:r>
        <w:rPr>
          <w:color w:val="0D0E0E"/>
          <w:spacing w:val="-6"/>
        </w:rPr>
        <w:t> </w:t>
      </w:r>
      <w:r>
        <w:rPr>
          <w:color w:val="0D0E0E"/>
        </w:rPr>
        <w:t>vindo</w:t>
      </w:r>
      <w:r>
        <w:rPr>
          <w:color w:val="0D0E0E"/>
          <w:spacing w:val="-9"/>
        </w:rPr>
        <w:t> </w:t>
      </w:r>
      <w:r>
        <w:rPr>
          <w:color w:val="0D0E0E"/>
        </w:rPr>
        <w:t>abaixo</w:t>
      </w:r>
      <w:r>
        <w:rPr>
          <w:color w:val="0D0E0E"/>
          <w:spacing w:val="-11"/>
        </w:rPr>
        <w:t> </w:t>
      </w:r>
      <w:r>
        <w:rPr>
          <w:color w:val="0D0E0E"/>
        </w:rPr>
        <w:t>do</w:t>
      </w:r>
      <w:r>
        <w:rPr>
          <w:color w:val="0D0E0E"/>
          <w:spacing w:val="-11"/>
        </w:rPr>
        <w:t> </w:t>
      </w:r>
      <w:r>
        <w:rPr>
          <w:color w:val="0D0E0E"/>
          <w:spacing w:val="-2"/>
        </w:rPr>
        <w:t>esperado.</w:t>
      </w:r>
    </w:p>
    <w:p>
      <w:pPr>
        <w:pStyle w:val="BodyText"/>
        <w:ind w:left="42"/>
      </w:pPr>
      <w:r>
        <w:rPr>
          <w:color w:val="0D0E0E"/>
        </w:rPr>
        <w:t>A</w:t>
      </w:r>
      <w:r>
        <w:rPr>
          <w:color w:val="0D0E0E"/>
          <w:spacing w:val="-4"/>
        </w:rPr>
        <w:t> </w:t>
      </w:r>
      <w:r>
        <w:rPr>
          <w:color w:val="0D0E0E"/>
        </w:rPr>
        <w:t>projeção</w:t>
      </w:r>
      <w:r>
        <w:rPr>
          <w:color w:val="0D0E0E"/>
          <w:spacing w:val="-2"/>
        </w:rPr>
        <w:t> </w:t>
      </w:r>
      <w:r>
        <w:rPr>
          <w:color w:val="0D0E0E"/>
        </w:rPr>
        <w:t>era</w:t>
      </w:r>
      <w:r>
        <w:rPr>
          <w:color w:val="0D0E0E"/>
          <w:spacing w:val="-1"/>
        </w:rPr>
        <w:t> </w:t>
      </w:r>
      <w:r>
        <w:rPr>
          <w:color w:val="0D0E0E"/>
        </w:rPr>
        <w:t>de</w:t>
      </w:r>
      <w:r>
        <w:rPr>
          <w:color w:val="0D0E0E"/>
          <w:spacing w:val="-2"/>
        </w:rPr>
        <w:t> </w:t>
      </w:r>
      <w:r>
        <w:rPr>
          <w:color w:val="0D0E0E"/>
        </w:rPr>
        <w:t>0,28%</w:t>
      </w:r>
      <w:r>
        <w:rPr>
          <w:color w:val="0D0E0E"/>
          <w:spacing w:val="-3"/>
        </w:rPr>
        <w:t> </w:t>
      </w:r>
      <w:r>
        <w:rPr>
          <w:color w:val="0D0E0E"/>
        </w:rPr>
        <w:t>no</w:t>
      </w:r>
      <w:r>
        <w:rPr>
          <w:color w:val="0D0E0E"/>
          <w:spacing w:val="-2"/>
        </w:rPr>
        <w:t> </w:t>
      </w:r>
      <w:r>
        <w:rPr>
          <w:color w:val="0D0E0E"/>
        </w:rPr>
        <w:t>mês</w:t>
      </w:r>
      <w:r>
        <w:rPr>
          <w:color w:val="0D0E0E"/>
          <w:spacing w:val="-5"/>
        </w:rPr>
        <w:t> </w:t>
      </w:r>
      <w:r>
        <w:rPr>
          <w:color w:val="0D0E0E"/>
        </w:rPr>
        <w:t>enquanto</w:t>
      </w:r>
      <w:r>
        <w:rPr>
          <w:color w:val="0D0E0E"/>
          <w:spacing w:val="3"/>
        </w:rPr>
        <w:t> </w:t>
      </w:r>
      <w:r>
        <w:rPr>
          <w:color w:val="0D0E0E"/>
        </w:rPr>
        <w:t>a</w:t>
      </w:r>
      <w:r>
        <w:rPr>
          <w:color w:val="0D0E0E"/>
          <w:spacing w:val="-5"/>
        </w:rPr>
        <w:t> </w:t>
      </w:r>
      <w:r>
        <w:rPr>
          <w:color w:val="0D0E0E"/>
        </w:rPr>
        <w:t>medição</w:t>
      </w:r>
      <w:r>
        <w:rPr>
          <w:color w:val="0D0E0E"/>
          <w:spacing w:val="-1"/>
        </w:rPr>
        <w:t> </w:t>
      </w:r>
      <w:r>
        <w:rPr>
          <w:color w:val="0D0E0E"/>
        </w:rPr>
        <w:t>veio</w:t>
      </w:r>
      <w:r>
        <w:rPr>
          <w:color w:val="0D0E0E"/>
          <w:spacing w:val="-5"/>
        </w:rPr>
        <w:t> </w:t>
      </w:r>
      <w:r>
        <w:rPr>
          <w:color w:val="0D0E0E"/>
        </w:rPr>
        <w:t>de</w:t>
      </w:r>
      <w:r>
        <w:rPr>
          <w:color w:val="0D0E0E"/>
          <w:spacing w:val="-3"/>
        </w:rPr>
        <w:t> </w:t>
      </w:r>
      <w:r>
        <w:rPr>
          <w:color w:val="0D0E0E"/>
          <w:spacing w:val="-2"/>
        </w:rPr>
        <w:t>0,23%.</w:t>
      </w:r>
    </w:p>
    <w:p>
      <w:pPr>
        <w:pStyle w:val="BodyText"/>
        <w:spacing w:before="240"/>
        <w:ind w:left="706" w:right="1211"/>
        <w:jc w:val="center"/>
      </w:pPr>
      <w:r>
        <w:rPr>
          <w:color w:val="0D0E0E"/>
        </w:rPr>
        <w:t>IPCA mensal</w:t>
      </w:r>
      <w:r>
        <w:rPr>
          <w:color w:val="0D0E0E"/>
          <w:spacing w:val="-1"/>
        </w:rPr>
        <w:t> </w:t>
      </w:r>
      <w:r>
        <w:rPr>
          <w:color w:val="0D0E0E"/>
        </w:rPr>
        <w:t>–</w:t>
      </w:r>
      <w:r>
        <w:rPr>
          <w:color w:val="0D0E0E"/>
          <w:spacing w:val="1"/>
        </w:rPr>
        <w:t> </w:t>
      </w:r>
      <w:r>
        <w:rPr>
          <w:color w:val="0D0E0E"/>
          <w:spacing w:val="-2"/>
        </w:rPr>
        <w:t>Brasil:</w:t>
      </w:r>
    </w:p>
    <w:p>
      <w:pPr>
        <w:pStyle w:val="BodyText"/>
        <w:spacing w:before="157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98592">
            <wp:simplePos x="0" y="0"/>
            <wp:positionH relativeFrom="page">
              <wp:posOffset>1046480</wp:posOffset>
            </wp:positionH>
            <wp:positionV relativeFrom="paragraph">
              <wp:posOffset>270019</wp:posOffset>
            </wp:positionV>
            <wp:extent cx="5113020" cy="2400300"/>
            <wp:effectExtent l="0" t="0" r="0" b="0"/>
            <wp:wrapTopAndBottom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302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80"/>
      </w:pPr>
    </w:p>
    <w:p>
      <w:pPr>
        <w:spacing w:before="0"/>
        <w:ind w:left="750" w:right="0" w:firstLine="0"/>
        <w:jc w:val="left"/>
        <w:rPr>
          <w:i/>
          <w:sz w:val="20"/>
        </w:rPr>
      </w:pPr>
      <w:r>
        <w:rPr>
          <w:i/>
          <w:color w:val="0D0E0E"/>
          <w:spacing w:val="-2"/>
          <w:sz w:val="20"/>
        </w:rPr>
        <w:t>Fonte:</w:t>
      </w:r>
      <w:r>
        <w:rPr>
          <w:i/>
          <w:color w:val="0D0E0E"/>
          <w:spacing w:val="61"/>
          <w:sz w:val="20"/>
        </w:rPr>
        <w:t> </w:t>
      </w:r>
      <w:r>
        <w:rPr>
          <w:i/>
          <w:color w:val="0D0E0E"/>
          <w:spacing w:val="-2"/>
          <w:sz w:val="20"/>
        </w:rPr>
        <w:t>https://tradingeconomics.com/brazil/inflation-rate-</w:t>
      </w:r>
      <w:r>
        <w:rPr>
          <w:i/>
          <w:color w:val="0D0E0E"/>
          <w:spacing w:val="-5"/>
          <w:sz w:val="20"/>
        </w:rPr>
        <w:t>mom</w:t>
      </w:r>
    </w:p>
    <w:p>
      <w:pPr>
        <w:pStyle w:val="BodyText"/>
        <w:spacing w:before="236"/>
        <w:ind w:left="42" w:right="1335" w:firstLine="763"/>
      </w:pPr>
      <w:r>
        <w:rPr>
          <w:color w:val="0D0E0E"/>
        </w:rPr>
        <w:t>Em termos anuais, o resultado foi de 4,61% versus 3,99% do mês anterior e abaixo da projeção de 4,67%.</w:t>
      </w:r>
    </w:p>
    <w:p>
      <w:pPr>
        <w:pStyle w:val="BodyText"/>
        <w:spacing w:after="0"/>
        <w:sectPr>
          <w:pgSz w:w="11920" w:h="16850"/>
          <w:pgMar w:top="1320" w:bottom="280" w:left="1559" w:right="141"/>
        </w:sectPr>
      </w:pPr>
    </w:p>
    <w:p>
      <w:pPr>
        <w:pStyle w:val="BodyText"/>
        <w:spacing w:before="39"/>
        <w:ind w:left="709" w:right="1211"/>
        <w:jc w:val="center"/>
      </w:pPr>
      <w:r>
        <w:rPr>
          <w:color w:val="0D0E0E"/>
        </w:rPr>
        <w:t>IPCA anual</w:t>
      </w:r>
      <w:r>
        <w:rPr>
          <w:color w:val="0D0E0E"/>
          <w:spacing w:val="-1"/>
        </w:rPr>
        <w:t> </w:t>
      </w:r>
      <w:r>
        <w:rPr>
          <w:color w:val="0D0E0E"/>
        </w:rPr>
        <w:t>–</w:t>
      </w:r>
      <w:r>
        <w:rPr>
          <w:color w:val="0D0E0E"/>
          <w:spacing w:val="1"/>
        </w:rPr>
        <w:t> </w:t>
      </w:r>
      <w:r>
        <w:rPr>
          <w:color w:val="0D0E0E"/>
          <w:spacing w:val="-2"/>
        </w:rPr>
        <w:t>Brasil:</w:t>
      </w:r>
    </w:p>
    <w:p>
      <w:pPr>
        <w:pStyle w:val="BodyText"/>
        <w:spacing w:before="75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99104">
            <wp:simplePos x="0" y="0"/>
            <wp:positionH relativeFrom="page">
              <wp:posOffset>1061719</wp:posOffset>
            </wp:positionH>
            <wp:positionV relativeFrom="paragraph">
              <wp:posOffset>217951</wp:posOffset>
            </wp:positionV>
            <wp:extent cx="5082539" cy="2400300"/>
            <wp:effectExtent l="0" t="0" r="0" b="0"/>
            <wp:wrapTopAndBottom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2539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  <w:spacing w:before="15"/>
      </w:pPr>
    </w:p>
    <w:p>
      <w:pPr>
        <w:spacing w:before="0"/>
        <w:ind w:left="750" w:right="0" w:firstLine="0"/>
        <w:jc w:val="left"/>
        <w:rPr>
          <w:i/>
          <w:sz w:val="20"/>
        </w:rPr>
      </w:pPr>
      <w:r>
        <w:rPr>
          <w:i/>
          <w:color w:val="0D0E0E"/>
          <w:spacing w:val="-2"/>
          <w:sz w:val="20"/>
        </w:rPr>
        <w:t>Fonte:</w:t>
      </w:r>
      <w:r>
        <w:rPr>
          <w:i/>
          <w:color w:val="0D0E0E"/>
          <w:spacing w:val="53"/>
          <w:sz w:val="20"/>
        </w:rPr>
        <w:t> </w:t>
      </w:r>
      <w:r>
        <w:rPr>
          <w:i/>
          <w:color w:val="0D0E0E"/>
          <w:spacing w:val="-2"/>
          <w:sz w:val="20"/>
        </w:rPr>
        <w:t>https://tradingeconomics.com/brazil/inflation-</w:t>
      </w:r>
      <w:r>
        <w:rPr>
          <w:i/>
          <w:color w:val="0D0E0E"/>
          <w:spacing w:val="-5"/>
          <w:sz w:val="20"/>
        </w:rPr>
        <w:t>cpi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38"/>
        <w:rPr>
          <w:i/>
          <w:sz w:val="20"/>
        </w:rPr>
      </w:pPr>
    </w:p>
    <w:p>
      <w:pPr>
        <w:pStyle w:val="BodyText"/>
        <w:spacing w:before="1"/>
        <w:ind w:left="42" w:right="1252" w:firstLine="707"/>
        <w:jc w:val="both"/>
      </w:pPr>
      <w:r>
        <w:rPr>
          <w:color w:val="0D0E0E"/>
        </w:rPr>
        <w:t>O destaque, como projetado pelo mercado, foi do setor de habitação que registrou alta</w:t>
      </w:r>
      <w:r>
        <w:rPr>
          <w:color w:val="0D0E0E"/>
          <w:spacing w:val="-4"/>
        </w:rPr>
        <w:t> </w:t>
      </w:r>
      <w:r>
        <w:rPr>
          <w:color w:val="0D0E0E"/>
        </w:rPr>
        <w:t>de</w:t>
      </w:r>
      <w:r>
        <w:rPr>
          <w:color w:val="0D0E0E"/>
          <w:spacing w:val="-3"/>
        </w:rPr>
        <w:t> </w:t>
      </w:r>
      <w:r>
        <w:rPr>
          <w:color w:val="0D0E0E"/>
        </w:rPr>
        <w:t>1,11%</w:t>
      </w:r>
      <w:r>
        <w:rPr>
          <w:color w:val="0D0E0E"/>
          <w:spacing w:val="-5"/>
        </w:rPr>
        <w:t> </w:t>
      </w:r>
      <w:r>
        <w:rPr>
          <w:color w:val="0D0E0E"/>
        </w:rPr>
        <w:t>por</w:t>
      </w:r>
      <w:r>
        <w:rPr>
          <w:color w:val="0D0E0E"/>
          <w:spacing w:val="-4"/>
        </w:rPr>
        <w:t> </w:t>
      </w:r>
      <w:r>
        <w:rPr>
          <w:color w:val="0D0E0E"/>
        </w:rPr>
        <w:t>conta</w:t>
      </w:r>
      <w:r>
        <w:rPr>
          <w:color w:val="0D0E0E"/>
          <w:spacing w:val="-6"/>
        </w:rPr>
        <w:t> </w:t>
      </w:r>
      <w:r>
        <w:rPr>
          <w:color w:val="0D0E0E"/>
        </w:rPr>
        <w:t>do</w:t>
      </w:r>
      <w:r>
        <w:rPr>
          <w:color w:val="0D0E0E"/>
          <w:spacing w:val="-3"/>
        </w:rPr>
        <w:t> </w:t>
      </w:r>
      <w:r>
        <w:rPr>
          <w:color w:val="0D0E0E"/>
        </w:rPr>
        <w:t>aumento</w:t>
      </w:r>
      <w:r>
        <w:rPr>
          <w:color w:val="0D0E0E"/>
          <w:spacing w:val="-5"/>
        </w:rPr>
        <w:t> </w:t>
      </w:r>
      <w:r>
        <w:rPr>
          <w:color w:val="0D0E0E"/>
        </w:rPr>
        <w:t>do</w:t>
      </w:r>
      <w:r>
        <w:rPr>
          <w:color w:val="0D0E0E"/>
          <w:spacing w:val="-6"/>
        </w:rPr>
        <w:t> </w:t>
      </w:r>
      <w:r>
        <w:rPr>
          <w:color w:val="0D0E0E"/>
        </w:rPr>
        <w:t>preço</w:t>
      </w:r>
      <w:r>
        <w:rPr>
          <w:color w:val="0D0E0E"/>
          <w:spacing w:val="-6"/>
        </w:rPr>
        <w:t> </w:t>
      </w:r>
      <w:r>
        <w:rPr>
          <w:color w:val="0D0E0E"/>
        </w:rPr>
        <w:t>de</w:t>
      </w:r>
      <w:r>
        <w:rPr>
          <w:color w:val="0D0E0E"/>
          <w:spacing w:val="-6"/>
        </w:rPr>
        <w:t> </w:t>
      </w:r>
      <w:r>
        <w:rPr>
          <w:color w:val="0D0E0E"/>
        </w:rPr>
        <w:t>energia</w:t>
      </w:r>
      <w:r>
        <w:rPr>
          <w:color w:val="0D0E0E"/>
          <w:spacing w:val="-6"/>
        </w:rPr>
        <w:t> </w:t>
      </w:r>
      <w:r>
        <w:rPr>
          <w:color w:val="0D0E0E"/>
        </w:rPr>
        <w:t>elétrica</w:t>
      </w:r>
      <w:r>
        <w:rPr>
          <w:color w:val="0D0E0E"/>
          <w:spacing w:val="-4"/>
        </w:rPr>
        <w:t> </w:t>
      </w:r>
      <w:r>
        <w:rPr>
          <w:color w:val="0D0E0E"/>
        </w:rPr>
        <w:t>residencial (4,59%)</w:t>
      </w:r>
      <w:r>
        <w:rPr>
          <w:color w:val="0D0E0E"/>
          <w:spacing w:val="-4"/>
        </w:rPr>
        <w:t> </w:t>
      </w:r>
      <w:r>
        <w:rPr>
          <w:color w:val="0D0E0E"/>
        </w:rPr>
        <w:t>após</w:t>
      </w:r>
      <w:r>
        <w:rPr>
          <w:color w:val="0D0E0E"/>
          <w:spacing w:val="-6"/>
        </w:rPr>
        <w:t> </w:t>
      </w:r>
      <w:r>
        <w:rPr>
          <w:color w:val="0D0E0E"/>
        </w:rPr>
        <w:t>o encerramento dos descontos provenientes da hidrelétrica de Itaipu.</w:t>
      </w:r>
    </w:p>
    <w:p>
      <w:pPr>
        <w:pStyle w:val="BodyText"/>
        <w:spacing w:before="239"/>
        <w:ind w:left="42" w:right="1259" w:firstLine="707"/>
        <w:jc w:val="both"/>
      </w:pPr>
      <w:r>
        <w:rPr>
          <w:color w:val="0D0E0E"/>
        </w:rPr>
        <w:t>Outro fator em atenção foi para o preço dos combustíveis que marcou outra alta após o reajuste da gasolina (1,24%) e óleo diesel (8,54%) realizado pela Petrobrás. Somado ao reajuste da gasolina, o setor automotivo passou também por uma reprecificação dos automóveis após o fim dos incentivos fiscais do governo.</w:t>
      </w:r>
    </w:p>
    <w:p>
      <w:pPr>
        <w:pStyle w:val="BodyText"/>
        <w:spacing w:before="242"/>
        <w:ind w:left="42" w:right="1262" w:firstLine="707"/>
        <w:jc w:val="both"/>
      </w:pPr>
      <w:r>
        <w:rPr>
          <w:color w:val="0D0E0E"/>
        </w:rPr>
        <w:t>Um dos grupos responsáveis por puxarem para baixo o indicador foi o de alimentos (-0,85%) que ainda sente os efeitos da safra extraordinária que o país teve no segundo </w:t>
      </w:r>
      <w:r>
        <w:rPr>
          <w:color w:val="0D0E0E"/>
          <w:spacing w:val="-2"/>
        </w:rPr>
        <w:t>trimestre.</w:t>
      </w:r>
    </w:p>
    <w:p>
      <w:pPr>
        <w:pStyle w:val="BodyText"/>
        <w:spacing w:before="240"/>
        <w:ind w:left="42" w:right="1260" w:firstLine="707"/>
        <w:jc w:val="both"/>
      </w:pPr>
      <w:r>
        <w:rPr>
          <w:color w:val="0D0E0E"/>
        </w:rPr>
        <w:t>O núcleo médio calculado foi de 0,28% em agosto ante 0,18% em julho, em termos anuais, o número é de 5,22%.</w:t>
      </w:r>
    </w:p>
    <w:p>
      <w:pPr>
        <w:pStyle w:val="BodyText"/>
        <w:spacing w:before="239"/>
        <w:ind w:left="42" w:right="1257" w:firstLine="707"/>
        <w:jc w:val="both"/>
      </w:pPr>
      <w:r>
        <w:rPr>
          <w:color w:val="0D0E0E"/>
        </w:rPr>
        <w:t>Após pesquisa da Fundação Getúlio Vargas, o IGP-DI de agosto foi de 0,05% versus uma deflação de -0,4% de julho, acumulando -5,30% em 2023, e -6,91% anualmente.</w:t>
      </w:r>
    </w:p>
    <w:p>
      <w:pPr>
        <w:pStyle w:val="BodyText"/>
      </w:pPr>
    </w:p>
    <w:p>
      <w:pPr>
        <w:pStyle w:val="BodyText"/>
        <w:spacing w:before="236"/>
      </w:pPr>
    </w:p>
    <w:p>
      <w:pPr>
        <w:spacing w:before="0"/>
        <w:ind w:left="42" w:right="0" w:firstLine="0"/>
        <w:jc w:val="left"/>
        <w:rPr>
          <w:sz w:val="28"/>
        </w:rPr>
      </w:pPr>
      <w:r>
        <w:rPr>
          <w:spacing w:val="-5"/>
          <w:sz w:val="28"/>
        </w:rPr>
        <w:t>PMI</w:t>
      </w:r>
    </w:p>
    <w:p>
      <w:pPr>
        <w:pStyle w:val="BodyText"/>
        <w:spacing w:before="241"/>
        <w:ind w:left="42" w:right="1262" w:firstLine="707"/>
        <w:jc w:val="both"/>
      </w:pPr>
      <w:r>
        <w:rPr>
          <w:color w:val="0D0E0E"/>
        </w:rPr>
        <w:t>Em agosto, tivemos uma leve melhora nas projeções do setor de serviços com uma pontuação de 50,6 ante 50,2 de julho. Essa melhora foi a primeira expansão desde abril do mesmo ano, e após consecutivas expansões do setor de serviços nacional.</w:t>
      </w:r>
    </w:p>
    <w:p>
      <w:pPr>
        <w:pStyle w:val="BodyText"/>
        <w:spacing w:after="0"/>
        <w:jc w:val="both"/>
        <w:sectPr>
          <w:pgSz w:w="11920" w:h="16850"/>
          <w:pgMar w:top="1320" w:bottom="280" w:left="1559" w:right="141"/>
        </w:sectPr>
      </w:pPr>
    </w:p>
    <w:p>
      <w:pPr>
        <w:pStyle w:val="BodyText"/>
        <w:spacing w:before="39"/>
        <w:ind w:left="706" w:right="1211"/>
        <w:jc w:val="center"/>
      </w:pPr>
      <w:r>
        <w:rPr>
          <w:color w:val="0D0E0E"/>
        </w:rPr>
        <w:t>PMI</w:t>
      </w:r>
      <w:r>
        <w:rPr>
          <w:color w:val="0D0E0E"/>
          <w:spacing w:val="-1"/>
        </w:rPr>
        <w:t> </w:t>
      </w:r>
      <w:r>
        <w:rPr>
          <w:color w:val="0D0E0E"/>
        </w:rPr>
        <w:t>serviços</w:t>
      </w:r>
      <w:r>
        <w:rPr>
          <w:color w:val="0D0E0E"/>
          <w:spacing w:val="-1"/>
        </w:rPr>
        <w:t> </w:t>
      </w:r>
      <w:r>
        <w:rPr>
          <w:color w:val="0D0E0E"/>
        </w:rPr>
        <w:t>–</w:t>
      </w:r>
      <w:r>
        <w:rPr>
          <w:color w:val="0D0E0E"/>
          <w:spacing w:val="1"/>
        </w:rPr>
        <w:t> </w:t>
      </w:r>
      <w:r>
        <w:rPr>
          <w:color w:val="0D0E0E"/>
          <w:spacing w:val="-2"/>
        </w:rPr>
        <w:t>Brasil:</w:t>
      </w:r>
    </w:p>
    <w:p>
      <w:pPr>
        <w:pStyle w:val="BodyText"/>
        <w:spacing w:before="122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99616">
            <wp:simplePos x="0" y="0"/>
            <wp:positionH relativeFrom="page">
              <wp:posOffset>1054100</wp:posOffset>
            </wp:positionH>
            <wp:positionV relativeFrom="paragraph">
              <wp:posOffset>247796</wp:posOffset>
            </wp:positionV>
            <wp:extent cx="5105400" cy="2346960"/>
            <wp:effectExtent l="0" t="0" r="0" b="0"/>
            <wp:wrapTopAndBottom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2346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  <w:spacing w:before="32"/>
      </w:pPr>
    </w:p>
    <w:p>
      <w:pPr>
        <w:spacing w:before="1"/>
        <w:ind w:left="750" w:right="0" w:firstLine="0"/>
        <w:jc w:val="left"/>
        <w:rPr>
          <w:i/>
          <w:sz w:val="20"/>
        </w:rPr>
      </w:pPr>
      <w:r>
        <w:rPr>
          <w:i/>
          <w:color w:val="0D0E0E"/>
          <w:spacing w:val="-2"/>
          <w:sz w:val="20"/>
        </w:rPr>
        <w:t>Fonte:</w:t>
      </w:r>
      <w:r>
        <w:rPr>
          <w:i/>
          <w:color w:val="0D0E0E"/>
          <w:spacing w:val="49"/>
          <w:sz w:val="20"/>
        </w:rPr>
        <w:t> </w:t>
      </w:r>
      <w:r>
        <w:rPr>
          <w:i/>
          <w:color w:val="0D0E0E"/>
          <w:spacing w:val="-2"/>
          <w:sz w:val="20"/>
        </w:rPr>
        <w:t>https://tradingeconomics.com/brazil/services-</w:t>
      </w:r>
      <w:r>
        <w:rPr>
          <w:i/>
          <w:color w:val="0D0E0E"/>
          <w:spacing w:val="-5"/>
          <w:sz w:val="20"/>
        </w:rPr>
        <w:t>pmi</w:t>
      </w:r>
    </w:p>
    <w:p>
      <w:pPr>
        <w:pStyle w:val="BodyText"/>
        <w:spacing w:before="238"/>
        <w:ind w:left="42" w:right="1259" w:firstLine="707"/>
        <w:jc w:val="both"/>
      </w:pPr>
      <w:r>
        <w:rPr>
          <w:color w:val="0D0E0E"/>
        </w:rPr>
        <w:t>O</w:t>
      </w:r>
      <w:r>
        <w:rPr>
          <w:color w:val="0D0E0E"/>
          <w:spacing w:val="-14"/>
        </w:rPr>
        <w:t> </w:t>
      </w:r>
      <w:r>
        <w:rPr>
          <w:color w:val="0D0E0E"/>
        </w:rPr>
        <w:t>setor</w:t>
      </w:r>
      <w:r>
        <w:rPr>
          <w:color w:val="0D0E0E"/>
          <w:spacing w:val="-14"/>
        </w:rPr>
        <w:t> </w:t>
      </w:r>
      <w:r>
        <w:rPr>
          <w:color w:val="0D0E0E"/>
        </w:rPr>
        <w:t>industrial</w:t>
      </w:r>
      <w:r>
        <w:rPr>
          <w:color w:val="0D0E0E"/>
          <w:spacing w:val="-13"/>
        </w:rPr>
        <w:t> </w:t>
      </w:r>
      <w:r>
        <w:rPr>
          <w:color w:val="0D0E0E"/>
        </w:rPr>
        <w:t>também</w:t>
      </w:r>
      <w:r>
        <w:rPr>
          <w:color w:val="0D0E0E"/>
          <w:spacing w:val="-14"/>
        </w:rPr>
        <w:t> </w:t>
      </w:r>
      <w:r>
        <w:rPr>
          <w:color w:val="0D0E0E"/>
        </w:rPr>
        <w:t>permaneceu</w:t>
      </w:r>
      <w:r>
        <w:rPr>
          <w:color w:val="0D0E0E"/>
          <w:spacing w:val="-13"/>
        </w:rPr>
        <w:t> </w:t>
      </w:r>
      <w:r>
        <w:rPr>
          <w:color w:val="0D0E0E"/>
        </w:rPr>
        <w:t>no</w:t>
      </w:r>
      <w:r>
        <w:rPr>
          <w:color w:val="0D0E0E"/>
          <w:spacing w:val="-14"/>
        </w:rPr>
        <w:t> </w:t>
      </w:r>
      <w:r>
        <w:rPr>
          <w:color w:val="0D0E0E"/>
        </w:rPr>
        <w:t>campo</w:t>
      </w:r>
      <w:r>
        <w:rPr>
          <w:color w:val="0D0E0E"/>
          <w:spacing w:val="-13"/>
        </w:rPr>
        <w:t> </w:t>
      </w:r>
      <w:r>
        <w:rPr>
          <w:color w:val="0D0E0E"/>
        </w:rPr>
        <w:t>neutro,</w:t>
      </w:r>
      <w:r>
        <w:rPr>
          <w:color w:val="0D0E0E"/>
          <w:spacing w:val="-14"/>
        </w:rPr>
        <w:t> </w:t>
      </w:r>
      <w:r>
        <w:rPr>
          <w:color w:val="0D0E0E"/>
        </w:rPr>
        <w:t>ainda</w:t>
      </w:r>
      <w:r>
        <w:rPr>
          <w:color w:val="0D0E0E"/>
          <w:spacing w:val="-14"/>
        </w:rPr>
        <w:t> </w:t>
      </w:r>
      <w:r>
        <w:rPr>
          <w:color w:val="0D0E0E"/>
        </w:rPr>
        <w:t>que</w:t>
      </w:r>
      <w:r>
        <w:rPr>
          <w:color w:val="0D0E0E"/>
          <w:spacing w:val="-13"/>
        </w:rPr>
        <w:t> </w:t>
      </w:r>
      <w:r>
        <w:rPr>
          <w:color w:val="0D0E0E"/>
        </w:rPr>
        <w:t>de</w:t>
      </w:r>
      <w:r>
        <w:rPr>
          <w:color w:val="0D0E0E"/>
          <w:spacing w:val="-14"/>
        </w:rPr>
        <w:t> </w:t>
      </w:r>
      <w:r>
        <w:rPr>
          <w:color w:val="0D0E0E"/>
        </w:rPr>
        <w:t>forma</w:t>
      </w:r>
      <w:r>
        <w:rPr>
          <w:color w:val="0D0E0E"/>
          <w:spacing w:val="-13"/>
        </w:rPr>
        <w:t> </w:t>
      </w:r>
      <w:r>
        <w:rPr>
          <w:color w:val="0D0E0E"/>
        </w:rPr>
        <w:t>tímida, porém</w:t>
      </w:r>
      <w:r>
        <w:rPr>
          <w:color w:val="0D0E0E"/>
          <w:spacing w:val="-14"/>
        </w:rPr>
        <w:t> </w:t>
      </w:r>
      <w:r>
        <w:rPr>
          <w:color w:val="0D0E0E"/>
        </w:rPr>
        <w:t>sinalizando</w:t>
      </w:r>
      <w:r>
        <w:rPr>
          <w:color w:val="0D0E0E"/>
          <w:spacing w:val="-14"/>
        </w:rPr>
        <w:t> </w:t>
      </w:r>
      <w:r>
        <w:rPr>
          <w:color w:val="0D0E0E"/>
        </w:rPr>
        <w:t>uma</w:t>
      </w:r>
      <w:r>
        <w:rPr>
          <w:color w:val="0D0E0E"/>
          <w:spacing w:val="-13"/>
        </w:rPr>
        <w:t> </w:t>
      </w:r>
      <w:r>
        <w:rPr>
          <w:color w:val="0D0E0E"/>
        </w:rPr>
        <w:t>visão</w:t>
      </w:r>
      <w:r>
        <w:rPr>
          <w:color w:val="0D0E0E"/>
          <w:spacing w:val="-14"/>
        </w:rPr>
        <w:t> </w:t>
      </w:r>
      <w:r>
        <w:rPr>
          <w:color w:val="0D0E0E"/>
        </w:rPr>
        <w:t>um</w:t>
      </w:r>
      <w:r>
        <w:rPr>
          <w:color w:val="0D0E0E"/>
          <w:spacing w:val="-13"/>
        </w:rPr>
        <w:t> </w:t>
      </w:r>
      <w:r>
        <w:rPr>
          <w:color w:val="0D0E0E"/>
        </w:rPr>
        <w:t>pouco</w:t>
      </w:r>
      <w:r>
        <w:rPr>
          <w:color w:val="0D0E0E"/>
          <w:spacing w:val="-14"/>
        </w:rPr>
        <w:t> </w:t>
      </w:r>
      <w:r>
        <w:rPr>
          <w:color w:val="0D0E0E"/>
        </w:rPr>
        <w:t>mais</w:t>
      </w:r>
      <w:r>
        <w:rPr>
          <w:color w:val="0D0E0E"/>
          <w:spacing w:val="-13"/>
        </w:rPr>
        <w:t> </w:t>
      </w:r>
      <w:r>
        <w:rPr>
          <w:color w:val="0D0E0E"/>
        </w:rPr>
        <w:t>otimista</w:t>
      </w:r>
      <w:r>
        <w:rPr>
          <w:color w:val="0D0E0E"/>
          <w:spacing w:val="-14"/>
        </w:rPr>
        <w:t> </w:t>
      </w:r>
      <w:r>
        <w:rPr>
          <w:color w:val="0D0E0E"/>
        </w:rPr>
        <w:t>do</w:t>
      </w:r>
      <w:r>
        <w:rPr>
          <w:color w:val="0D0E0E"/>
          <w:spacing w:val="-14"/>
        </w:rPr>
        <w:t> </w:t>
      </w:r>
      <w:r>
        <w:rPr>
          <w:color w:val="0D0E0E"/>
        </w:rPr>
        <w:t>que</w:t>
      </w:r>
      <w:r>
        <w:rPr>
          <w:color w:val="0D0E0E"/>
          <w:spacing w:val="-13"/>
        </w:rPr>
        <w:t> </w:t>
      </w:r>
      <w:r>
        <w:rPr>
          <w:color w:val="0D0E0E"/>
        </w:rPr>
        <w:t>víamos</w:t>
      </w:r>
      <w:r>
        <w:rPr>
          <w:color w:val="0D0E0E"/>
          <w:spacing w:val="-14"/>
        </w:rPr>
        <w:t> </w:t>
      </w:r>
      <w:r>
        <w:rPr>
          <w:color w:val="0D0E0E"/>
        </w:rPr>
        <w:t>desde</w:t>
      </w:r>
      <w:r>
        <w:rPr>
          <w:color w:val="0D0E0E"/>
          <w:spacing w:val="-13"/>
        </w:rPr>
        <w:t> </w:t>
      </w:r>
      <w:r>
        <w:rPr>
          <w:color w:val="0D0E0E"/>
        </w:rPr>
        <w:t>outubro</w:t>
      </w:r>
      <w:r>
        <w:rPr>
          <w:color w:val="0D0E0E"/>
          <w:spacing w:val="-14"/>
        </w:rPr>
        <w:t> </w:t>
      </w:r>
      <w:r>
        <w:rPr>
          <w:color w:val="0D0E0E"/>
        </w:rPr>
        <w:t>de</w:t>
      </w:r>
      <w:r>
        <w:rPr>
          <w:color w:val="0D0E0E"/>
          <w:spacing w:val="-13"/>
        </w:rPr>
        <w:t> </w:t>
      </w:r>
      <w:r>
        <w:rPr>
          <w:color w:val="0D0E0E"/>
        </w:rPr>
        <w:t>2022. A projeção de mercado era de 47,2 pontos, porém o resultado do mês fechou em 50,1.</w:t>
      </w:r>
    </w:p>
    <w:p>
      <w:pPr>
        <w:pStyle w:val="BodyText"/>
        <w:spacing w:before="240"/>
        <w:ind w:left="42" w:right="1255" w:firstLine="707"/>
        <w:jc w:val="both"/>
      </w:pPr>
      <w:r>
        <w:rPr>
          <w:color w:val="0D0E0E"/>
        </w:rPr>
        <w:t>Essa melhora se deu por um aumento de pedidos, de contratações no setor e de produção do setor apesar da queda de pedidos internacionais.</w:t>
      </w:r>
    </w:p>
    <w:p>
      <w:pPr>
        <w:pStyle w:val="BodyText"/>
        <w:spacing w:before="240"/>
        <w:ind w:left="706" w:right="1211"/>
        <w:jc w:val="center"/>
      </w:pPr>
      <w:r>
        <w:rPr>
          <w:color w:val="0D0E0E"/>
        </w:rPr>
        <w:t>PMI</w:t>
      </w:r>
      <w:r>
        <w:rPr>
          <w:color w:val="0D0E0E"/>
          <w:spacing w:val="-2"/>
        </w:rPr>
        <w:t> </w:t>
      </w:r>
      <w:r>
        <w:rPr>
          <w:color w:val="0D0E0E"/>
        </w:rPr>
        <w:t>industrial</w:t>
      </w:r>
      <w:r>
        <w:rPr>
          <w:color w:val="0D0E0E"/>
          <w:spacing w:val="-1"/>
        </w:rPr>
        <w:t> </w:t>
      </w:r>
      <w:r>
        <w:rPr>
          <w:color w:val="0D0E0E"/>
        </w:rPr>
        <w:t>– </w:t>
      </w:r>
      <w:r>
        <w:rPr>
          <w:color w:val="0D0E0E"/>
          <w:spacing w:val="-2"/>
        </w:rPr>
        <w:t>Brasil:</w:t>
      </w:r>
    </w:p>
    <w:p>
      <w:pPr>
        <w:pStyle w:val="BodyText"/>
        <w:spacing w:before="3"/>
        <w:rPr>
          <w:sz w:val="14"/>
        </w:rPr>
      </w:pPr>
      <w:r>
        <w:rPr>
          <w:sz w:val="14"/>
        </w:rPr>
        <w:drawing>
          <wp:anchor distT="0" distB="0" distL="0" distR="0" allowOverlap="1" layoutInCell="1" locked="0" behindDoc="1" simplePos="0" relativeHeight="487600128">
            <wp:simplePos x="0" y="0"/>
            <wp:positionH relativeFrom="page">
              <wp:posOffset>1046480</wp:posOffset>
            </wp:positionH>
            <wp:positionV relativeFrom="paragraph">
              <wp:posOffset>125799</wp:posOffset>
            </wp:positionV>
            <wp:extent cx="5105399" cy="2339340"/>
            <wp:effectExtent l="0" t="0" r="0" b="0"/>
            <wp:wrapTopAndBottom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5399" cy="2339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50"/>
      </w:pPr>
    </w:p>
    <w:p>
      <w:pPr>
        <w:spacing w:before="0"/>
        <w:ind w:left="750" w:right="0" w:firstLine="0"/>
        <w:jc w:val="left"/>
        <w:rPr>
          <w:i/>
          <w:sz w:val="20"/>
        </w:rPr>
      </w:pPr>
      <w:r>
        <w:rPr>
          <w:i/>
          <w:color w:val="0D0E0E"/>
          <w:spacing w:val="-2"/>
          <w:sz w:val="20"/>
        </w:rPr>
        <w:t>Fonte:</w:t>
      </w:r>
      <w:r>
        <w:rPr>
          <w:i/>
          <w:color w:val="0D0E0E"/>
          <w:spacing w:val="51"/>
          <w:sz w:val="20"/>
        </w:rPr>
        <w:t> </w:t>
      </w:r>
      <w:r>
        <w:rPr>
          <w:i/>
          <w:color w:val="0D0E0E"/>
          <w:spacing w:val="-2"/>
          <w:sz w:val="20"/>
        </w:rPr>
        <w:t>https://tradingeconomics.com/brazil/manufacturing-</w:t>
      </w:r>
      <w:r>
        <w:rPr>
          <w:i/>
          <w:color w:val="0D0E0E"/>
          <w:spacing w:val="-5"/>
          <w:sz w:val="20"/>
        </w:rPr>
        <w:t>pmi</w:t>
      </w:r>
    </w:p>
    <w:p>
      <w:pPr>
        <w:pStyle w:val="BodyText"/>
        <w:spacing w:before="236"/>
        <w:ind w:left="42" w:right="1257" w:firstLine="707"/>
        <w:jc w:val="both"/>
      </w:pPr>
      <w:r>
        <w:rPr>
          <w:color w:val="0D0E0E"/>
        </w:rPr>
        <w:t>Na</w:t>
      </w:r>
      <w:r>
        <w:rPr>
          <w:color w:val="0D0E0E"/>
          <w:spacing w:val="-9"/>
        </w:rPr>
        <w:t> </w:t>
      </w:r>
      <w:r>
        <w:rPr>
          <w:color w:val="0D0E0E"/>
        </w:rPr>
        <w:t>consolidação,</w:t>
      </w:r>
      <w:r>
        <w:rPr>
          <w:color w:val="0D0E0E"/>
          <w:spacing w:val="-11"/>
        </w:rPr>
        <w:t> </w:t>
      </w:r>
      <w:r>
        <w:rPr>
          <w:color w:val="0D0E0E"/>
        </w:rPr>
        <w:t>o</w:t>
      </w:r>
      <w:r>
        <w:rPr>
          <w:color w:val="0D0E0E"/>
          <w:spacing w:val="-8"/>
        </w:rPr>
        <w:t> </w:t>
      </w:r>
      <w:r>
        <w:rPr>
          <w:color w:val="0D0E0E"/>
        </w:rPr>
        <w:t>PMI</w:t>
      </w:r>
      <w:r>
        <w:rPr>
          <w:color w:val="0D0E0E"/>
          <w:spacing w:val="-9"/>
        </w:rPr>
        <w:t> </w:t>
      </w:r>
      <w:r>
        <w:rPr>
          <w:color w:val="0D0E0E"/>
        </w:rPr>
        <w:t>composto</w:t>
      </w:r>
      <w:r>
        <w:rPr>
          <w:color w:val="0D0E0E"/>
          <w:spacing w:val="-8"/>
        </w:rPr>
        <w:t> </w:t>
      </w:r>
      <w:r>
        <w:rPr>
          <w:color w:val="0D0E0E"/>
        </w:rPr>
        <w:t>reapareceu</w:t>
      </w:r>
      <w:r>
        <w:rPr>
          <w:color w:val="0D0E0E"/>
          <w:spacing w:val="-10"/>
        </w:rPr>
        <w:t> </w:t>
      </w:r>
      <w:r>
        <w:rPr>
          <w:color w:val="0D0E0E"/>
        </w:rPr>
        <w:t>no</w:t>
      </w:r>
      <w:r>
        <w:rPr>
          <w:color w:val="0D0E0E"/>
          <w:spacing w:val="-11"/>
        </w:rPr>
        <w:t> </w:t>
      </w:r>
      <w:r>
        <w:rPr>
          <w:color w:val="0D0E0E"/>
        </w:rPr>
        <w:t>campo</w:t>
      </w:r>
      <w:r>
        <w:rPr>
          <w:color w:val="0D0E0E"/>
          <w:spacing w:val="-8"/>
        </w:rPr>
        <w:t> </w:t>
      </w:r>
      <w:r>
        <w:rPr>
          <w:color w:val="0D0E0E"/>
        </w:rPr>
        <w:t>positivo</w:t>
      </w:r>
      <w:r>
        <w:rPr>
          <w:color w:val="0D0E0E"/>
          <w:spacing w:val="-11"/>
        </w:rPr>
        <w:t> </w:t>
      </w:r>
      <w:r>
        <w:rPr>
          <w:color w:val="0D0E0E"/>
        </w:rPr>
        <w:t>aos</w:t>
      </w:r>
      <w:r>
        <w:rPr>
          <w:color w:val="0D0E0E"/>
          <w:spacing w:val="-9"/>
        </w:rPr>
        <w:t> </w:t>
      </w:r>
      <w:r>
        <w:rPr>
          <w:color w:val="0D0E0E"/>
        </w:rPr>
        <w:t>50,6</w:t>
      </w:r>
      <w:r>
        <w:rPr>
          <w:color w:val="0D0E0E"/>
          <w:spacing w:val="-10"/>
        </w:rPr>
        <w:t> </w:t>
      </w:r>
      <w:r>
        <w:rPr>
          <w:color w:val="0D0E0E"/>
        </w:rPr>
        <w:t>pontos</w:t>
      </w:r>
      <w:r>
        <w:rPr>
          <w:color w:val="0D0E0E"/>
          <w:spacing w:val="-9"/>
        </w:rPr>
        <w:t> </w:t>
      </w:r>
      <w:r>
        <w:rPr>
          <w:color w:val="0D0E0E"/>
        </w:rPr>
        <w:t>em agosto, após permanecer no mês de julho em 49,6 pontos.</w:t>
      </w:r>
    </w:p>
    <w:p>
      <w:pPr>
        <w:pStyle w:val="BodyText"/>
        <w:spacing w:after="0"/>
        <w:jc w:val="both"/>
        <w:sectPr>
          <w:pgSz w:w="11920" w:h="16850"/>
          <w:pgMar w:top="1320" w:bottom="280" w:left="1559" w:right="141"/>
        </w:sectPr>
      </w:pPr>
    </w:p>
    <w:p>
      <w:pPr>
        <w:pStyle w:val="BodyText"/>
        <w:spacing w:before="39"/>
        <w:ind w:left="709" w:right="1211"/>
        <w:jc w:val="center"/>
      </w:pPr>
      <w:r>
        <w:rPr>
          <w:color w:val="0D0E0E"/>
        </w:rPr>
        <w:t>PMI composto –</w:t>
      </w:r>
      <w:r>
        <w:rPr>
          <w:color w:val="0D0E0E"/>
          <w:spacing w:val="1"/>
        </w:rPr>
        <w:t> </w:t>
      </w:r>
      <w:r>
        <w:rPr>
          <w:color w:val="0D0E0E"/>
          <w:spacing w:val="-2"/>
        </w:rPr>
        <w:t>Brasil:</w:t>
      </w:r>
    </w:p>
    <w:p>
      <w:pPr>
        <w:pStyle w:val="BodyText"/>
        <w:spacing w:before="165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600640">
            <wp:simplePos x="0" y="0"/>
            <wp:positionH relativeFrom="page">
              <wp:posOffset>1046480</wp:posOffset>
            </wp:positionH>
            <wp:positionV relativeFrom="paragraph">
              <wp:posOffset>275101</wp:posOffset>
            </wp:positionV>
            <wp:extent cx="5105399" cy="2346960"/>
            <wp:effectExtent l="0" t="0" r="0" b="0"/>
            <wp:wrapTopAndBottom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5399" cy="2346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54"/>
      </w:pPr>
    </w:p>
    <w:p>
      <w:pPr>
        <w:spacing w:before="0"/>
        <w:ind w:left="750" w:right="0" w:firstLine="0"/>
        <w:jc w:val="left"/>
        <w:rPr>
          <w:i/>
          <w:sz w:val="20"/>
        </w:rPr>
      </w:pPr>
      <w:r>
        <w:rPr>
          <w:i/>
          <w:color w:val="0D0E0E"/>
          <w:spacing w:val="-2"/>
          <w:sz w:val="20"/>
        </w:rPr>
        <w:t>Fonte:</w:t>
      </w:r>
      <w:r>
        <w:rPr>
          <w:i/>
          <w:color w:val="0D0E0E"/>
          <w:spacing w:val="55"/>
          <w:sz w:val="20"/>
        </w:rPr>
        <w:t> </w:t>
      </w:r>
      <w:r>
        <w:rPr>
          <w:i/>
          <w:color w:val="0D0E0E"/>
          <w:spacing w:val="-2"/>
          <w:sz w:val="20"/>
        </w:rPr>
        <w:t>https://tradingeconomics.com/brazil/composite-</w:t>
      </w:r>
      <w:r>
        <w:rPr>
          <w:i/>
          <w:color w:val="0D0E0E"/>
          <w:spacing w:val="-5"/>
          <w:sz w:val="20"/>
        </w:rPr>
        <w:t>pmi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39"/>
        <w:rPr>
          <w:i/>
          <w:sz w:val="20"/>
        </w:rPr>
      </w:pPr>
    </w:p>
    <w:p>
      <w:pPr>
        <w:pStyle w:val="Heading2"/>
      </w:pPr>
      <w:r>
        <w:rPr>
          <w:spacing w:val="-2"/>
        </w:rPr>
        <w:t>Câmbio</w:t>
      </w:r>
    </w:p>
    <w:p>
      <w:pPr>
        <w:pStyle w:val="BodyText"/>
        <w:spacing w:line="242" w:lineRule="auto" w:before="239"/>
        <w:ind w:left="42" w:right="1263" w:firstLine="707"/>
        <w:jc w:val="both"/>
      </w:pPr>
      <w:r>
        <w:rPr>
          <w:color w:val="0D0E0E"/>
        </w:rPr>
        <w:t>No último dia de cotação, a dólar comercial de compra fechou na média de R$ 4,9213, enquanto o de venda fechou em R$ 4,9219.</w:t>
      </w:r>
    </w:p>
    <w:p>
      <w:pPr>
        <w:pStyle w:val="BodyText"/>
        <w:spacing w:before="236"/>
        <w:ind w:left="42" w:right="1262" w:firstLine="707"/>
        <w:jc w:val="both"/>
      </w:pPr>
      <w:r>
        <w:rPr>
          <w:color w:val="0D0E0E"/>
        </w:rPr>
        <w:t>O cambio começa a dar sinais de certa instabilidade, ainda que pairando</w:t>
      </w:r>
      <w:r>
        <w:rPr>
          <w:color w:val="0D0E0E"/>
          <w:spacing w:val="-1"/>
        </w:rPr>
        <w:t> </w:t>
      </w:r>
      <w:r>
        <w:rPr>
          <w:color w:val="0D0E0E"/>
        </w:rPr>
        <w:t>abaixo dos R$ 5,00 por conta da redução do diferencial de juros em relação a economia norte </w:t>
      </w:r>
      <w:r>
        <w:rPr>
          <w:color w:val="0D0E0E"/>
          <w:spacing w:val="-2"/>
        </w:rPr>
        <w:t>americana.</w:t>
      </w:r>
    </w:p>
    <w:p>
      <w:pPr>
        <w:pStyle w:val="BodyText"/>
        <w:spacing w:before="240"/>
        <w:ind w:left="42" w:right="1253" w:firstLine="707"/>
        <w:jc w:val="both"/>
      </w:pPr>
      <w:r>
        <w:rPr>
          <w:color w:val="0D0E0E"/>
        </w:rPr>
        <w:t>A</w:t>
      </w:r>
      <w:r>
        <w:rPr>
          <w:color w:val="0D0E0E"/>
          <w:spacing w:val="-8"/>
        </w:rPr>
        <w:t> </w:t>
      </w:r>
      <w:r>
        <w:rPr>
          <w:color w:val="0D0E0E"/>
        </w:rPr>
        <w:t>moeda</w:t>
      </w:r>
      <w:r>
        <w:rPr>
          <w:color w:val="0D0E0E"/>
          <w:spacing w:val="-11"/>
        </w:rPr>
        <w:t> </w:t>
      </w:r>
      <w:r>
        <w:rPr>
          <w:color w:val="0D0E0E"/>
        </w:rPr>
        <w:t>norte</w:t>
      </w:r>
      <w:r>
        <w:rPr>
          <w:color w:val="0D0E0E"/>
          <w:spacing w:val="-8"/>
        </w:rPr>
        <w:t> </w:t>
      </w:r>
      <w:r>
        <w:rPr>
          <w:color w:val="0D0E0E"/>
        </w:rPr>
        <w:t>americana</w:t>
      </w:r>
      <w:r>
        <w:rPr>
          <w:color w:val="0D0E0E"/>
          <w:spacing w:val="-9"/>
        </w:rPr>
        <w:t> </w:t>
      </w:r>
      <w:r>
        <w:rPr>
          <w:color w:val="0D0E0E"/>
        </w:rPr>
        <w:t>vem</w:t>
      </w:r>
      <w:r>
        <w:rPr>
          <w:color w:val="0D0E0E"/>
          <w:spacing w:val="-8"/>
        </w:rPr>
        <w:t> </w:t>
      </w:r>
      <w:r>
        <w:rPr>
          <w:color w:val="0D0E0E"/>
        </w:rPr>
        <w:t>exercendo</w:t>
      </w:r>
      <w:r>
        <w:rPr>
          <w:color w:val="0D0E0E"/>
          <w:spacing w:val="-8"/>
        </w:rPr>
        <w:t> </w:t>
      </w:r>
      <w:r>
        <w:rPr>
          <w:color w:val="0D0E0E"/>
        </w:rPr>
        <w:t>pressão</w:t>
      </w:r>
      <w:r>
        <w:rPr>
          <w:color w:val="0D0E0E"/>
          <w:spacing w:val="-8"/>
        </w:rPr>
        <w:t> </w:t>
      </w:r>
      <w:r>
        <w:rPr>
          <w:color w:val="0D0E0E"/>
        </w:rPr>
        <w:t>não</w:t>
      </w:r>
      <w:r>
        <w:rPr>
          <w:color w:val="0D0E0E"/>
          <w:spacing w:val="-8"/>
        </w:rPr>
        <w:t> </w:t>
      </w:r>
      <w:r>
        <w:rPr>
          <w:color w:val="0D0E0E"/>
        </w:rPr>
        <w:t>somente</w:t>
      </w:r>
      <w:r>
        <w:rPr>
          <w:color w:val="0D0E0E"/>
          <w:spacing w:val="-8"/>
        </w:rPr>
        <w:t> </w:t>
      </w:r>
      <w:r>
        <w:rPr>
          <w:color w:val="0D0E0E"/>
        </w:rPr>
        <w:t>sob</w:t>
      </w:r>
      <w:r>
        <w:rPr>
          <w:color w:val="0D0E0E"/>
          <w:spacing w:val="-10"/>
        </w:rPr>
        <w:t> </w:t>
      </w:r>
      <w:r>
        <w:rPr>
          <w:color w:val="0D0E0E"/>
        </w:rPr>
        <w:t>o</w:t>
      </w:r>
      <w:r>
        <w:rPr>
          <w:color w:val="0D0E0E"/>
          <w:spacing w:val="-8"/>
        </w:rPr>
        <w:t> </w:t>
      </w:r>
      <w:r>
        <w:rPr>
          <w:color w:val="0D0E0E"/>
        </w:rPr>
        <w:t>real</w:t>
      </w:r>
      <w:r>
        <w:rPr>
          <w:color w:val="0D0E0E"/>
          <w:spacing w:val="-11"/>
        </w:rPr>
        <w:t> </w:t>
      </w:r>
      <w:r>
        <w:rPr>
          <w:color w:val="0D0E0E"/>
        </w:rPr>
        <w:t>brasileiro, mas</w:t>
      </w:r>
      <w:r>
        <w:rPr>
          <w:color w:val="0D0E0E"/>
          <w:spacing w:val="-2"/>
        </w:rPr>
        <w:t> </w:t>
      </w:r>
      <w:r>
        <w:rPr>
          <w:color w:val="0D0E0E"/>
        </w:rPr>
        <w:t>sob</w:t>
      </w:r>
      <w:r>
        <w:rPr>
          <w:color w:val="0D0E0E"/>
          <w:spacing w:val="-3"/>
        </w:rPr>
        <w:t> </w:t>
      </w:r>
      <w:r>
        <w:rPr>
          <w:color w:val="0D0E0E"/>
        </w:rPr>
        <w:t>a</w:t>
      </w:r>
      <w:r>
        <w:rPr>
          <w:color w:val="0D0E0E"/>
          <w:spacing w:val="-4"/>
        </w:rPr>
        <w:t> </w:t>
      </w:r>
      <w:r>
        <w:rPr>
          <w:color w:val="0D0E0E"/>
        </w:rPr>
        <w:t>maioria</w:t>
      </w:r>
      <w:r>
        <w:rPr>
          <w:color w:val="0D0E0E"/>
          <w:spacing w:val="-4"/>
        </w:rPr>
        <w:t> </w:t>
      </w:r>
      <w:r>
        <w:rPr>
          <w:color w:val="0D0E0E"/>
        </w:rPr>
        <w:t>das</w:t>
      </w:r>
      <w:r>
        <w:rPr>
          <w:color w:val="0D0E0E"/>
          <w:spacing w:val="-4"/>
        </w:rPr>
        <w:t> </w:t>
      </w:r>
      <w:r>
        <w:rPr>
          <w:color w:val="0D0E0E"/>
        </w:rPr>
        <w:t>moedas</w:t>
      </w:r>
      <w:r>
        <w:rPr>
          <w:color w:val="0D0E0E"/>
          <w:spacing w:val="-4"/>
        </w:rPr>
        <w:t> </w:t>
      </w:r>
      <w:r>
        <w:rPr>
          <w:color w:val="0D0E0E"/>
        </w:rPr>
        <w:t>estrangeiras.</w:t>
      </w:r>
      <w:r>
        <w:rPr>
          <w:color w:val="0D0E0E"/>
          <w:spacing w:val="-5"/>
        </w:rPr>
        <w:t> </w:t>
      </w:r>
      <w:r>
        <w:rPr>
          <w:color w:val="0D0E0E"/>
        </w:rPr>
        <w:t>É</w:t>
      </w:r>
      <w:r>
        <w:rPr>
          <w:color w:val="0D0E0E"/>
          <w:spacing w:val="-4"/>
        </w:rPr>
        <w:t> </w:t>
      </w:r>
      <w:r>
        <w:rPr>
          <w:color w:val="0D0E0E"/>
        </w:rPr>
        <w:t>importante</w:t>
      </w:r>
      <w:r>
        <w:rPr>
          <w:color w:val="0D0E0E"/>
          <w:spacing w:val="-3"/>
        </w:rPr>
        <w:t> </w:t>
      </w:r>
      <w:r>
        <w:rPr>
          <w:color w:val="0D0E0E"/>
        </w:rPr>
        <w:t>reforçar</w:t>
      </w:r>
      <w:r>
        <w:rPr>
          <w:color w:val="0D0E0E"/>
          <w:spacing w:val="-3"/>
        </w:rPr>
        <w:t> </w:t>
      </w:r>
      <w:r>
        <w:rPr>
          <w:color w:val="0D0E0E"/>
        </w:rPr>
        <w:t>que uma</w:t>
      </w:r>
      <w:r>
        <w:rPr>
          <w:color w:val="0D0E0E"/>
          <w:spacing w:val="-1"/>
        </w:rPr>
        <w:t> </w:t>
      </w:r>
      <w:r>
        <w:rPr>
          <w:color w:val="0D0E0E"/>
        </w:rPr>
        <w:t>vez</w:t>
      </w:r>
      <w:r>
        <w:rPr>
          <w:color w:val="0D0E0E"/>
          <w:spacing w:val="-3"/>
        </w:rPr>
        <w:t> </w:t>
      </w:r>
      <w:r>
        <w:rPr>
          <w:color w:val="0D0E0E"/>
        </w:rPr>
        <w:t>que</w:t>
      </w:r>
      <w:r>
        <w:rPr>
          <w:color w:val="0D0E0E"/>
          <w:spacing w:val="-6"/>
        </w:rPr>
        <w:t> </w:t>
      </w:r>
      <w:r>
        <w:rPr>
          <w:color w:val="0D0E0E"/>
        </w:rPr>
        <w:t>o</w:t>
      </w:r>
      <w:r>
        <w:rPr>
          <w:color w:val="0D0E0E"/>
          <w:spacing w:val="-3"/>
        </w:rPr>
        <w:t> </w:t>
      </w:r>
      <w:r>
        <w:rPr>
          <w:color w:val="0D0E0E"/>
        </w:rPr>
        <w:t>dólar é</w:t>
      </w:r>
      <w:r>
        <w:rPr>
          <w:color w:val="0D0E0E"/>
          <w:spacing w:val="-6"/>
        </w:rPr>
        <w:t> </w:t>
      </w:r>
      <w:r>
        <w:rPr>
          <w:color w:val="0D0E0E"/>
        </w:rPr>
        <w:t>a</w:t>
      </w:r>
      <w:r>
        <w:rPr>
          <w:color w:val="0D0E0E"/>
          <w:spacing w:val="-6"/>
        </w:rPr>
        <w:t> </w:t>
      </w:r>
      <w:r>
        <w:rPr>
          <w:color w:val="0D0E0E"/>
        </w:rPr>
        <w:t>moeda</w:t>
      </w:r>
      <w:r>
        <w:rPr>
          <w:color w:val="0D0E0E"/>
          <w:spacing w:val="-9"/>
        </w:rPr>
        <w:t> </w:t>
      </w:r>
      <w:r>
        <w:rPr>
          <w:color w:val="0D0E0E"/>
        </w:rPr>
        <w:t>de</w:t>
      </w:r>
      <w:r>
        <w:rPr>
          <w:color w:val="0D0E0E"/>
          <w:spacing w:val="-6"/>
        </w:rPr>
        <w:t> </w:t>
      </w:r>
      <w:r>
        <w:rPr>
          <w:color w:val="0D0E0E"/>
        </w:rPr>
        <w:t>comercio</w:t>
      </w:r>
      <w:r>
        <w:rPr>
          <w:color w:val="0D0E0E"/>
          <w:spacing w:val="-6"/>
        </w:rPr>
        <w:t> </w:t>
      </w:r>
      <w:r>
        <w:rPr>
          <w:color w:val="0D0E0E"/>
        </w:rPr>
        <w:t>internacional,</w:t>
      </w:r>
      <w:r>
        <w:rPr>
          <w:color w:val="0D0E0E"/>
          <w:spacing w:val="-6"/>
        </w:rPr>
        <w:t> </w:t>
      </w:r>
      <w:r>
        <w:rPr>
          <w:color w:val="0D0E0E"/>
        </w:rPr>
        <w:t>o</w:t>
      </w:r>
      <w:r>
        <w:rPr>
          <w:color w:val="0D0E0E"/>
          <w:spacing w:val="-6"/>
        </w:rPr>
        <w:t> </w:t>
      </w:r>
      <w:r>
        <w:rPr>
          <w:color w:val="0D0E0E"/>
        </w:rPr>
        <w:t>aperto</w:t>
      </w:r>
      <w:r>
        <w:rPr>
          <w:color w:val="0D0E0E"/>
          <w:spacing w:val="-8"/>
        </w:rPr>
        <w:t> </w:t>
      </w:r>
      <w:r>
        <w:rPr>
          <w:color w:val="0D0E0E"/>
        </w:rPr>
        <w:t>monetário</w:t>
      </w:r>
      <w:r>
        <w:rPr>
          <w:color w:val="0D0E0E"/>
          <w:spacing w:val="-6"/>
        </w:rPr>
        <w:t> </w:t>
      </w:r>
      <w:r>
        <w:rPr>
          <w:color w:val="0D0E0E"/>
        </w:rPr>
        <w:t>do</w:t>
      </w:r>
      <w:r>
        <w:rPr>
          <w:color w:val="0D0E0E"/>
          <w:spacing w:val="-6"/>
        </w:rPr>
        <w:t> </w:t>
      </w:r>
      <w:r>
        <w:rPr>
          <w:color w:val="0D0E0E"/>
        </w:rPr>
        <w:t>FED</w:t>
      </w:r>
      <w:r>
        <w:rPr>
          <w:color w:val="0D0E0E"/>
          <w:spacing w:val="-5"/>
        </w:rPr>
        <w:t> </w:t>
      </w:r>
      <w:r>
        <w:rPr>
          <w:color w:val="0D0E0E"/>
        </w:rPr>
        <w:t>implica</w:t>
      </w:r>
      <w:r>
        <w:rPr>
          <w:color w:val="0D0E0E"/>
          <w:spacing w:val="-6"/>
        </w:rPr>
        <w:t> </w:t>
      </w:r>
      <w:r>
        <w:rPr>
          <w:color w:val="0D0E0E"/>
        </w:rPr>
        <w:t>indiretamente</w:t>
      </w:r>
      <w:r>
        <w:rPr>
          <w:color w:val="0D0E0E"/>
          <w:spacing w:val="-8"/>
        </w:rPr>
        <w:t> </w:t>
      </w:r>
      <w:r>
        <w:rPr>
          <w:color w:val="0D0E0E"/>
        </w:rPr>
        <w:t>um aperto monetário para o restante dos países.</w:t>
      </w:r>
    </w:p>
    <w:p>
      <w:pPr>
        <w:pStyle w:val="BodyText"/>
      </w:pPr>
    </w:p>
    <w:p>
      <w:pPr>
        <w:pStyle w:val="BodyText"/>
        <w:spacing w:before="234"/>
      </w:pPr>
    </w:p>
    <w:p>
      <w:pPr>
        <w:pStyle w:val="Heading2"/>
      </w:pPr>
      <w:r>
        <w:rPr>
          <w:spacing w:val="-2"/>
        </w:rPr>
        <w:t>Bolsa</w:t>
      </w:r>
    </w:p>
    <w:p>
      <w:pPr>
        <w:pStyle w:val="BodyText"/>
        <w:spacing w:before="242"/>
        <w:ind w:left="42" w:right="1254" w:firstLine="707"/>
        <w:jc w:val="both"/>
      </w:pPr>
      <w:r>
        <w:rPr>
          <w:color w:val="0D0E0E"/>
        </w:rPr>
        <w:t>Outro</w:t>
      </w:r>
      <w:r>
        <w:rPr>
          <w:color w:val="0D0E0E"/>
          <w:spacing w:val="-1"/>
        </w:rPr>
        <w:t> </w:t>
      </w:r>
      <w:r>
        <w:rPr>
          <w:color w:val="0D0E0E"/>
        </w:rPr>
        <w:t>responsável</w:t>
      </w:r>
      <w:r>
        <w:rPr>
          <w:color w:val="0D0E0E"/>
          <w:spacing w:val="-4"/>
        </w:rPr>
        <w:t> </w:t>
      </w:r>
      <w:r>
        <w:rPr>
          <w:color w:val="0D0E0E"/>
        </w:rPr>
        <w:t>por</w:t>
      </w:r>
      <w:r>
        <w:rPr>
          <w:color w:val="0D0E0E"/>
          <w:spacing w:val="-1"/>
        </w:rPr>
        <w:t> </w:t>
      </w:r>
      <w:r>
        <w:rPr>
          <w:color w:val="0D0E0E"/>
        </w:rPr>
        <w:t>essa</w:t>
      </w:r>
      <w:r>
        <w:rPr>
          <w:color w:val="0D0E0E"/>
          <w:spacing w:val="-2"/>
        </w:rPr>
        <w:t> </w:t>
      </w:r>
      <w:r>
        <w:rPr>
          <w:color w:val="0D0E0E"/>
        </w:rPr>
        <w:t>depreciação</w:t>
      </w:r>
      <w:r>
        <w:rPr>
          <w:color w:val="0D0E0E"/>
          <w:spacing w:val="-1"/>
        </w:rPr>
        <w:t> </w:t>
      </w:r>
      <w:r>
        <w:rPr>
          <w:color w:val="0D0E0E"/>
        </w:rPr>
        <w:t>da</w:t>
      </w:r>
      <w:r>
        <w:rPr>
          <w:color w:val="0D0E0E"/>
          <w:spacing w:val="-4"/>
        </w:rPr>
        <w:t> </w:t>
      </w:r>
      <w:r>
        <w:rPr>
          <w:color w:val="0D0E0E"/>
        </w:rPr>
        <w:t>moeda</w:t>
      </w:r>
      <w:r>
        <w:rPr>
          <w:color w:val="0D0E0E"/>
          <w:spacing w:val="-2"/>
        </w:rPr>
        <w:t> </w:t>
      </w:r>
      <w:r>
        <w:rPr>
          <w:color w:val="0D0E0E"/>
        </w:rPr>
        <w:t>local se</w:t>
      </w:r>
      <w:r>
        <w:rPr>
          <w:color w:val="0D0E0E"/>
          <w:spacing w:val="-4"/>
        </w:rPr>
        <w:t> </w:t>
      </w:r>
      <w:r>
        <w:rPr>
          <w:color w:val="0D0E0E"/>
        </w:rPr>
        <w:t>deve</w:t>
      </w:r>
      <w:r>
        <w:rPr>
          <w:color w:val="0D0E0E"/>
          <w:spacing w:val="-3"/>
        </w:rPr>
        <w:t> </w:t>
      </w:r>
      <w:r>
        <w:rPr>
          <w:color w:val="0D0E0E"/>
        </w:rPr>
        <w:t>por</w:t>
      </w:r>
      <w:r>
        <w:rPr>
          <w:color w:val="0D0E0E"/>
          <w:spacing w:val="-1"/>
        </w:rPr>
        <w:t> </w:t>
      </w:r>
      <w:r>
        <w:rPr>
          <w:color w:val="0D0E0E"/>
        </w:rPr>
        <w:t>conta</w:t>
      </w:r>
      <w:r>
        <w:rPr>
          <w:color w:val="0D0E0E"/>
          <w:spacing w:val="-2"/>
        </w:rPr>
        <w:t> </w:t>
      </w:r>
      <w:r>
        <w:rPr>
          <w:color w:val="0D0E0E"/>
        </w:rPr>
        <w:t>da</w:t>
      </w:r>
      <w:r>
        <w:rPr>
          <w:color w:val="0D0E0E"/>
          <w:spacing w:val="-4"/>
        </w:rPr>
        <w:t> </w:t>
      </w:r>
      <w:r>
        <w:rPr>
          <w:color w:val="0D0E0E"/>
        </w:rPr>
        <w:t>queda do mercado acionário local dominado pela incerteza da trajetória fiscal do Brasil.</w:t>
      </w:r>
    </w:p>
    <w:p>
      <w:pPr>
        <w:pStyle w:val="BodyText"/>
        <w:spacing w:before="240"/>
        <w:ind w:left="42" w:right="1258" w:firstLine="707"/>
        <w:jc w:val="both"/>
      </w:pPr>
      <w:r>
        <w:rPr>
          <w:color w:val="0D0E0E"/>
        </w:rPr>
        <w:t>O IBOVESPA caiu -1,53% no dia aos 115.742 pontos, com perdas acumuladas de 5,05% no mês.</w:t>
      </w:r>
    </w:p>
    <w:p>
      <w:pPr>
        <w:pStyle w:val="BodyText"/>
        <w:spacing w:after="0"/>
        <w:jc w:val="both"/>
        <w:sectPr>
          <w:pgSz w:w="11920" w:h="16850"/>
          <w:pgMar w:top="1320" w:bottom="280" w:left="1559" w:right="141"/>
        </w:sectPr>
      </w:pPr>
    </w:p>
    <w:p>
      <w:pPr>
        <w:pStyle w:val="BodyText"/>
        <w:spacing w:before="39"/>
        <w:ind w:left="706" w:right="1211"/>
        <w:jc w:val="center"/>
      </w:pPr>
      <w:r>
        <w:rPr>
          <w:color w:val="0D0E0E"/>
        </w:rPr>
        <w:t>IBOVESPA</w:t>
      </w:r>
      <w:r>
        <w:rPr>
          <w:color w:val="0D0E0E"/>
          <w:spacing w:val="-3"/>
        </w:rPr>
        <w:t> </w:t>
      </w:r>
      <w:r>
        <w:rPr>
          <w:color w:val="0D0E0E"/>
        </w:rPr>
        <w:t>–</w:t>
      </w:r>
      <w:r>
        <w:rPr>
          <w:color w:val="0D0E0E"/>
          <w:spacing w:val="-1"/>
        </w:rPr>
        <w:t> </w:t>
      </w:r>
      <w:r>
        <w:rPr>
          <w:color w:val="0D0E0E"/>
          <w:spacing w:val="-4"/>
        </w:rPr>
        <w:t>2023:</w:t>
      </w:r>
    </w:p>
    <w:p>
      <w:pPr>
        <w:pStyle w:val="BodyText"/>
        <w:spacing w:before="12"/>
        <w:rPr>
          <w:sz w:val="15"/>
        </w:rPr>
      </w:pPr>
      <w:r>
        <w:rPr>
          <w:sz w:val="15"/>
        </w:rPr>
        <w:drawing>
          <wp:anchor distT="0" distB="0" distL="0" distR="0" allowOverlap="1" layoutInCell="1" locked="0" behindDoc="1" simplePos="0" relativeHeight="487601152">
            <wp:simplePos x="0" y="0"/>
            <wp:positionH relativeFrom="page">
              <wp:posOffset>1059180</wp:posOffset>
            </wp:positionH>
            <wp:positionV relativeFrom="paragraph">
              <wp:posOffset>139211</wp:posOffset>
            </wp:positionV>
            <wp:extent cx="5486400" cy="2316479"/>
            <wp:effectExtent l="0" t="0" r="0" b="0"/>
            <wp:wrapTopAndBottom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16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52"/>
      </w:pPr>
    </w:p>
    <w:p>
      <w:pPr>
        <w:pStyle w:val="BodyText"/>
        <w:ind w:left="42" w:right="1252" w:firstLine="707"/>
        <w:jc w:val="both"/>
      </w:pPr>
      <w:r>
        <w:rPr>
          <w:color w:val="0D0E0E"/>
        </w:rPr>
        <w:t>Como citado, durante o mês de agosto, a incerteza quanto à entrega do planejamento orçamentário para o ano seguinte cobriu o mercado doméstico com </w:t>
      </w:r>
      <w:r>
        <w:rPr>
          <w:color w:val="0D0E0E"/>
          <w:spacing w:val="-2"/>
        </w:rPr>
        <w:t>preocupações.</w:t>
      </w:r>
    </w:p>
    <w:p>
      <w:pPr>
        <w:pStyle w:val="BodyText"/>
      </w:pPr>
    </w:p>
    <w:p>
      <w:pPr>
        <w:pStyle w:val="BodyText"/>
        <w:spacing w:before="186"/>
      </w:pPr>
    </w:p>
    <w:p>
      <w:pPr>
        <w:pStyle w:val="Heading2"/>
        <w:spacing w:before="1"/>
      </w:pPr>
      <w:r>
        <w:rPr/>
        <w:t>Renda</w:t>
      </w:r>
      <w:r>
        <w:rPr>
          <w:spacing w:val="-3"/>
        </w:rPr>
        <w:t> </w:t>
      </w:r>
      <w:r>
        <w:rPr>
          <w:spacing w:val="-4"/>
        </w:rPr>
        <w:t>Fixa</w:t>
      </w:r>
    </w:p>
    <w:p>
      <w:pPr>
        <w:pStyle w:val="BodyText"/>
        <w:spacing w:before="241"/>
        <w:ind w:left="42" w:right="1255" w:firstLine="707"/>
        <w:jc w:val="both"/>
      </w:pPr>
      <w:r>
        <w:rPr>
          <w:color w:val="0D0E0E"/>
        </w:rPr>
        <w:t>Nos índices ANBIMA, destacou-se o IMA–B 5 que registrou uma variação de 0,65% no mês, seguido pelo IMA-GERAL com 0,59%. Com oscilação negativa no mês (-0,42%), o IMA-B ainda acumula uma variação muito expressivamente positiva no ano (11,84%). Com maior oscilação, o IMA-B 5+ registrou queda de -1,37% no mês.</w:t>
      </w:r>
    </w:p>
    <w:p>
      <w:pPr>
        <w:pStyle w:val="BodyText"/>
        <w:spacing w:before="240"/>
        <w:ind w:left="42" w:right="1255" w:firstLine="707"/>
        <w:jc w:val="both"/>
      </w:pPr>
      <w:r>
        <w:rPr>
          <w:color w:val="0D0E0E"/>
        </w:rPr>
        <w:t>Quanto aos préfixados, o destaque do mês foi o IRF-M 1 com 1,11% no mês, e para o IRF-M com 0,74% em linha com os 0,58% de ganho do IRF-M 1+ no mês. No ano, eles acumulam 11,43% e 12,99% respectivamente.</w:t>
      </w:r>
    </w:p>
    <w:p>
      <w:pPr>
        <w:pStyle w:val="BodyText"/>
        <w:spacing w:before="239"/>
        <w:ind w:left="42" w:right="1254" w:firstLine="707"/>
        <w:jc w:val="both"/>
      </w:pPr>
      <w:r>
        <w:rPr>
          <w:color w:val="0D0E0E"/>
        </w:rPr>
        <w:t>Quanto</w:t>
      </w:r>
      <w:r>
        <w:rPr>
          <w:color w:val="0D0E0E"/>
          <w:spacing w:val="-13"/>
        </w:rPr>
        <w:t> </w:t>
      </w:r>
      <w:r>
        <w:rPr>
          <w:color w:val="0D0E0E"/>
        </w:rPr>
        <w:t>aos</w:t>
      </w:r>
      <w:r>
        <w:rPr>
          <w:color w:val="0D0E0E"/>
          <w:spacing w:val="-11"/>
        </w:rPr>
        <w:t> </w:t>
      </w:r>
      <w:r>
        <w:rPr>
          <w:color w:val="0D0E0E"/>
        </w:rPr>
        <w:t>índices</w:t>
      </w:r>
      <w:r>
        <w:rPr>
          <w:color w:val="0D0E0E"/>
          <w:spacing w:val="-11"/>
        </w:rPr>
        <w:t> </w:t>
      </w:r>
      <w:r>
        <w:rPr>
          <w:color w:val="0D0E0E"/>
        </w:rPr>
        <w:t>de</w:t>
      </w:r>
      <w:r>
        <w:rPr>
          <w:color w:val="0D0E0E"/>
          <w:spacing w:val="-11"/>
        </w:rPr>
        <w:t> </w:t>
      </w:r>
      <w:r>
        <w:rPr>
          <w:color w:val="0D0E0E"/>
        </w:rPr>
        <w:t>prazos</w:t>
      </w:r>
      <w:r>
        <w:rPr>
          <w:color w:val="0D0E0E"/>
          <w:spacing w:val="-11"/>
        </w:rPr>
        <w:t> </w:t>
      </w:r>
      <w:r>
        <w:rPr>
          <w:color w:val="0D0E0E"/>
        </w:rPr>
        <w:t>constantes,</w:t>
      </w:r>
      <w:r>
        <w:rPr>
          <w:color w:val="0D0E0E"/>
          <w:spacing w:val="-11"/>
        </w:rPr>
        <w:t> </w:t>
      </w:r>
      <w:r>
        <w:rPr>
          <w:color w:val="0D0E0E"/>
        </w:rPr>
        <w:t>IDKA-Pré</w:t>
      </w:r>
      <w:r>
        <w:rPr>
          <w:color w:val="0D0E0E"/>
          <w:spacing w:val="-11"/>
        </w:rPr>
        <w:t> </w:t>
      </w:r>
      <w:r>
        <w:rPr>
          <w:color w:val="0D0E0E"/>
        </w:rPr>
        <w:t>2a</w:t>
      </w:r>
      <w:r>
        <w:rPr>
          <w:color w:val="0D0E0E"/>
          <w:spacing w:val="-10"/>
        </w:rPr>
        <w:t> </w:t>
      </w:r>
      <w:r>
        <w:rPr>
          <w:color w:val="0D0E0E"/>
        </w:rPr>
        <w:t>teve</w:t>
      </w:r>
      <w:r>
        <w:rPr>
          <w:color w:val="0D0E0E"/>
          <w:spacing w:val="-11"/>
        </w:rPr>
        <w:t> </w:t>
      </w:r>
      <w:r>
        <w:rPr>
          <w:color w:val="0D0E0E"/>
        </w:rPr>
        <w:t>variação</w:t>
      </w:r>
      <w:r>
        <w:rPr>
          <w:color w:val="0D0E0E"/>
          <w:spacing w:val="-13"/>
        </w:rPr>
        <w:t> </w:t>
      </w:r>
      <w:r>
        <w:rPr>
          <w:color w:val="0D0E0E"/>
        </w:rPr>
        <w:t>de</w:t>
      </w:r>
      <w:r>
        <w:rPr>
          <w:color w:val="0D0E0E"/>
          <w:spacing w:val="-11"/>
        </w:rPr>
        <w:t> </w:t>
      </w:r>
      <w:r>
        <w:rPr>
          <w:color w:val="0D0E0E"/>
        </w:rPr>
        <w:t>0,86%</w:t>
      </w:r>
      <w:r>
        <w:rPr>
          <w:color w:val="0D0E0E"/>
          <w:spacing w:val="-9"/>
        </w:rPr>
        <w:t> </w:t>
      </w:r>
      <w:r>
        <w:rPr>
          <w:color w:val="0D0E0E"/>
        </w:rPr>
        <w:t>no</w:t>
      </w:r>
      <w:r>
        <w:rPr>
          <w:color w:val="0D0E0E"/>
          <w:spacing w:val="-11"/>
        </w:rPr>
        <w:t> </w:t>
      </w:r>
      <w:r>
        <w:rPr>
          <w:color w:val="0D0E0E"/>
        </w:rPr>
        <w:t>mês e 12,04% no ano enquanto o IDKA-IPCA 2a obteve 0,845 no mês e 8,66% no ano.</w:t>
      </w:r>
    </w:p>
    <w:p>
      <w:pPr>
        <w:pStyle w:val="BodyText"/>
        <w:spacing w:after="0"/>
        <w:jc w:val="both"/>
        <w:sectPr>
          <w:pgSz w:w="11920" w:h="16850"/>
          <w:pgMar w:top="1320" w:bottom="280" w:left="1559" w:right="141"/>
        </w:sectPr>
      </w:pPr>
    </w:p>
    <w:p>
      <w:pPr>
        <w:pStyle w:val="Heading1"/>
        <w:spacing w:before="19"/>
      </w:pPr>
      <w:r>
        <w:rPr/>
        <w:t>CONCLUSÃO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>
          <w:spacing w:val="-2"/>
        </w:rPr>
        <w:t>PERSPECTIVAS</w:t>
      </w:r>
    </w:p>
    <w:p>
      <w:pPr>
        <w:pStyle w:val="BodyText"/>
        <w:spacing w:before="240"/>
        <w:ind w:left="42" w:right="1254" w:firstLine="707"/>
        <w:jc w:val="both"/>
      </w:pPr>
      <w:r>
        <w:rPr>
          <w:color w:val="0D0E0E"/>
        </w:rPr>
        <w:t>Conforme pontuado por especialistas, no Brasil, os dados de inflação de setembro como IPCA-15 e o IGP-M serão divulgados no final do mês, com expectativa de contínua desaceleração gradual. Dados da dívida pública como o déficit orçamentário e a dívida em relação</w:t>
      </w:r>
      <w:r>
        <w:rPr>
          <w:color w:val="0D0E0E"/>
          <w:spacing w:val="-4"/>
        </w:rPr>
        <w:t> </w:t>
      </w:r>
      <w:r>
        <w:rPr>
          <w:color w:val="0D0E0E"/>
        </w:rPr>
        <w:t>ao</w:t>
      </w:r>
      <w:r>
        <w:rPr>
          <w:color w:val="0D0E0E"/>
          <w:spacing w:val="-5"/>
        </w:rPr>
        <w:t> </w:t>
      </w:r>
      <w:r>
        <w:rPr>
          <w:color w:val="0D0E0E"/>
        </w:rPr>
        <w:t>PIB</w:t>
      </w:r>
      <w:r>
        <w:rPr>
          <w:color w:val="0D0E0E"/>
          <w:spacing w:val="-7"/>
        </w:rPr>
        <w:t> </w:t>
      </w:r>
      <w:r>
        <w:rPr>
          <w:color w:val="0D0E0E"/>
        </w:rPr>
        <w:t>também</w:t>
      </w:r>
      <w:r>
        <w:rPr>
          <w:color w:val="0D0E0E"/>
          <w:spacing w:val="-4"/>
        </w:rPr>
        <w:t> </w:t>
      </w:r>
      <w:r>
        <w:rPr>
          <w:color w:val="0D0E0E"/>
        </w:rPr>
        <w:t>estarão</w:t>
      </w:r>
      <w:r>
        <w:rPr>
          <w:color w:val="0D0E0E"/>
          <w:spacing w:val="-5"/>
        </w:rPr>
        <w:t> </w:t>
      </w:r>
      <w:r>
        <w:rPr>
          <w:color w:val="0D0E0E"/>
        </w:rPr>
        <w:t>no</w:t>
      </w:r>
      <w:r>
        <w:rPr>
          <w:color w:val="0D0E0E"/>
          <w:spacing w:val="-6"/>
        </w:rPr>
        <w:t> </w:t>
      </w:r>
      <w:r>
        <w:rPr>
          <w:color w:val="0D0E0E"/>
        </w:rPr>
        <w:t>radar</w:t>
      </w:r>
      <w:r>
        <w:rPr>
          <w:color w:val="0D0E0E"/>
          <w:spacing w:val="-6"/>
        </w:rPr>
        <w:t> </w:t>
      </w:r>
      <w:r>
        <w:rPr>
          <w:color w:val="0D0E0E"/>
        </w:rPr>
        <w:t>dos</w:t>
      </w:r>
      <w:r>
        <w:rPr>
          <w:color w:val="0D0E0E"/>
          <w:spacing w:val="-3"/>
        </w:rPr>
        <w:t> </w:t>
      </w:r>
      <w:r>
        <w:rPr>
          <w:color w:val="0D0E0E"/>
        </w:rPr>
        <w:t>investidores,</w:t>
      </w:r>
      <w:r>
        <w:rPr>
          <w:color w:val="0D0E0E"/>
          <w:spacing w:val="-4"/>
        </w:rPr>
        <w:t> </w:t>
      </w:r>
      <w:r>
        <w:rPr>
          <w:color w:val="0D0E0E"/>
        </w:rPr>
        <w:t>pois</w:t>
      </w:r>
      <w:r>
        <w:rPr>
          <w:color w:val="0D0E0E"/>
          <w:spacing w:val="-3"/>
        </w:rPr>
        <w:t> </w:t>
      </w:r>
      <w:r>
        <w:rPr>
          <w:color w:val="0D0E0E"/>
        </w:rPr>
        <w:t>a</w:t>
      </w:r>
      <w:r>
        <w:rPr>
          <w:color w:val="0D0E0E"/>
          <w:spacing w:val="-6"/>
        </w:rPr>
        <w:t> </w:t>
      </w:r>
      <w:r>
        <w:rPr>
          <w:color w:val="0D0E0E"/>
        </w:rPr>
        <w:t>capacidade</w:t>
      </w:r>
      <w:r>
        <w:rPr>
          <w:color w:val="0D0E0E"/>
          <w:spacing w:val="-3"/>
        </w:rPr>
        <w:t> </w:t>
      </w:r>
      <w:r>
        <w:rPr>
          <w:color w:val="0D0E0E"/>
        </w:rPr>
        <w:t>do</w:t>
      </w:r>
      <w:r>
        <w:rPr>
          <w:color w:val="0D0E0E"/>
          <w:spacing w:val="-6"/>
        </w:rPr>
        <w:t> </w:t>
      </w:r>
      <w:r>
        <w:rPr>
          <w:color w:val="0D0E0E"/>
        </w:rPr>
        <w:t>governo</w:t>
      </w:r>
      <w:r>
        <w:rPr>
          <w:color w:val="0D0E0E"/>
          <w:spacing w:val="-6"/>
        </w:rPr>
        <w:t> </w:t>
      </w:r>
      <w:r>
        <w:rPr>
          <w:color w:val="0D0E0E"/>
        </w:rPr>
        <w:t>em pagar a sua dívida é uma preocupação considerável e afeta negativamente os mercados.</w:t>
      </w:r>
    </w:p>
    <w:p>
      <w:pPr>
        <w:pStyle w:val="BodyText"/>
        <w:spacing w:before="239"/>
        <w:ind w:left="42" w:right="1252" w:firstLine="707"/>
        <w:jc w:val="both"/>
      </w:pPr>
      <w:r>
        <w:rPr>
          <w:color w:val="0D0E0E"/>
        </w:rPr>
        <w:t>A divulgação da taxa final de crescimento do PIB dos Estados Unidos será realizada no final do mês, no dia 28 de setembro. Além disso, é válido atenção quanto a publicação do Core PCE, o deflator de consumo norte-americano, que trará os números do núcleo de inflação. Nele, será possível analisar se a inflação continuará em</w:t>
      </w:r>
      <w:r>
        <w:rPr>
          <w:color w:val="0D0E0E"/>
          <w:spacing w:val="40"/>
        </w:rPr>
        <w:t> </w:t>
      </w:r>
      <w:r>
        <w:rPr>
          <w:color w:val="0D0E0E"/>
        </w:rPr>
        <w:t>ritmo de desaceleração e será essencial para prever os próximos passos do FED em relação a política monetária.</w:t>
      </w:r>
    </w:p>
    <w:p>
      <w:pPr>
        <w:pStyle w:val="BodyText"/>
        <w:spacing w:before="242"/>
        <w:ind w:left="42" w:right="1259" w:firstLine="707"/>
        <w:jc w:val="both"/>
      </w:pPr>
      <w:r>
        <w:rPr>
          <w:color w:val="0D0E0E"/>
        </w:rPr>
        <w:t>Na</w:t>
      </w:r>
      <w:r>
        <w:rPr>
          <w:color w:val="0D0E0E"/>
          <w:spacing w:val="-9"/>
        </w:rPr>
        <w:t> </w:t>
      </w:r>
      <w:r>
        <w:rPr>
          <w:color w:val="0D0E0E"/>
        </w:rPr>
        <w:t>China,</w:t>
      </w:r>
      <w:r>
        <w:rPr>
          <w:color w:val="0D0E0E"/>
          <w:spacing w:val="-9"/>
        </w:rPr>
        <w:t> </w:t>
      </w:r>
      <w:r>
        <w:rPr>
          <w:color w:val="0D0E0E"/>
        </w:rPr>
        <w:t>o</w:t>
      </w:r>
      <w:r>
        <w:rPr>
          <w:color w:val="0D0E0E"/>
          <w:spacing w:val="-11"/>
        </w:rPr>
        <w:t> </w:t>
      </w:r>
      <w:r>
        <w:rPr>
          <w:color w:val="0D0E0E"/>
        </w:rPr>
        <w:t>mercado</w:t>
      </w:r>
      <w:r>
        <w:rPr>
          <w:color w:val="0D0E0E"/>
          <w:spacing w:val="-9"/>
        </w:rPr>
        <w:t> </w:t>
      </w:r>
      <w:r>
        <w:rPr>
          <w:color w:val="0D0E0E"/>
        </w:rPr>
        <w:t>aguarda</w:t>
      </w:r>
      <w:r>
        <w:rPr>
          <w:color w:val="0D0E0E"/>
          <w:spacing w:val="-9"/>
        </w:rPr>
        <w:t> </w:t>
      </w:r>
      <w:r>
        <w:rPr>
          <w:color w:val="0D0E0E"/>
        </w:rPr>
        <w:t>atentamente</w:t>
      </w:r>
      <w:r>
        <w:rPr>
          <w:color w:val="0D0E0E"/>
          <w:spacing w:val="-9"/>
        </w:rPr>
        <w:t> </w:t>
      </w:r>
      <w:r>
        <w:rPr>
          <w:color w:val="0D0E0E"/>
        </w:rPr>
        <w:t>a</w:t>
      </w:r>
      <w:r>
        <w:rPr>
          <w:color w:val="0D0E0E"/>
          <w:spacing w:val="-11"/>
        </w:rPr>
        <w:t> </w:t>
      </w:r>
      <w:r>
        <w:rPr>
          <w:color w:val="0D0E0E"/>
        </w:rPr>
        <w:t>divulgação</w:t>
      </w:r>
      <w:r>
        <w:rPr>
          <w:color w:val="0D0E0E"/>
          <w:spacing w:val="-9"/>
        </w:rPr>
        <w:t> </w:t>
      </w:r>
      <w:r>
        <w:rPr>
          <w:color w:val="0D0E0E"/>
        </w:rPr>
        <w:t>do</w:t>
      </w:r>
      <w:r>
        <w:rPr>
          <w:color w:val="0D0E0E"/>
          <w:spacing w:val="-11"/>
        </w:rPr>
        <w:t> </w:t>
      </w:r>
      <w:r>
        <w:rPr>
          <w:color w:val="0D0E0E"/>
        </w:rPr>
        <w:t>PMI</w:t>
      </w:r>
      <w:r>
        <w:rPr>
          <w:color w:val="0D0E0E"/>
          <w:spacing w:val="-9"/>
        </w:rPr>
        <w:t> </w:t>
      </w:r>
      <w:r>
        <w:rPr>
          <w:color w:val="0D0E0E"/>
        </w:rPr>
        <w:t>Industrial</w:t>
      </w:r>
      <w:r>
        <w:rPr>
          <w:color w:val="0D0E0E"/>
          <w:spacing w:val="-11"/>
        </w:rPr>
        <w:t> </w:t>
      </w:r>
      <w:r>
        <w:rPr>
          <w:color w:val="0D0E0E"/>
        </w:rPr>
        <w:t>no</w:t>
      </w:r>
      <w:r>
        <w:rPr>
          <w:color w:val="0D0E0E"/>
          <w:spacing w:val="-9"/>
        </w:rPr>
        <w:t> </w:t>
      </w:r>
      <w:r>
        <w:rPr>
          <w:color w:val="0D0E0E"/>
        </w:rPr>
        <w:t>final</w:t>
      </w:r>
      <w:r>
        <w:rPr>
          <w:color w:val="0D0E0E"/>
          <w:spacing w:val="-11"/>
        </w:rPr>
        <w:t> </w:t>
      </w:r>
      <w:r>
        <w:rPr>
          <w:color w:val="0D0E0E"/>
        </w:rPr>
        <w:t>do mês. Este será um importante indicador para saber se a economia chinesa está se recuperando e se será possível chegar aos patamares pré pandemia.</w:t>
      </w:r>
    </w:p>
    <w:p>
      <w:pPr>
        <w:pStyle w:val="BodyText"/>
        <w:spacing w:before="239"/>
        <w:ind w:left="42" w:right="1251" w:firstLine="707"/>
        <w:jc w:val="both"/>
      </w:pPr>
      <w:r>
        <w:rPr>
          <w:color w:val="0D0E0E"/>
        </w:rPr>
        <w:t>Além disso, os mercados estão atentos aos próximos passos de política monetária. Na agenda, temos a decisão de juros pelo PBOC (China) no dia 19 de setembro, na quarta feira</w:t>
      </w:r>
      <w:r>
        <w:rPr>
          <w:color w:val="0D0E0E"/>
          <w:spacing w:val="-1"/>
        </w:rPr>
        <w:t> </w:t>
      </w:r>
      <w:r>
        <w:rPr>
          <w:color w:val="0D0E0E"/>
        </w:rPr>
        <w:t>teremos a decisão tanto do Federal Reserve (EUA) quanto do Bacen (Brasil), na quinta feira o BoE (Inglaterra), e na sexta o BoJ (Japão).</w:t>
      </w:r>
    </w:p>
    <w:p>
      <w:pPr>
        <w:pStyle w:val="BodyText"/>
        <w:spacing w:before="240"/>
        <w:ind w:left="42" w:right="1260" w:firstLine="707"/>
        <w:jc w:val="both"/>
      </w:pPr>
      <w:r>
        <w:rPr>
          <w:color w:val="0D0E0E"/>
        </w:rPr>
        <w:t>Com o protagonismo, é dividida a opinião dos analistas quanto ao FED realizar a manutenção da taxa no atual patamar, ou realizar mais um incremento de 25 pontos base. Já no Brasil, é praticamente consenso a redução de 50 pontos base do Bacen, e além da decisão em si, é válido acompanhar o comunicado posterior à divulgação, em que será possível palpar o viés que culminou na decisão tomada.</w:t>
      </w:r>
    </w:p>
    <w:p>
      <w:pPr>
        <w:pStyle w:val="BodyText"/>
        <w:spacing w:after="0"/>
        <w:jc w:val="both"/>
        <w:sectPr>
          <w:pgSz w:w="11920" w:h="16850"/>
          <w:pgMar w:top="1340" w:bottom="280" w:left="1559" w:right="141"/>
        </w:sectPr>
      </w:pPr>
    </w:p>
    <w:p>
      <w:pPr>
        <w:pStyle w:val="BodyText"/>
        <w:spacing w:before="39"/>
        <w:ind w:left="2385"/>
      </w:pPr>
      <w:r>
        <w:rPr>
          <w:color w:val="0D0E0E"/>
        </w:rPr>
        <w:t>INVESTIDOR</w:t>
      </w:r>
      <w:r>
        <w:rPr>
          <w:color w:val="0D0E0E"/>
          <w:spacing w:val="-9"/>
        </w:rPr>
        <w:t> </w:t>
      </w:r>
      <w:r>
        <w:rPr>
          <w:color w:val="0D0E0E"/>
        </w:rPr>
        <w:t>EM</w:t>
      </w:r>
      <w:r>
        <w:rPr>
          <w:color w:val="0D0E0E"/>
          <w:spacing w:val="-4"/>
        </w:rPr>
        <w:t> </w:t>
      </w:r>
      <w:r>
        <w:rPr>
          <w:color w:val="0D0E0E"/>
        </w:rPr>
        <w:t>GERAL</w:t>
      </w:r>
      <w:r>
        <w:rPr>
          <w:color w:val="0D0E0E"/>
          <w:spacing w:val="-5"/>
        </w:rPr>
        <w:t> </w:t>
      </w:r>
      <w:r>
        <w:rPr>
          <w:color w:val="0D0E0E"/>
        </w:rPr>
        <w:t>–</w:t>
      </w:r>
      <w:r>
        <w:rPr>
          <w:color w:val="0D0E0E"/>
          <w:spacing w:val="-8"/>
        </w:rPr>
        <w:t> </w:t>
      </w:r>
      <w:r>
        <w:rPr>
          <w:color w:val="0D0E0E"/>
        </w:rPr>
        <w:t>SEM</w:t>
      </w:r>
      <w:r>
        <w:rPr>
          <w:color w:val="0D0E0E"/>
          <w:spacing w:val="-2"/>
        </w:rPr>
        <w:t> </w:t>
      </w:r>
      <w:r>
        <w:rPr>
          <w:color w:val="0D0E0E"/>
        </w:rPr>
        <w:t>PRÓ</w:t>
      </w:r>
      <w:r>
        <w:rPr>
          <w:color w:val="0D0E0E"/>
          <w:spacing w:val="-2"/>
        </w:rPr>
        <w:t> GESTÃO</w:t>
      </w:r>
    </w:p>
    <w:p>
      <w:pPr>
        <w:pStyle w:val="BodyText"/>
        <w:spacing w:before="179"/>
        <w:rPr>
          <w:sz w:val="20"/>
        </w:rPr>
      </w:pPr>
    </w:p>
    <w:tbl>
      <w:tblPr>
        <w:tblW w:w="0" w:type="auto"/>
        <w:jc w:val="left"/>
        <w:tblInd w:w="1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66"/>
        <w:gridCol w:w="1123"/>
      </w:tblGrid>
      <w:tr>
        <w:trPr>
          <w:trHeight w:val="448" w:hRule="atLeast"/>
        </w:trPr>
        <w:tc>
          <w:tcPr>
            <w:tcW w:w="8689" w:type="dxa"/>
            <w:gridSpan w:val="2"/>
          </w:tcPr>
          <w:p>
            <w:pPr>
              <w:pStyle w:val="TableParagraph"/>
              <w:spacing w:before="6"/>
              <w:ind w:left="458"/>
              <w:rPr>
                <w:sz w:val="21"/>
              </w:rPr>
            </w:pPr>
            <w:r>
              <w:rPr>
                <w:sz w:val="21"/>
              </w:rPr>
              <w:t>Estratégia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Alocação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dos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Recursos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no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Longo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Prazo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–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Renda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Fixa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-4"/>
                <w:sz w:val="21"/>
              </w:rPr>
              <w:t> </w:t>
            </w:r>
            <w:r>
              <w:rPr>
                <w:spacing w:val="-2"/>
                <w:sz w:val="21"/>
              </w:rPr>
              <w:t>Variável</w:t>
            </w:r>
          </w:p>
        </w:tc>
      </w:tr>
      <w:tr>
        <w:trPr>
          <w:trHeight w:val="368" w:hRule="atLeast"/>
        </w:trPr>
        <w:tc>
          <w:tcPr>
            <w:tcW w:w="7566" w:type="dxa"/>
            <w:tcBorders>
              <w:bottom w:val="nil"/>
            </w:tcBorders>
          </w:tcPr>
          <w:p>
            <w:pPr>
              <w:pStyle w:val="TableParagraph"/>
              <w:spacing w:before="3"/>
              <w:ind w:left="11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Renda</w:t>
            </w:r>
            <w:r>
              <w:rPr>
                <w:b/>
                <w:spacing w:val="-6"/>
                <w:sz w:val="21"/>
                <w:u w:val="single"/>
              </w:rPr>
              <w:t> </w:t>
            </w:r>
            <w:r>
              <w:rPr>
                <w:b/>
                <w:spacing w:val="-4"/>
                <w:sz w:val="21"/>
                <w:u w:val="single"/>
              </w:rPr>
              <w:t>Fixa</w:t>
            </w:r>
          </w:p>
        </w:tc>
        <w:tc>
          <w:tcPr>
            <w:tcW w:w="1123" w:type="dxa"/>
            <w:tcBorders>
              <w:bottom w:val="nil"/>
            </w:tcBorders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60%</w:t>
            </w:r>
          </w:p>
        </w:tc>
      </w:tr>
      <w:tr>
        <w:trPr>
          <w:trHeight w:val="439" w:hRule="atLeast"/>
        </w:trPr>
        <w:tc>
          <w:tcPr>
            <w:tcW w:w="75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0"/>
              <w:ind w:left="114"/>
              <w:rPr>
                <w:sz w:val="21"/>
              </w:rPr>
            </w:pPr>
            <w:r>
              <w:rPr>
                <w:sz w:val="21"/>
              </w:rPr>
              <w:t>Longuíssimo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Prazo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(IMA-B</w:t>
            </w:r>
            <w:r>
              <w:rPr>
                <w:spacing w:val="-8"/>
                <w:sz w:val="21"/>
              </w:rPr>
              <w:t> </w:t>
            </w:r>
            <w:r>
              <w:rPr>
                <w:spacing w:val="-5"/>
                <w:sz w:val="21"/>
              </w:rPr>
              <w:t>5+)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0"/>
              <w:rPr>
                <w:sz w:val="21"/>
              </w:rPr>
            </w:pPr>
            <w:r>
              <w:rPr>
                <w:spacing w:val="-5"/>
                <w:sz w:val="21"/>
              </w:rPr>
              <w:t>0%</w:t>
            </w:r>
          </w:p>
        </w:tc>
      </w:tr>
      <w:tr>
        <w:trPr>
          <w:trHeight w:val="441" w:hRule="atLeast"/>
        </w:trPr>
        <w:tc>
          <w:tcPr>
            <w:tcW w:w="75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5"/>
              <w:ind w:left="114"/>
              <w:rPr>
                <w:sz w:val="21"/>
              </w:rPr>
            </w:pPr>
            <w:r>
              <w:rPr>
                <w:sz w:val="21"/>
              </w:rPr>
              <w:t>Longo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Prazo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(IMA-Geral/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IMA-B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Total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FIDC/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Crédito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Privado/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Fundo</w:t>
            </w:r>
            <w:r>
              <w:rPr>
                <w:spacing w:val="-10"/>
                <w:sz w:val="21"/>
              </w:rPr>
              <w:t> </w:t>
            </w:r>
            <w:r>
              <w:rPr>
                <w:spacing w:val="-2"/>
                <w:sz w:val="21"/>
              </w:rPr>
              <w:t>Debênture)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5"/>
              <w:rPr>
                <w:sz w:val="21"/>
              </w:rPr>
            </w:pPr>
            <w:r>
              <w:rPr>
                <w:spacing w:val="-5"/>
                <w:sz w:val="21"/>
              </w:rPr>
              <w:t>10%</w:t>
            </w:r>
          </w:p>
        </w:tc>
      </w:tr>
      <w:tr>
        <w:trPr>
          <w:trHeight w:val="439" w:hRule="atLeast"/>
        </w:trPr>
        <w:tc>
          <w:tcPr>
            <w:tcW w:w="75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2"/>
              <w:ind w:left="114"/>
              <w:rPr>
                <w:sz w:val="21"/>
              </w:rPr>
            </w:pPr>
            <w:r>
              <w:rPr>
                <w:sz w:val="21"/>
              </w:rPr>
              <w:t>Gestão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-5"/>
                <w:sz w:val="21"/>
              </w:rPr>
              <w:t> </w:t>
            </w:r>
            <w:r>
              <w:rPr>
                <w:spacing w:val="-2"/>
                <w:sz w:val="21"/>
              </w:rPr>
              <w:t>Duration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2"/>
              <w:rPr>
                <w:sz w:val="21"/>
              </w:rPr>
            </w:pPr>
            <w:r>
              <w:rPr>
                <w:spacing w:val="-5"/>
                <w:sz w:val="21"/>
              </w:rPr>
              <w:t>5%</w:t>
            </w:r>
          </w:p>
        </w:tc>
      </w:tr>
      <w:tr>
        <w:trPr>
          <w:trHeight w:val="436" w:hRule="atLeast"/>
        </w:trPr>
        <w:tc>
          <w:tcPr>
            <w:tcW w:w="75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2"/>
              <w:ind w:left="114"/>
              <w:rPr>
                <w:sz w:val="21"/>
              </w:rPr>
            </w:pPr>
            <w:r>
              <w:rPr>
                <w:sz w:val="21"/>
              </w:rPr>
              <w:t>Médio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Prazo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(IMA-B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5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IDKA</w:t>
            </w:r>
            <w:r>
              <w:rPr>
                <w:spacing w:val="-5"/>
                <w:sz w:val="21"/>
              </w:rPr>
              <w:t> 2)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2"/>
              <w:rPr>
                <w:sz w:val="21"/>
              </w:rPr>
            </w:pPr>
            <w:r>
              <w:rPr>
                <w:spacing w:val="-5"/>
                <w:sz w:val="21"/>
              </w:rPr>
              <w:t>15%</w:t>
            </w:r>
          </w:p>
        </w:tc>
      </w:tr>
      <w:tr>
        <w:trPr>
          <w:trHeight w:val="434" w:hRule="atLeast"/>
        </w:trPr>
        <w:tc>
          <w:tcPr>
            <w:tcW w:w="75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0"/>
              <w:ind w:left="114"/>
              <w:rPr>
                <w:sz w:val="21"/>
              </w:rPr>
            </w:pPr>
            <w:r>
              <w:rPr>
                <w:sz w:val="21"/>
              </w:rPr>
              <w:t>Curto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Prazo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(CDI,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IRF-M</w:t>
            </w:r>
            <w:r>
              <w:rPr>
                <w:spacing w:val="-7"/>
                <w:sz w:val="21"/>
              </w:rPr>
              <w:t> </w:t>
            </w:r>
            <w:r>
              <w:rPr>
                <w:spacing w:val="-5"/>
                <w:sz w:val="21"/>
              </w:rPr>
              <w:t>1)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0"/>
              <w:rPr>
                <w:sz w:val="21"/>
              </w:rPr>
            </w:pPr>
            <w:r>
              <w:rPr>
                <w:spacing w:val="-5"/>
                <w:sz w:val="21"/>
              </w:rPr>
              <w:t>15%</w:t>
            </w:r>
          </w:p>
        </w:tc>
      </w:tr>
      <w:tr>
        <w:trPr>
          <w:trHeight w:val="435" w:hRule="atLeast"/>
        </w:trPr>
        <w:tc>
          <w:tcPr>
            <w:tcW w:w="75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0"/>
              <w:ind w:left="114"/>
              <w:rPr>
                <w:sz w:val="21"/>
              </w:rPr>
            </w:pPr>
            <w:r>
              <w:rPr>
                <w:sz w:val="21"/>
              </w:rPr>
              <w:t>Títulos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Privados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(Letra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financeira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-8"/>
                <w:sz w:val="21"/>
              </w:rPr>
              <w:t> </w:t>
            </w:r>
            <w:r>
              <w:rPr>
                <w:spacing w:val="-4"/>
                <w:sz w:val="21"/>
              </w:rPr>
              <w:t>CDB)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0"/>
              <w:rPr>
                <w:sz w:val="21"/>
              </w:rPr>
            </w:pPr>
            <w:r>
              <w:rPr>
                <w:spacing w:val="-5"/>
                <w:sz w:val="21"/>
              </w:rPr>
              <w:t>15%</w:t>
            </w:r>
          </w:p>
        </w:tc>
      </w:tr>
      <w:tr>
        <w:trPr>
          <w:trHeight w:val="436" w:hRule="atLeast"/>
        </w:trPr>
        <w:tc>
          <w:tcPr>
            <w:tcW w:w="7566" w:type="dxa"/>
            <w:tcBorders>
              <w:top w:val="nil"/>
              <w:bottom w:val="nil"/>
            </w:tcBorders>
          </w:tcPr>
          <w:p>
            <w:pPr>
              <w:pStyle w:val="TableParagraph"/>
              <w:ind w:left="11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Renda</w:t>
            </w:r>
            <w:r>
              <w:rPr>
                <w:b/>
                <w:spacing w:val="-6"/>
                <w:sz w:val="21"/>
                <w:u w:val="single"/>
              </w:rPr>
              <w:t> </w:t>
            </w:r>
            <w:r>
              <w:rPr>
                <w:b/>
                <w:spacing w:val="-2"/>
                <w:sz w:val="21"/>
                <w:u w:val="single"/>
              </w:rPr>
              <w:t>Variáve</w:t>
            </w:r>
            <w:r>
              <w:rPr>
                <w:b/>
                <w:spacing w:val="-2"/>
                <w:sz w:val="21"/>
              </w:rPr>
              <w:t>l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30%</w:t>
            </w:r>
          </w:p>
        </w:tc>
      </w:tr>
      <w:tr>
        <w:trPr>
          <w:trHeight w:val="438" w:hRule="atLeast"/>
        </w:trPr>
        <w:tc>
          <w:tcPr>
            <w:tcW w:w="7566" w:type="dxa"/>
            <w:tcBorders>
              <w:top w:val="nil"/>
              <w:bottom w:val="nil"/>
            </w:tcBorders>
          </w:tcPr>
          <w:p>
            <w:pPr>
              <w:pStyle w:val="TableParagraph"/>
              <w:ind w:left="114"/>
              <w:rPr>
                <w:sz w:val="21"/>
              </w:rPr>
            </w:pPr>
            <w:r>
              <w:rPr>
                <w:sz w:val="21"/>
              </w:rPr>
              <w:t>Fundos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8"/>
                <w:sz w:val="21"/>
              </w:rPr>
              <w:t> </w:t>
            </w:r>
            <w:r>
              <w:rPr>
                <w:spacing w:val="-2"/>
                <w:sz w:val="21"/>
              </w:rPr>
              <w:t>Ações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5"/>
                <w:sz w:val="21"/>
              </w:rPr>
              <w:t>20%</w:t>
            </w:r>
          </w:p>
        </w:tc>
      </w:tr>
      <w:tr>
        <w:trPr>
          <w:trHeight w:val="436" w:hRule="atLeast"/>
        </w:trPr>
        <w:tc>
          <w:tcPr>
            <w:tcW w:w="75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2"/>
              <w:ind w:left="114"/>
              <w:rPr>
                <w:sz w:val="21"/>
              </w:rPr>
            </w:pPr>
            <w:r>
              <w:rPr>
                <w:spacing w:val="-2"/>
                <w:sz w:val="21"/>
              </w:rPr>
              <w:t>Multimercados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2"/>
              <w:rPr>
                <w:sz w:val="21"/>
              </w:rPr>
            </w:pPr>
            <w:r>
              <w:rPr>
                <w:spacing w:val="-4"/>
                <w:sz w:val="21"/>
              </w:rPr>
              <w:t>7,5%</w:t>
            </w:r>
          </w:p>
        </w:tc>
      </w:tr>
      <w:tr>
        <w:trPr>
          <w:trHeight w:val="435" w:hRule="atLeast"/>
        </w:trPr>
        <w:tc>
          <w:tcPr>
            <w:tcW w:w="75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0"/>
              <w:ind w:left="114"/>
              <w:rPr>
                <w:sz w:val="21"/>
              </w:rPr>
            </w:pPr>
            <w:r>
              <w:rPr>
                <w:sz w:val="21"/>
              </w:rPr>
              <w:t>Fundos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Participações</w:t>
            </w:r>
            <w:r>
              <w:rPr>
                <w:spacing w:val="-7"/>
                <w:sz w:val="21"/>
              </w:rPr>
              <w:t> </w:t>
            </w:r>
            <w:r>
              <w:rPr>
                <w:spacing w:val="-10"/>
                <w:sz w:val="21"/>
              </w:rPr>
              <w:t>*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0"/>
              <w:rPr>
                <w:sz w:val="21"/>
              </w:rPr>
            </w:pPr>
            <w:r>
              <w:rPr>
                <w:spacing w:val="-5"/>
                <w:sz w:val="21"/>
              </w:rPr>
              <w:t>0%</w:t>
            </w:r>
          </w:p>
        </w:tc>
      </w:tr>
      <w:tr>
        <w:trPr>
          <w:trHeight w:val="436" w:hRule="atLeast"/>
        </w:trPr>
        <w:tc>
          <w:tcPr>
            <w:tcW w:w="7566" w:type="dxa"/>
            <w:tcBorders>
              <w:top w:val="nil"/>
              <w:bottom w:val="nil"/>
            </w:tcBorders>
          </w:tcPr>
          <w:p>
            <w:pPr>
              <w:pStyle w:val="TableParagraph"/>
              <w:ind w:left="114"/>
              <w:rPr>
                <w:sz w:val="21"/>
              </w:rPr>
            </w:pPr>
            <w:r>
              <w:rPr>
                <w:sz w:val="21"/>
              </w:rPr>
              <w:t>Fundos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Imobiliários</w:t>
            </w:r>
            <w:r>
              <w:rPr>
                <w:spacing w:val="-8"/>
                <w:sz w:val="21"/>
              </w:rPr>
              <w:t> </w:t>
            </w:r>
            <w:r>
              <w:rPr>
                <w:spacing w:val="-10"/>
                <w:sz w:val="21"/>
              </w:rPr>
              <w:t>*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2,5%</w:t>
            </w:r>
          </w:p>
        </w:tc>
      </w:tr>
      <w:tr>
        <w:trPr>
          <w:trHeight w:val="435" w:hRule="atLeast"/>
        </w:trPr>
        <w:tc>
          <w:tcPr>
            <w:tcW w:w="7566" w:type="dxa"/>
            <w:tcBorders>
              <w:top w:val="nil"/>
              <w:bottom w:val="nil"/>
            </w:tcBorders>
          </w:tcPr>
          <w:p>
            <w:pPr>
              <w:pStyle w:val="TableParagraph"/>
              <w:ind w:left="11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Investimento</w:t>
            </w:r>
            <w:r>
              <w:rPr>
                <w:b/>
                <w:spacing w:val="-8"/>
                <w:sz w:val="21"/>
                <w:u w:val="single"/>
              </w:rPr>
              <w:t> </w:t>
            </w:r>
            <w:r>
              <w:rPr>
                <w:b/>
                <w:sz w:val="21"/>
                <w:u w:val="single"/>
              </w:rPr>
              <w:t>no</w:t>
            </w:r>
            <w:r>
              <w:rPr>
                <w:b/>
                <w:spacing w:val="-7"/>
                <w:sz w:val="21"/>
                <w:u w:val="single"/>
              </w:rPr>
              <w:t> </w:t>
            </w:r>
            <w:r>
              <w:rPr>
                <w:b/>
                <w:spacing w:val="-2"/>
                <w:sz w:val="21"/>
                <w:u w:val="single"/>
              </w:rPr>
              <w:t>Exterior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10%</w:t>
            </w:r>
          </w:p>
        </w:tc>
      </w:tr>
      <w:tr>
        <w:trPr>
          <w:trHeight w:val="435" w:hRule="atLeast"/>
        </w:trPr>
        <w:tc>
          <w:tcPr>
            <w:tcW w:w="75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0"/>
              <w:ind w:left="114"/>
              <w:rPr>
                <w:sz w:val="21"/>
              </w:rPr>
            </w:pPr>
            <w:r>
              <w:rPr>
                <w:sz w:val="21"/>
              </w:rPr>
              <w:t>Fundos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Investimentos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no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Exterior</w:t>
            </w:r>
            <w:r>
              <w:rPr>
                <w:spacing w:val="-7"/>
                <w:sz w:val="21"/>
              </w:rPr>
              <w:t> </w:t>
            </w:r>
            <w:r>
              <w:rPr>
                <w:spacing w:val="-2"/>
                <w:sz w:val="21"/>
              </w:rPr>
              <w:t>(Hedge)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0"/>
              <w:rPr>
                <w:sz w:val="21"/>
              </w:rPr>
            </w:pPr>
            <w:r>
              <w:rPr>
                <w:spacing w:val="-5"/>
                <w:sz w:val="21"/>
              </w:rPr>
              <w:t>0%</w:t>
            </w:r>
          </w:p>
        </w:tc>
      </w:tr>
      <w:tr>
        <w:trPr>
          <w:trHeight w:val="508" w:hRule="atLeast"/>
        </w:trPr>
        <w:tc>
          <w:tcPr>
            <w:tcW w:w="7566" w:type="dxa"/>
            <w:tcBorders>
              <w:top w:val="nil"/>
            </w:tcBorders>
          </w:tcPr>
          <w:p>
            <w:pPr>
              <w:pStyle w:val="TableParagraph"/>
              <w:ind w:left="114"/>
              <w:rPr>
                <w:sz w:val="21"/>
              </w:rPr>
            </w:pPr>
            <w:r>
              <w:rPr>
                <w:sz w:val="21"/>
              </w:rPr>
              <w:t>Fundos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Investimentos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no</w:t>
            </w:r>
            <w:r>
              <w:rPr>
                <w:spacing w:val="-11"/>
                <w:sz w:val="21"/>
              </w:rPr>
              <w:t> </w:t>
            </w:r>
            <w:r>
              <w:rPr>
                <w:spacing w:val="-2"/>
                <w:sz w:val="21"/>
              </w:rPr>
              <w:t>Exterior</w:t>
            </w:r>
          </w:p>
        </w:tc>
        <w:tc>
          <w:tcPr>
            <w:tcW w:w="1123" w:type="dxa"/>
            <w:tcBorders>
              <w:top w:val="nil"/>
            </w:tcBorders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5"/>
                <w:sz w:val="21"/>
              </w:rPr>
              <w:t>10%</w:t>
            </w:r>
          </w:p>
        </w:tc>
      </w:tr>
    </w:tbl>
    <w:p>
      <w:pPr>
        <w:spacing w:line="261" w:lineRule="auto" w:before="9"/>
        <w:ind w:left="143" w:right="1335" w:firstLine="0"/>
        <w:jc w:val="left"/>
        <w:rPr>
          <w:sz w:val="20"/>
        </w:rPr>
      </w:pPr>
      <w:r>
        <w:rPr>
          <w:sz w:val="20"/>
        </w:rPr>
        <w:t>*</w:t>
      </w:r>
      <w:r>
        <w:rPr>
          <w:spacing w:val="-4"/>
          <w:sz w:val="20"/>
        </w:rPr>
        <w:t> </w:t>
      </w:r>
      <w:r>
        <w:rPr>
          <w:sz w:val="20"/>
        </w:rPr>
        <w:t>Aos</w:t>
      </w:r>
      <w:r>
        <w:rPr>
          <w:spacing w:val="-1"/>
          <w:sz w:val="20"/>
        </w:rPr>
        <w:t> </w:t>
      </w:r>
      <w:r>
        <w:rPr>
          <w:sz w:val="20"/>
        </w:rPr>
        <w:t>clientes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6"/>
          <w:sz w:val="20"/>
        </w:rPr>
        <w:t> </w:t>
      </w:r>
      <w:r>
        <w:rPr>
          <w:sz w:val="20"/>
        </w:rPr>
        <w:t>investem</w:t>
      </w:r>
      <w:r>
        <w:rPr>
          <w:spacing w:val="-2"/>
          <w:sz w:val="20"/>
        </w:rPr>
        <w:t> </w:t>
      </w:r>
      <w:r>
        <w:rPr>
          <w:sz w:val="20"/>
        </w:rPr>
        <w:t>em</w:t>
      </w:r>
      <w:r>
        <w:rPr>
          <w:spacing w:val="-4"/>
          <w:sz w:val="20"/>
        </w:rPr>
        <w:t> </w:t>
      </w:r>
      <w:r>
        <w:rPr>
          <w:sz w:val="20"/>
        </w:rPr>
        <w:t>Fundos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Participações e</w:t>
      </w:r>
      <w:r>
        <w:rPr>
          <w:spacing w:val="-4"/>
          <w:sz w:val="20"/>
        </w:rPr>
        <w:t> </w:t>
      </w:r>
      <w:r>
        <w:rPr>
          <w:sz w:val="20"/>
        </w:rPr>
        <w:t>Fundos</w:t>
      </w:r>
      <w:r>
        <w:rPr>
          <w:spacing w:val="-1"/>
          <w:sz w:val="20"/>
        </w:rPr>
        <w:t> </w:t>
      </w:r>
      <w:r>
        <w:rPr>
          <w:sz w:val="20"/>
        </w:rPr>
        <w:t>Imobiliários em</w:t>
      </w:r>
      <w:r>
        <w:rPr>
          <w:spacing w:val="-4"/>
          <w:sz w:val="20"/>
        </w:rPr>
        <w:t> </w:t>
      </w:r>
      <w:r>
        <w:rPr>
          <w:sz w:val="20"/>
        </w:rPr>
        <w:t>percentual</w:t>
      </w:r>
      <w:r>
        <w:rPr>
          <w:spacing w:val="-2"/>
          <w:sz w:val="20"/>
        </w:rPr>
        <w:t> </w:t>
      </w:r>
      <w:r>
        <w:rPr>
          <w:sz w:val="20"/>
        </w:rPr>
        <w:t>superior</w:t>
      </w:r>
      <w:r>
        <w:rPr>
          <w:spacing w:val="-6"/>
          <w:sz w:val="20"/>
        </w:rPr>
        <w:t> </w:t>
      </w:r>
      <w:r>
        <w:rPr>
          <w:sz w:val="20"/>
        </w:rPr>
        <w:t>a 2,5% em cada, reduzir a exposição aos Fundos de Ações na proporção desse excesso</w:t>
      </w:r>
    </w:p>
    <w:p>
      <w:pPr>
        <w:spacing w:after="0" w:line="261" w:lineRule="auto"/>
        <w:jc w:val="left"/>
        <w:rPr>
          <w:sz w:val="20"/>
        </w:rPr>
        <w:sectPr>
          <w:pgSz w:w="11920" w:h="16850"/>
          <w:pgMar w:top="1320" w:bottom="280" w:left="1559" w:right="141"/>
        </w:sectPr>
      </w:pPr>
    </w:p>
    <w:p>
      <w:pPr>
        <w:pStyle w:val="BodyText"/>
        <w:spacing w:before="38"/>
        <w:ind w:right="1211"/>
        <w:jc w:val="center"/>
      </w:pPr>
      <w:r>
        <w:rPr>
          <w:color w:val="0D0E0E"/>
        </w:rPr>
        <w:t>PRÓ</w:t>
      </w:r>
      <w:r>
        <w:rPr>
          <w:color w:val="0D0E0E"/>
          <w:spacing w:val="-10"/>
        </w:rPr>
        <w:t> </w:t>
      </w:r>
      <w:r>
        <w:rPr>
          <w:color w:val="0D0E0E"/>
        </w:rPr>
        <w:t>GESTÃO</w:t>
      </w:r>
      <w:r>
        <w:rPr>
          <w:color w:val="0D0E0E"/>
          <w:spacing w:val="-4"/>
        </w:rPr>
        <w:t> </w:t>
      </w:r>
      <w:r>
        <w:rPr>
          <w:color w:val="0D0E0E"/>
        </w:rPr>
        <w:t>NÍVEL</w:t>
      </w:r>
      <w:r>
        <w:rPr>
          <w:color w:val="0D0E0E"/>
          <w:spacing w:val="-6"/>
        </w:rPr>
        <w:t> </w:t>
      </w:r>
      <w:r>
        <w:rPr>
          <w:color w:val="0D0E0E"/>
          <w:spacing w:val="-10"/>
        </w:rPr>
        <w:t>1</w:t>
      </w:r>
    </w:p>
    <w:p>
      <w:pPr>
        <w:pStyle w:val="BodyText"/>
        <w:spacing w:before="169"/>
        <w:rPr>
          <w:sz w:val="20"/>
        </w:rPr>
      </w:pPr>
    </w:p>
    <w:tbl>
      <w:tblPr>
        <w:tblW w:w="0" w:type="auto"/>
        <w:jc w:val="left"/>
        <w:tblInd w:w="1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66"/>
        <w:gridCol w:w="1123"/>
      </w:tblGrid>
      <w:tr>
        <w:trPr>
          <w:trHeight w:val="448" w:hRule="atLeast"/>
        </w:trPr>
        <w:tc>
          <w:tcPr>
            <w:tcW w:w="8689" w:type="dxa"/>
            <w:gridSpan w:val="2"/>
          </w:tcPr>
          <w:p>
            <w:pPr>
              <w:pStyle w:val="TableParagraph"/>
              <w:spacing w:before="11"/>
              <w:ind w:left="458"/>
              <w:rPr>
                <w:sz w:val="21"/>
              </w:rPr>
            </w:pPr>
            <w:r>
              <w:rPr>
                <w:sz w:val="21"/>
              </w:rPr>
              <w:t>Estratégia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Alocação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dos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Recursos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no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Longo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Prazo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–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Renda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Fixa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-4"/>
                <w:sz w:val="21"/>
              </w:rPr>
              <w:t> </w:t>
            </w:r>
            <w:r>
              <w:rPr>
                <w:spacing w:val="-2"/>
                <w:sz w:val="21"/>
              </w:rPr>
              <w:t>Variável</w:t>
            </w:r>
          </w:p>
        </w:tc>
      </w:tr>
      <w:tr>
        <w:trPr>
          <w:trHeight w:val="386" w:hRule="atLeast"/>
        </w:trPr>
        <w:tc>
          <w:tcPr>
            <w:tcW w:w="7566" w:type="dxa"/>
            <w:tcBorders>
              <w:bottom w:val="nil"/>
            </w:tcBorders>
          </w:tcPr>
          <w:p>
            <w:pPr>
              <w:pStyle w:val="TableParagraph"/>
              <w:spacing w:before="11"/>
              <w:ind w:left="11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Renda</w:t>
            </w:r>
            <w:r>
              <w:rPr>
                <w:b/>
                <w:spacing w:val="-6"/>
                <w:sz w:val="21"/>
                <w:u w:val="single"/>
              </w:rPr>
              <w:t> </w:t>
            </w:r>
            <w:r>
              <w:rPr>
                <w:b/>
                <w:spacing w:val="-4"/>
                <w:sz w:val="21"/>
                <w:u w:val="single"/>
              </w:rPr>
              <w:t>Fixa</w:t>
            </w:r>
          </w:p>
        </w:tc>
        <w:tc>
          <w:tcPr>
            <w:tcW w:w="1123" w:type="dxa"/>
            <w:tcBorders>
              <w:bottom w:val="nil"/>
            </w:tcBorders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55%</w:t>
            </w:r>
          </w:p>
        </w:tc>
      </w:tr>
      <w:tr>
        <w:trPr>
          <w:trHeight w:val="450" w:hRule="atLeast"/>
        </w:trPr>
        <w:tc>
          <w:tcPr>
            <w:tcW w:w="75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1"/>
              <w:ind w:left="114"/>
              <w:rPr>
                <w:sz w:val="21"/>
              </w:rPr>
            </w:pPr>
            <w:r>
              <w:rPr>
                <w:sz w:val="21"/>
              </w:rPr>
              <w:t>Longuíssimo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Prazo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(IMA-B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5+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IDKA</w:t>
            </w:r>
            <w:r>
              <w:rPr>
                <w:spacing w:val="-9"/>
                <w:sz w:val="21"/>
              </w:rPr>
              <w:t> </w:t>
            </w:r>
            <w:r>
              <w:rPr>
                <w:spacing w:val="-4"/>
                <w:sz w:val="21"/>
              </w:rPr>
              <w:t>20A)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1"/>
              <w:rPr>
                <w:sz w:val="21"/>
              </w:rPr>
            </w:pPr>
            <w:r>
              <w:rPr>
                <w:spacing w:val="-5"/>
                <w:sz w:val="21"/>
              </w:rPr>
              <w:t>0%</w:t>
            </w:r>
          </w:p>
        </w:tc>
      </w:tr>
      <w:tr>
        <w:trPr>
          <w:trHeight w:val="447" w:hRule="atLeast"/>
        </w:trPr>
        <w:tc>
          <w:tcPr>
            <w:tcW w:w="75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5"/>
              <w:ind w:left="114"/>
              <w:rPr>
                <w:sz w:val="21"/>
              </w:rPr>
            </w:pPr>
            <w:r>
              <w:rPr>
                <w:sz w:val="21"/>
              </w:rPr>
              <w:t>Longo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Prazo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(IMA-Geral/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IMA-B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Total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FIDC/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Crédito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Privado/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Fundo</w:t>
            </w:r>
            <w:r>
              <w:rPr>
                <w:spacing w:val="-10"/>
                <w:sz w:val="21"/>
              </w:rPr>
              <w:t> </w:t>
            </w:r>
            <w:r>
              <w:rPr>
                <w:spacing w:val="-2"/>
                <w:sz w:val="21"/>
              </w:rPr>
              <w:t>Debênture)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5"/>
              <w:rPr>
                <w:sz w:val="21"/>
              </w:rPr>
            </w:pPr>
            <w:r>
              <w:rPr>
                <w:spacing w:val="-5"/>
                <w:sz w:val="21"/>
              </w:rPr>
              <w:t>10%</w:t>
            </w:r>
          </w:p>
        </w:tc>
      </w:tr>
      <w:tr>
        <w:trPr>
          <w:trHeight w:val="445" w:hRule="atLeast"/>
        </w:trPr>
        <w:tc>
          <w:tcPr>
            <w:tcW w:w="75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8"/>
              <w:ind w:left="114"/>
              <w:rPr>
                <w:sz w:val="21"/>
              </w:rPr>
            </w:pPr>
            <w:r>
              <w:rPr>
                <w:sz w:val="21"/>
              </w:rPr>
              <w:t>Gestão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-5"/>
                <w:sz w:val="21"/>
              </w:rPr>
              <w:t> </w:t>
            </w:r>
            <w:r>
              <w:rPr>
                <w:spacing w:val="-2"/>
                <w:sz w:val="21"/>
              </w:rPr>
              <w:t>Duration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5"/>
                <w:sz w:val="21"/>
              </w:rPr>
              <w:t>5%</w:t>
            </w:r>
          </w:p>
        </w:tc>
      </w:tr>
      <w:tr>
        <w:trPr>
          <w:trHeight w:val="437" w:hRule="atLeast"/>
        </w:trPr>
        <w:tc>
          <w:tcPr>
            <w:tcW w:w="75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2"/>
              <w:ind w:left="114"/>
              <w:rPr>
                <w:sz w:val="21"/>
              </w:rPr>
            </w:pPr>
            <w:r>
              <w:rPr>
                <w:sz w:val="21"/>
              </w:rPr>
              <w:t>Médio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Prazo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(IMA-B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5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IDKA</w:t>
            </w:r>
            <w:r>
              <w:rPr>
                <w:spacing w:val="-5"/>
                <w:sz w:val="21"/>
              </w:rPr>
              <w:t> 2)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2"/>
              <w:rPr>
                <w:sz w:val="21"/>
              </w:rPr>
            </w:pPr>
            <w:r>
              <w:rPr>
                <w:spacing w:val="-5"/>
                <w:sz w:val="21"/>
              </w:rPr>
              <w:t>15%</w:t>
            </w:r>
          </w:p>
        </w:tc>
      </w:tr>
      <w:tr>
        <w:trPr>
          <w:trHeight w:val="435" w:hRule="atLeast"/>
        </w:trPr>
        <w:tc>
          <w:tcPr>
            <w:tcW w:w="75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0"/>
              <w:ind w:left="114"/>
              <w:rPr>
                <w:sz w:val="21"/>
              </w:rPr>
            </w:pPr>
            <w:r>
              <w:rPr>
                <w:sz w:val="21"/>
              </w:rPr>
              <w:t>Curto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Prazo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(CDI,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IRF-M</w:t>
            </w:r>
            <w:r>
              <w:rPr>
                <w:spacing w:val="-7"/>
                <w:sz w:val="21"/>
              </w:rPr>
              <w:t> </w:t>
            </w:r>
            <w:r>
              <w:rPr>
                <w:spacing w:val="-5"/>
                <w:sz w:val="21"/>
              </w:rPr>
              <w:t>1)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0"/>
              <w:rPr>
                <w:sz w:val="21"/>
              </w:rPr>
            </w:pPr>
            <w:r>
              <w:rPr>
                <w:spacing w:val="-5"/>
                <w:sz w:val="21"/>
              </w:rPr>
              <w:t>10%</w:t>
            </w:r>
          </w:p>
        </w:tc>
      </w:tr>
      <w:tr>
        <w:trPr>
          <w:trHeight w:val="440" w:hRule="atLeast"/>
        </w:trPr>
        <w:tc>
          <w:tcPr>
            <w:tcW w:w="7566" w:type="dxa"/>
            <w:tcBorders>
              <w:top w:val="nil"/>
              <w:bottom w:val="nil"/>
            </w:tcBorders>
          </w:tcPr>
          <w:p>
            <w:pPr>
              <w:pStyle w:val="TableParagraph"/>
              <w:ind w:left="114"/>
              <w:rPr>
                <w:sz w:val="21"/>
              </w:rPr>
            </w:pPr>
            <w:r>
              <w:rPr>
                <w:sz w:val="21"/>
              </w:rPr>
              <w:t>Títulos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Privados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(Letra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financeira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-8"/>
                <w:sz w:val="21"/>
              </w:rPr>
              <w:t> </w:t>
            </w:r>
            <w:r>
              <w:rPr>
                <w:spacing w:val="-4"/>
                <w:sz w:val="21"/>
              </w:rPr>
              <w:t>CDB)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5"/>
                <w:sz w:val="21"/>
              </w:rPr>
              <w:t>15%</w:t>
            </w:r>
          </w:p>
        </w:tc>
      </w:tr>
      <w:tr>
        <w:trPr>
          <w:trHeight w:val="446" w:hRule="atLeast"/>
        </w:trPr>
        <w:tc>
          <w:tcPr>
            <w:tcW w:w="75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5"/>
              <w:ind w:left="11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Renda</w:t>
            </w:r>
            <w:r>
              <w:rPr>
                <w:b/>
                <w:spacing w:val="-6"/>
                <w:sz w:val="21"/>
                <w:u w:val="single"/>
              </w:rPr>
              <w:t> </w:t>
            </w:r>
            <w:r>
              <w:rPr>
                <w:b/>
                <w:spacing w:val="-2"/>
                <w:sz w:val="21"/>
                <w:u w:val="single"/>
              </w:rPr>
              <w:t>Variáve</w:t>
            </w:r>
            <w:r>
              <w:rPr>
                <w:b/>
                <w:spacing w:val="-2"/>
                <w:sz w:val="21"/>
              </w:rPr>
              <w:t>l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35%</w:t>
            </w:r>
          </w:p>
        </w:tc>
      </w:tr>
      <w:tr>
        <w:trPr>
          <w:trHeight w:val="450" w:hRule="atLeast"/>
        </w:trPr>
        <w:tc>
          <w:tcPr>
            <w:tcW w:w="75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7"/>
              <w:ind w:left="114"/>
              <w:rPr>
                <w:sz w:val="21"/>
              </w:rPr>
            </w:pPr>
            <w:r>
              <w:rPr>
                <w:sz w:val="21"/>
              </w:rPr>
              <w:t>Fundos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8"/>
                <w:sz w:val="21"/>
              </w:rPr>
              <w:t> </w:t>
            </w:r>
            <w:r>
              <w:rPr>
                <w:spacing w:val="-2"/>
                <w:sz w:val="21"/>
              </w:rPr>
              <w:t>Ações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7"/>
              <w:rPr>
                <w:sz w:val="21"/>
              </w:rPr>
            </w:pPr>
            <w:r>
              <w:rPr>
                <w:spacing w:val="-5"/>
                <w:sz w:val="21"/>
              </w:rPr>
              <w:t>25%</w:t>
            </w:r>
          </w:p>
        </w:tc>
      </w:tr>
      <w:tr>
        <w:trPr>
          <w:trHeight w:val="450" w:hRule="atLeast"/>
        </w:trPr>
        <w:tc>
          <w:tcPr>
            <w:tcW w:w="75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8"/>
              <w:ind w:left="114"/>
              <w:rPr>
                <w:sz w:val="21"/>
              </w:rPr>
            </w:pPr>
            <w:r>
              <w:rPr>
                <w:spacing w:val="-2"/>
                <w:sz w:val="21"/>
              </w:rPr>
              <w:t>Multimercados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5"/>
                <w:sz w:val="21"/>
              </w:rPr>
              <w:t>5%</w:t>
            </w:r>
          </w:p>
        </w:tc>
      </w:tr>
      <w:tr>
        <w:trPr>
          <w:trHeight w:val="450" w:hRule="atLeast"/>
        </w:trPr>
        <w:tc>
          <w:tcPr>
            <w:tcW w:w="75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7"/>
              <w:ind w:left="114"/>
              <w:rPr>
                <w:sz w:val="21"/>
              </w:rPr>
            </w:pPr>
            <w:r>
              <w:rPr>
                <w:sz w:val="21"/>
              </w:rPr>
              <w:t>Fundos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Participações</w:t>
            </w:r>
            <w:r>
              <w:rPr>
                <w:spacing w:val="-7"/>
                <w:sz w:val="21"/>
              </w:rPr>
              <w:t> </w:t>
            </w:r>
            <w:r>
              <w:rPr>
                <w:spacing w:val="-10"/>
                <w:sz w:val="21"/>
              </w:rPr>
              <w:t>*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7"/>
              <w:rPr>
                <w:sz w:val="21"/>
              </w:rPr>
            </w:pPr>
            <w:r>
              <w:rPr>
                <w:spacing w:val="-4"/>
                <w:sz w:val="21"/>
              </w:rPr>
              <w:t>2,5%</w:t>
            </w:r>
          </w:p>
        </w:tc>
      </w:tr>
      <w:tr>
        <w:trPr>
          <w:trHeight w:val="445" w:hRule="atLeast"/>
        </w:trPr>
        <w:tc>
          <w:tcPr>
            <w:tcW w:w="75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8"/>
              <w:ind w:left="114"/>
              <w:rPr>
                <w:sz w:val="21"/>
              </w:rPr>
            </w:pPr>
            <w:r>
              <w:rPr>
                <w:sz w:val="21"/>
              </w:rPr>
              <w:t>Fundos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Imobiliários</w:t>
            </w:r>
            <w:r>
              <w:rPr>
                <w:spacing w:val="-8"/>
                <w:sz w:val="21"/>
              </w:rPr>
              <w:t> </w:t>
            </w:r>
            <w:r>
              <w:rPr>
                <w:spacing w:val="-10"/>
                <w:sz w:val="21"/>
              </w:rPr>
              <w:t>*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4"/>
                <w:sz w:val="21"/>
              </w:rPr>
              <w:t>2,5%</w:t>
            </w:r>
          </w:p>
        </w:tc>
      </w:tr>
      <w:tr>
        <w:trPr>
          <w:trHeight w:val="438" w:hRule="atLeast"/>
        </w:trPr>
        <w:tc>
          <w:tcPr>
            <w:tcW w:w="75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2"/>
              <w:ind w:left="11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Investimento</w:t>
            </w:r>
            <w:r>
              <w:rPr>
                <w:b/>
                <w:spacing w:val="-8"/>
                <w:sz w:val="21"/>
                <w:u w:val="single"/>
              </w:rPr>
              <w:t> </w:t>
            </w:r>
            <w:r>
              <w:rPr>
                <w:b/>
                <w:sz w:val="21"/>
                <w:u w:val="single"/>
              </w:rPr>
              <w:t>no</w:t>
            </w:r>
            <w:r>
              <w:rPr>
                <w:b/>
                <w:spacing w:val="-7"/>
                <w:sz w:val="21"/>
                <w:u w:val="single"/>
              </w:rPr>
              <w:t> </w:t>
            </w:r>
            <w:r>
              <w:rPr>
                <w:b/>
                <w:spacing w:val="-2"/>
                <w:sz w:val="21"/>
                <w:u w:val="single"/>
              </w:rPr>
              <w:t>Exterior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2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10%</w:t>
            </w:r>
          </w:p>
        </w:tc>
      </w:tr>
      <w:tr>
        <w:trPr>
          <w:trHeight w:val="438" w:hRule="atLeast"/>
        </w:trPr>
        <w:tc>
          <w:tcPr>
            <w:tcW w:w="7566" w:type="dxa"/>
            <w:tcBorders>
              <w:top w:val="nil"/>
              <w:bottom w:val="nil"/>
            </w:tcBorders>
          </w:tcPr>
          <w:p>
            <w:pPr>
              <w:pStyle w:val="TableParagraph"/>
              <w:ind w:left="114"/>
              <w:rPr>
                <w:sz w:val="21"/>
              </w:rPr>
            </w:pPr>
            <w:r>
              <w:rPr>
                <w:sz w:val="21"/>
              </w:rPr>
              <w:t>Fundos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Investimentos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no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Exterior</w:t>
            </w:r>
            <w:r>
              <w:rPr>
                <w:spacing w:val="-7"/>
                <w:sz w:val="21"/>
              </w:rPr>
              <w:t> </w:t>
            </w:r>
            <w:r>
              <w:rPr>
                <w:spacing w:val="-2"/>
                <w:sz w:val="21"/>
              </w:rPr>
              <w:t>(Hedge)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5"/>
                <w:sz w:val="21"/>
              </w:rPr>
              <w:t>5%</w:t>
            </w:r>
          </w:p>
        </w:tc>
      </w:tr>
      <w:tr>
        <w:trPr>
          <w:trHeight w:val="509" w:hRule="atLeast"/>
        </w:trPr>
        <w:tc>
          <w:tcPr>
            <w:tcW w:w="7566" w:type="dxa"/>
            <w:tcBorders>
              <w:top w:val="nil"/>
            </w:tcBorders>
          </w:tcPr>
          <w:p>
            <w:pPr>
              <w:pStyle w:val="TableParagraph"/>
              <w:spacing w:before="72"/>
              <w:ind w:left="114"/>
              <w:rPr>
                <w:sz w:val="21"/>
              </w:rPr>
            </w:pPr>
            <w:r>
              <w:rPr>
                <w:sz w:val="21"/>
              </w:rPr>
              <w:t>Fundos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Investimentos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no</w:t>
            </w:r>
            <w:r>
              <w:rPr>
                <w:spacing w:val="-11"/>
                <w:sz w:val="21"/>
              </w:rPr>
              <w:t> </w:t>
            </w:r>
            <w:r>
              <w:rPr>
                <w:spacing w:val="-2"/>
                <w:sz w:val="21"/>
              </w:rPr>
              <w:t>Exterior</w:t>
            </w:r>
          </w:p>
        </w:tc>
        <w:tc>
          <w:tcPr>
            <w:tcW w:w="1123" w:type="dxa"/>
            <w:tcBorders>
              <w:top w:val="nil"/>
            </w:tcBorders>
          </w:tcPr>
          <w:p>
            <w:pPr>
              <w:pStyle w:val="TableParagraph"/>
              <w:spacing w:before="72"/>
              <w:rPr>
                <w:sz w:val="21"/>
              </w:rPr>
            </w:pPr>
            <w:r>
              <w:rPr>
                <w:spacing w:val="-5"/>
                <w:sz w:val="21"/>
              </w:rPr>
              <w:t>5%</w:t>
            </w:r>
          </w:p>
        </w:tc>
      </w:tr>
    </w:tbl>
    <w:p>
      <w:pPr>
        <w:spacing w:line="256" w:lineRule="auto" w:before="5"/>
        <w:ind w:left="143" w:right="1335" w:firstLine="0"/>
        <w:jc w:val="left"/>
        <w:rPr>
          <w:sz w:val="20"/>
        </w:rPr>
      </w:pPr>
      <w:r>
        <w:rPr>
          <w:sz w:val="20"/>
        </w:rPr>
        <w:t>*</w:t>
      </w:r>
      <w:r>
        <w:rPr>
          <w:spacing w:val="-4"/>
          <w:sz w:val="20"/>
        </w:rPr>
        <w:t> </w:t>
      </w:r>
      <w:r>
        <w:rPr>
          <w:sz w:val="20"/>
        </w:rPr>
        <w:t>Aos</w:t>
      </w:r>
      <w:r>
        <w:rPr>
          <w:spacing w:val="-4"/>
          <w:sz w:val="20"/>
        </w:rPr>
        <w:t> </w:t>
      </w:r>
      <w:r>
        <w:rPr>
          <w:sz w:val="20"/>
        </w:rPr>
        <w:t>clientes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9"/>
          <w:sz w:val="20"/>
        </w:rPr>
        <w:t> </w:t>
      </w:r>
      <w:r>
        <w:rPr>
          <w:sz w:val="20"/>
        </w:rPr>
        <w:t>investem</w:t>
      </w:r>
      <w:r>
        <w:rPr>
          <w:spacing w:val="-8"/>
          <w:sz w:val="20"/>
        </w:rPr>
        <w:t> </w:t>
      </w:r>
      <w:r>
        <w:rPr>
          <w:sz w:val="20"/>
        </w:rPr>
        <w:t>em</w:t>
      </w:r>
      <w:r>
        <w:rPr>
          <w:spacing w:val="-6"/>
          <w:sz w:val="20"/>
        </w:rPr>
        <w:t> </w:t>
      </w:r>
      <w:r>
        <w:rPr>
          <w:sz w:val="20"/>
        </w:rPr>
        <w:t>Fundos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Participações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9"/>
          <w:sz w:val="20"/>
        </w:rPr>
        <w:t> </w:t>
      </w:r>
      <w:r>
        <w:rPr>
          <w:sz w:val="20"/>
        </w:rPr>
        <w:t>Fundos</w:t>
      </w:r>
      <w:r>
        <w:rPr>
          <w:spacing w:val="-3"/>
          <w:sz w:val="20"/>
        </w:rPr>
        <w:t> </w:t>
      </w:r>
      <w:r>
        <w:rPr>
          <w:sz w:val="20"/>
        </w:rPr>
        <w:t>Imobiliários</w:t>
      </w:r>
      <w:r>
        <w:rPr>
          <w:spacing w:val="-2"/>
          <w:sz w:val="20"/>
        </w:rPr>
        <w:t> </w:t>
      </w:r>
      <w:r>
        <w:rPr>
          <w:sz w:val="20"/>
        </w:rPr>
        <w:t>em</w:t>
      </w:r>
      <w:r>
        <w:rPr>
          <w:spacing w:val="-6"/>
          <w:sz w:val="20"/>
        </w:rPr>
        <w:t> </w:t>
      </w:r>
      <w:r>
        <w:rPr>
          <w:sz w:val="20"/>
        </w:rPr>
        <w:t>percentual</w:t>
      </w:r>
      <w:r>
        <w:rPr>
          <w:spacing w:val="-4"/>
          <w:sz w:val="20"/>
        </w:rPr>
        <w:t> </w:t>
      </w:r>
      <w:r>
        <w:rPr>
          <w:sz w:val="20"/>
        </w:rPr>
        <w:t>superior</w:t>
      </w:r>
      <w:r>
        <w:rPr>
          <w:spacing w:val="-9"/>
          <w:sz w:val="20"/>
        </w:rPr>
        <w:t> </w:t>
      </w:r>
      <w:r>
        <w:rPr>
          <w:sz w:val="20"/>
        </w:rPr>
        <w:t>a 2,5% em cada, reduzir a exposição aos Fundos de Ações na proporção desse excesso.</w:t>
      </w:r>
    </w:p>
    <w:p>
      <w:pPr>
        <w:spacing w:after="0" w:line="256" w:lineRule="auto"/>
        <w:jc w:val="left"/>
        <w:rPr>
          <w:sz w:val="20"/>
        </w:rPr>
        <w:sectPr>
          <w:pgSz w:w="11920" w:h="16850"/>
          <w:pgMar w:top="1660" w:bottom="280" w:left="1559" w:right="141"/>
        </w:sectPr>
      </w:pPr>
    </w:p>
    <w:p>
      <w:pPr>
        <w:pStyle w:val="BodyText"/>
        <w:spacing w:before="27"/>
        <w:ind w:right="1211"/>
        <w:jc w:val="center"/>
      </w:pPr>
      <w:r>
        <w:rPr>
          <w:color w:val="0D0E0E"/>
        </w:rPr>
        <w:t>PRÓ</w:t>
      </w:r>
      <w:r>
        <w:rPr>
          <w:color w:val="0D0E0E"/>
          <w:spacing w:val="-10"/>
        </w:rPr>
        <w:t> </w:t>
      </w:r>
      <w:r>
        <w:rPr>
          <w:color w:val="0D0E0E"/>
        </w:rPr>
        <w:t>GESTÃO</w:t>
      </w:r>
      <w:r>
        <w:rPr>
          <w:color w:val="0D0E0E"/>
          <w:spacing w:val="-4"/>
        </w:rPr>
        <w:t> </w:t>
      </w:r>
      <w:r>
        <w:rPr>
          <w:color w:val="0D0E0E"/>
        </w:rPr>
        <w:t>NÍVEL</w:t>
      </w:r>
      <w:r>
        <w:rPr>
          <w:color w:val="0D0E0E"/>
          <w:spacing w:val="-6"/>
        </w:rPr>
        <w:t> </w:t>
      </w:r>
      <w:r>
        <w:rPr>
          <w:color w:val="0D0E0E"/>
          <w:spacing w:val="-10"/>
        </w:rPr>
        <w:t>2</w:t>
      </w:r>
    </w:p>
    <w:p>
      <w:pPr>
        <w:pStyle w:val="BodyText"/>
        <w:spacing w:before="166"/>
        <w:rPr>
          <w:sz w:val="20"/>
        </w:rPr>
      </w:pPr>
    </w:p>
    <w:tbl>
      <w:tblPr>
        <w:tblW w:w="0" w:type="auto"/>
        <w:jc w:val="left"/>
        <w:tblInd w:w="1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66"/>
        <w:gridCol w:w="1123"/>
      </w:tblGrid>
      <w:tr>
        <w:trPr>
          <w:trHeight w:val="448" w:hRule="atLeast"/>
        </w:trPr>
        <w:tc>
          <w:tcPr>
            <w:tcW w:w="8689" w:type="dxa"/>
            <w:gridSpan w:val="2"/>
          </w:tcPr>
          <w:p>
            <w:pPr>
              <w:pStyle w:val="TableParagraph"/>
              <w:spacing w:before="11"/>
              <w:ind w:left="450"/>
              <w:rPr>
                <w:sz w:val="21"/>
              </w:rPr>
            </w:pPr>
            <w:r>
              <w:rPr>
                <w:sz w:val="21"/>
              </w:rPr>
              <w:t>Estratégia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Alocação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dos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Recursos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no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Longo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Prazo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–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Renda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Fixa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-7"/>
                <w:sz w:val="21"/>
              </w:rPr>
              <w:t> </w:t>
            </w:r>
            <w:r>
              <w:rPr>
                <w:spacing w:val="-2"/>
                <w:sz w:val="21"/>
              </w:rPr>
              <w:t>Variável</w:t>
            </w:r>
          </w:p>
        </w:tc>
      </w:tr>
      <w:tr>
        <w:trPr>
          <w:trHeight w:val="387" w:hRule="atLeast"/>
        </w:trPr>
        <w:tc>
          <w:tcPr>
            <w:tcW w:w="7566" w:type="dxa"/>
            <w:tcBorders>
              <w:bottom w:val="nil"/>
            </w:tcBorders>
          </w:tcPr>
          <w:p>
            <w:pPr>
              <w:pStyle w:val="TableParagraph"/>
              <w:spacing w:before="13"/>
              <w:ind w:left="11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Renda</w:t>
            </w:r>
            <w:r>
              <w:rPr>
                <w:b/>
                <w:spacing w:val="-6"/>
                <w:sz w:val="21"/>
                <w:u w:val="single"/>
              </w:rPr>
              <w:t> </w:t>
            </w:r>
            <w:r>
              <w:rPr>
                <w:b/>
                <w:spacing w:val="-4"/>
                <w:sz w:val="21"/>
                <w:u w:val="single"/>
              </w:rPr>
              <w:t>Fixa</w:t>
            </w:r>
          </w:p>
        </w:tc>
        <w:tc>
          <w:tcPr>
            <w:tcW w:w="1123" w:type="dxa"/>
            <w:tcBorders>
              <w:bottom w:val="nil"/>
            </w:tcBorders>
          </w:tcPr>
          <w:p>
            <w:pPr>
              <w:pStyle w:val="TableParagraph"/>
              <w:spacing w:before="13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50%</w:t>
            </w:r>
          </w:p>
        </w:tc>
      </w:tr>
      <w:tr>
        <w:trPr>
          <w:trHeight w:val="457" w:hRule="atLeast"/>
        </w:trPr>
        <w:tc>
          <w:tcPr>
            <w:tcW w:w="75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9"/>
              <w:ind w:left="114"/>
              <w:rPr>
                <w:sz w:val="21"/>
              </w:rPr>
            </w:pPr>
            <w:r>
              <w:rPr>
                <w:sz w:val="21"/>
              </w:rPr>
              <w:t>Longuíssimo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Prazo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(IMA-B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5+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IDKA</w:t>
            </w:r>
            <w:r>
              <w:rPr>
                <w:spacing w:val="-9"/>
                <w:sz w:val="21"/>
              </w:rPr>
              <w:t> </w:t>
            </w:r>
            <w:r>
              <w:rPr>
                <w:spacing w:val="-4"/>
                <w:sz w:val="21"/>
              </w:rPr>
              <w:t>20A)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7"/>
              <w:rPr>
                <w:sz w:val="22"/>
              </w:rPr>
            </w:pPr>
            <w:r>
              <w:rPr>
                <w:spacing w:val="-5"/>
                <w:sz w:val="22"/>
              </w:rPr>
              <w:t>0%</w:t>
            </w:r>
          </w:p>
        </w:tc>
      </w:tr>
      <w:tr>
        <w:trPr>
          <w:trHeight w:val="450" w:hRule="atLeast"/>
        </w:trPr>
        <w:tc>
          <w:tcPr>
            <w:tcW w:w="75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1"/>
              <w:ind w:left="114"/>
              <w:rPr>
                <w:sz w:val="21"/>
              </w:rPr>
            </w:pPr>
            <w:r>
              <w:rPr>
                <w:sz w:val="21"/>
              </w:rPr>
              <w:t>Longo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Prazo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(IMA-Geral/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IMA-B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Total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FIDC/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Crédito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Privado/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Fundo</w:t>
            </w:r>
            <w:r>
              <w:rPr>
                <w:spacing w:val="-10"/>
                <w:sz w:val="21"/>
              </w:rPr>
              <w:t> </w:t>
            </w:r>
            <w:r>
              <w:rPr>
                <w:spacing w:val="-2"/>
                <w:sz w:val="21"/>
              </w:rPr>
              <w:t>Debênture)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10%</w:t>
            </w:r>
          </w:p>
        </w:tc>
      </w:tr>
      <w:tr>
        <w:trPr>
          <w:trHeight w:val="448" w:hRule="atLeast"/>
        </w:trPr>
        <w:tc>
          <w:tcPr>
            <w:tcW w:w="75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2"/>
              <w:ind w:left="114"/>
              <w:rPr>
                <w:sz w:val="21"/>
              </w:rPr>
            </w:pPr>
            <w:r>
              <w:rPr>
                <w:sz w:val="21"/>
              </w:rPr>
              <w:t>Gestão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-5"/>
                <w:sz w:val="21"/>
              </w:rPr>
              <w:t> </w:t>
            </w:r>
            <w:r>
              <w:rPr>
                <w:spacing w:val="-2"/>
                <w:sz w:val="21"/>
              </w:rPr>
              <w:t>Duration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0"/>
              <w:rPr>
                <w:sz w:val="22"/>
              </w:rPr>
            </w:pPr>
            <w:r>
              <w:rPr>
                <w:spacing w:val="-5"/>
                <w:sz w:val="22"/>
              </w:rPr>
              <w:t>5%</w:t>
            </w:r>
          </w:p>
        </w:tc>
      </w:tr>
      <w:tr>
        <w:trPr>
          <w:trHeight w:val="437" w:hRule="atLeast"/>
        </w:trPr>
        <w:tc>
          <w:tcPr>
            <w:tcW w:w="75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2"/>
              <w:ind w:left="114"/>
              <w:rPr>
                <w:sz w:val="21"/>
              </w:rPr>
            </w:pPr>
            <w:r>
              <w:rPr>
                <w:sz w:val="21"/>
              </w:rPr>
              <w:t>Médio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Prazo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(IMA-B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5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IDKA</w:t>
            </w:r>
            <w:r>
              <w:rPr>
                <w:spacing w:val="-5"/>
                <w:sz w:val="21"/>
              </w:rPr>
              <w:t> 2)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2"/>
              <w:rPr>
                <w:sz w:val="21"/>
              </w:rPr>
            </w:pPr>
            <w:r>
              <w:rPr>
                <w:spacing w:val="-5"/>
                <w:sz w:val="21"/>
              </w:rPr>
              <w:t>15%</w:t>
            </w:r>
          </w:p>
        </w:tc>
      </w:tr>
      <w:tr>
        <w:trPr>
          <w:trHeight w:val="449" w:hRule="atLeast"/>
        </w:trPr>
        <w:tc>
          <w:tcPr>
            <w:tcW w:w="75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4"/>
              <w:ind w:left="114"/>
              <w:rPr>
                <w:sz w:val="21"/>
              </w:rPr>
            </w:pPr>
            <w:r>
              <w:rPr>
                <w:sz w:val="21"/>
              </w:rPr>
              <w:t>Curto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Prazo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(CDI,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IRF-M</w:t>
            </w:r>
            <w:r>
              <w:rPr>
                <w:spacing w:val="-7"/>
                <w:sz w:val="21"/>
              </w:rPr>
              <w:t> </w:t>
            </w:r>
            <w:r>
              <w:rPr>
                <w:spacing w:val="-5"/>
                <w:sz w:val="21"/>
              </w:rPr>
              <w:t>1)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rPr>
                <w:sz w:val="22"/>
              </w:rPr>
            </w:pPr>
            <w:r>
              <w:rPr>
                <w:spacing w:val="-5"/>
                <w:sz w:val="22"/>
              </w:rPr>
              <w:t>10%</w:t>
            </w:r>
          </w:p>
        </w:tc>
      </w:tr>
      <w:tr>
        <w:trPr>
          <w:trHeight w:val="452" w:hRule="atLeast"/>
        </w:trPr>
        <w:tc>
          <w:tcPr>
            <w:tcW w:w="75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0"/>
              <w:ind w:left="114"/>
              <w:rPr>
                <w:sz w:val="21"/>
              </w:rPr>
            </w:pPr>
            <w:r>
              <w:rPr>
                <w:sz w:val="21"/>
              </w:rPr>
              <w:t>Títulos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Privados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(Letra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financeira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-8"/>
                <w:sz w:val="21"/>
              </w:rPr>
              <w:t> </w:t>
            </w:r>
            <w:r>
              <w:rPr>
                <w:spacing w:val="-4"/>
                <w:sz w:val="21"/>
              </w:rPr>
              <w:t>CDB)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7"/>
              <w:rPr>
                <w:sz w:val="22"/>
              </w:rPr>
            </w:pPr>
            <w:r>
              <w:rPr>
                <w:spacing w:val="-5"/>
                <w:sz w:val="22"/>
              </w:rPr>
              <w:t>10%</w:t>
            </w:r>
          </w:p>
        </w:tc>
      </w:tr>
      <w:tr>
        <w:trPr>
          <w:trHeight w:val="444" w:hRule="atLeast"/>
        </w:trPr>
        <w:tc>
          <w:tcPr>
            <w:tcW w:w="75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8"/>
              <w:ind w:left="11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Renda</w:t>
            </w:r>
            <w:r>
              <w:rPr>
                <w:b/>
                <w:spacing w:val="-6"/>
                <w:sz w:val="21"/>
                <w:u w:val="single"/>
              </w:rPr>
              <w:t> </w:t>
            </w:r>
            <w:r>
              <w:rPr>
                <w:b/>
                <w:spacing w:val="-2"/>
                <w:sz w:val="21"/>
                <w:u w:val="single"/>
              </w:rPr>
              <w:t>Variáve</w:t>
            </w:r>
            <w:r>
              <w:rPr>
                <w:b/>
                <w:spacing w:val="-2"/>
                <w:sz w:val="21"/>
              </w:rPr>
              <w:t>l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40%</w:t>
            </w:r>
          </w:p>
        </w:tc>
      </w:tr>
      <w:tr>
        <w:trPr>
          <w:trHeight w:val="448" w:hRule="atLeast"/>
        </w:trPr>
        <w:tc>
          <w:tcPr>
            <w:tcW w:w="75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1"/>
              <w:ind w:left="114"/>
              <w:rPr>
                <w:sz w:val="21"/>
              </w:rPr>
            </w:pPr>
            <w:r>
              <w:rPr>
                <w:sz w:val="21"/>
              </w:rPr>
              <w:t>Fundos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8"/>
                <w:sz w:val="21"/>
              </w:rPr>
              <w:t> </w:t>
            </w:r>
            <w:r>
              <w:rPr>
                <w:spacing w:val="-2"/>
                <w:sz w:val="21"/>
              </w:rPr>
              <w:t>Ações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9"/>
              <w:rPr>
                <w:sz w:val="22"/>
              </w:rPr>
            </w:pPr>
            <w:r>
              <w:rPr>
                <w:spacing w:val="-5"/>
                <w:sz w:val="22"/>
              </w:rPr>
              <w:t>30%</w:t>
            </w:r>
          </w:p>
        </w:tc>
      </w:tr>
      <w:tr>
        <w:trPr>
          <w:trHeight w:val="452" w:hRule="atLeast"/>
        </w:trPr>
        <w:tc>
          <w:tcPr>
            <w:tcW w:w="75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5"/>
              <w:ind w:left="114"/>
              <w:rPr>
                <w:sz w:val="21"/>
              </w:rPr>
            </w:pPr>
            <w:r>
              <w:rPr>
                <w:spacing w:val="-2"/>
                <w:sz w:val="21"/>
              </w:rPr>
              <w:t>Multimercados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5%</w:t>
            </w:r>
          </w:p>
        </w:tc>
      </w:tr>
      <w:tr>
        <w:trPr>
          <w:trHeight w:val="448" w:hRule="atLeast"/>
        </w:trPr>
        <w:tc>
          <w:tcPr>
            <w:tcW w:w="75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2"/>
              <w:ind w:left="114"/>
              <w:rPr>
                <w:sz w:val="21"/>
              </w:rPr>
            </w:pPr>
            <w:r>
              <w:rPr>
                <w:sz w:val="21"/>
              </w:rPr>
              <w:t>Fundos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Participações</w:t>
            </w:r>
            <w:r>
              <w:rPr>
                <w:spacing w:val="-7"/>
                <w:sz w:val="21"/>
              </w:rPr>
              <w:t> </w:t>
            </w:r>
            <w:r>
              <w:rPr>
                <w:spacing w:val="-10"/>
                <w:sz w:val="21"/>
              </w:rPr>
              <w:t>*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0"/>
              <w:rPr>
                <w:sz w:val="22"/>
              </w:rPr>
            </w:pPr>
            <w:r>
              <w:rPr>
                <w:spacing w:val="-4"/>
                <w:sz w:val="22"/>
              </w:rPr>
              <w:t>2,5%</w:t>
            </w:r>
          </w:p>
        </w:tc>
      </w:tr>
      <w:tr>
        <w:trPr>
          <w:trHeight w:val="450" w:hRule="atLeast"/>
        </w:trPr>
        <w:tc>
          <w:tcPr>
            <w:tcW w:w="75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9"/>
              <w:ind w:left="114"/>
              <w:rPr>
                <w:sz w:val="21"/>
              </w:rPr>
            </w:pPr>
            <w:r>
              <w:rPr>
                <w:sz w:val="21"/>
              </w:rPr>
              <w:t>Fundos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Imobiliários</w:t>
            </w:r>
            <w:r>
              <w:rPr>
                <w:spacing w:val="-8"/>
                <w:sz w:val="21"/>
              </w:rPr>
              <w:t> </w:t>
            </w:r>
            <w:r>
              <w:rPr>
                <w:spacing w:val="-10"/>
                <w:sz w:val="21"/>
              </w:rPr>
              <w:t>*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0"/>
              <w:rPr>
                <w:sz w:val="22"/>
              </w:rPr>
            </w:pPr>
            <w:r>
              <w:rPr>
                <w:spacing w:val="-4"/>
                <w:sz w:val="22"/>
              </w:rPr>
              <w:t>2,5%</w:t>
            </w:r>
          </w:p>
        </w:tc>
      </w:tr>
      <w:tr>
        <w:trPr>
          <w:trHeight w:val="445" w:hRule="atLeast"/>
        </w:trPr>
        <w:tc>
          <w:tcPr>
            <w:tcW w:w="75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8"/>
              <w:ind w:left="11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Investimento</w:t>
            </w:r>
            <w:r>
              <w:rPr>
                <w:b/>
                <w:spacing w:val="-8"/>
                <w:sz w:val="21"/>
                <w:u w:val="single"/>
              </w:rPr>
              <w:t> </w:t>
            </w:r>
            <w:r>
              <w:rPr>
                <w:b/>
                <w:sz w:val="21"/>
                <w:u w:val="single"/>
              </w:rPr>
              <w:t>no</w:t>
            </w:r>
            <w:r>
              <w:rPr>
                <w:b/>
                <w:spacing w:val="-7"/>
                <w:sz w:val="21"/>
                <w:u w:val="single"/>
              </w:rPr>
              <w:t> </w:t>
            </w:r>
            <w:r>
              <w:rPr>
                <w:b/>
                <w:spacing w:val="-2"/>
                <w:sz w:val="21"/>
                <w:u w:val="single"/>
              </w:rPr>
              <w:t>Exterior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3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10%</w:t>
            </w:r>
          </w:p>
        </w:tc>
      </w:tr>
      <w:tr>
        <w:trPr>
          <w:trHeight w:val="444" w:hRule="atLeast"/>
        </w:trPr>
        <w:tc>
          <w:tcPr>
            <w:tcW w:w="75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0"/>
              <w:ind w:left="114"/>
              <w:rPr>
                <w:sz w:val="21"/>
              </w:rPr>
            </w:pPr>
            <w:r>
              <w:rPr>
                <w:sz w:val="21"/>
              </w:rPr>
              <w:t>Fundos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Investimentos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no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Exterior</w:t>
            </w:r>
            <w:r>
              <w:rPr>
                <w:spacing w:val="-7"/>
                <w:sz w:val="21"/>
              </w:rPr>
              <w:t> </w:t>
            </w:r>
            <w:r>
              <w:rPr>
                <w:spacing w:val="-2"/>
                <w:sz w:val="21"/>
              </w:rPr>
              <w:t>(Hedge)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rPr>
                <w:sz w:val="22"/>
              </w:rPr>
            </w:pPr>
            <w:r>
              <w:rPr>
                <w:spacing w:val="-5"/>
                <w:sz w:val="22"/>
              </w:rPr>
              <w:t>5%</w:t>
            </w:r>
          </w:p>
        </w:tc>
      </w:tr>
      <w:tr>
        <w:trPr>
          <w:trHeight w:val="519" w:hRule="atLeast"/>
        </w:trPr>
        <w:tc>
          <w:tcPr>
            <w:tcW w:w="7566" w:type="dxa"/>
            <w:tcBorders>
              <w:top w:val="nil"/>
            </w:tcBorders>
          </w:tcPr>
          <w:p>
            <w:pPr>
              <w:pStyle w:val="TableParagraph"/>
              <w:spacing w:before="70"/>
              <w:ind w:left="114"/>
              <w:rPr>
                <w:sz w:val="21"/>
              </w:rPr>
            </w:pPr>
            <w:r>
              <w:rPr>
                <w:sz w:val="21"/>
              </w:rPr>
              <w:t>Fundos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Investimentos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no</w:t>
            </w:r>
            <w:r>
              <w:rPr>
                <w:spacing w:val="-11"/>
                <w:sz w:val="21"/>
              </w:rPr>
              <w:t> </w:t>
            </w:r>
            <w:r>
              <w:rPr>
                <w:spacing w:val="-2"/>
                <w:sz w:val="21"/>
              </w:rPr>
              <w:t>Exterior</w:t>
            </w:r>
          </w:p>
        </w:tc>
        <w:tc>
          <w:tcPr>
            <w:tcW w:w="1123" w:type="dxa"/>
            <w:tcBorders>
              <w:top w:val="nil"/>
            </w:tcBorders>
          </w:tcPr>
          <w:p>
            <w:pPr>
              <w:pStyle w:val="TableParagraph"/>
              <w:spacing w:before="67"/>
              <w:rPr>
                <w:sz w:val="22"/>
              </w:rPr>
            </w:pPr>
            <w:r>
              <w:rPr>
                <w:spacing w:val="-5"/>
                <w:sz w:val="22"/>
              </w:rPr>
              <w:t>5%</w:t>
            </w:r>
          </w:p>
        </w:tc>
      </w:tr>
    </w:tbl>
    <w:p>
      <w:pPr>
        <w:spacing w:line="259" w:lineRule="auto" w:before="8"/>
        <w:ind w:left="143" w:right="1335" w:firstLine="0"/>
        <w:jc w:val="left"/>
        <w:rPr>
          <w:sz w:val="20"/>
        </w:rPr>
      </w:pPr>
      <w:r>
        <w:rPr>
          <w:sz w:val="20"/>
        </w:rPr>
        <w:t>*</w:t>
      </w:r>
      <w:r>
        <w:rPr>
          <w:spacing w:val="-4"/>
          <w:sz w:val="20"/>
        </w:rPr>
        <w:t> </w:t>
      </w:r>
      <w:r>
        <w:rPr>
          <w:sz w:val="20"/>
        </w:rPr>
        <w:t>Aos</w:t>
      </w:r>
      <w:r>
        <w:rPr>
          <w:spacing w:val="-4"/>
          <w:sz w:val="20"/>
        </w:rPr>
        <w:t> </w:t>
      </w:r>
      <w:r>
        <w:rPr>
          <w:sz w:val="20"/>
        </w:rPr>
        <w:t>clientes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9"/>
          <w:sz w:val="20"/>
        </w:rPr>
        <w:t> </w:t>
      </w:r>
      <w:r>
        <w:rPr>
          <w:sz w:val="20"/>
        </w:rPr>
        <w:t>investem</w:t>
      </w:r>
      <w:r>
        <w:rPr>
          <w:spacing w:val="-8"/>
          <w:sz w:val="20"/>
        </w:rPr>
        <w:t> </w:t>
      </w:r>
      <w:r>
        <w:rPr>
          <w:sz w:val="20"/>
        </w:rPr>
        <w:t>em</w:t>
      </w:r>
      <w:r>
        <w:rPr>
          <w:spacing w:val="-6"/>
          <w:sz w:val="20"/>
        </w:rPr>
        <w:t> </w:t>
      </w:r>
      <w:r>
        <w:rPr>
          <w:sz w:val="20"/>
        </w:rPr>
        <w:t>Fundos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Participações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9"/>
          <w:sz w:val="20"/>
        </w:rPr>
        <w:t> </w:t>
      </w:r>
      <w:r>
        <w:rPr>
          <w:sz w:val="20"/>
        </w:rPr>
        <w:t>Fundos</w:t>
      </w:r>
      <w:r>
        <w:rPr>
          <w:spacing w:val="-3"/>
          <w:sz w:val="20"/>
        </w:rPr>
        <w:t> </w:t>
      </w:r>
      <w:r>
        <w:rPr>
          <w:sz w:val="20"/>
        </w:rPr>
        <w:t>Imobiliários</w:t>
      </w:r>
      <w:r>
        <w:rPr>
          <w:spacing w:val="-2"/>
          <w:sz w:val="20"/>
        </w:rPr>
        <w:t> </w:t>
      </w:r>
      <w:r>
        <w:rPr>
          <w:sz w:val="20"/>
        </w:rPr>
        <w:t>em</w:t>
      </w:r>
      <w:r>
        <w:rPr>
          <w:spacing w:val="-6"/>
          <w:sz w:val="20"/>
        </w:rPr>
        <w:t> </w:t>
      </w:r>
      <w:r>
        <w:rPr>
          <w:sz w:val="20"/>
        </w:rPr>
        <w:t>percentual</w:t>
      </w:r>
      <w:r>
        <w:rPr>
          <w:spacing w:val="-4"/>
          <w:sz w:val="20"/>
        </w:rPr>
        <w:t> </w:t>
      </w:r>
      <w:r>
        <w:rPr>
          <w:sz w:val="20"/>
        </w:rPr>
        <w:t>superior</w:t>
      </w:r>
      <w:r>
        <w:rPr>
          <w:spacing w:val="-9"/>
          <w:sz w:val="20"/>
        </w:rPr>
        <w:t> </w:t>
      </w:r>
      <w:r>
        <w:rPr>
          <w:sz w:val="20"/>
        </w:rPr>
        <w:t>a 2,5% em cada, reduzir a exposição aos Fundos de Ações na proporção desse excesso.</w:t>
      </w:r>
    </w:p>
    <w:p>
      <w:pPr>
        <w:spacing w:after="0" w:line="259" w:lineRule="auto"/>
        <w:jc w:val="left"/>
        <w:rPr>
          <w:sz w:val="20"/>
        </w:rPr>
        <w:sectPr>
          <w:pgSz w:w="11920" w:h="16850"/>
          <w:pgMar w:top="1880" w:bottom="280" w:left="1559" w:right="141"/>
        </w:sectPr>
      </w:pPr>
    </w:p>
    <w:p>
      <w:pPr>
        <w:pStyle w:val="BodyText"/>
        <w:spacing w:before="37"/>
        <w:ind w:right="418"/>
        <w:jc w:val="center"/>
      </w:pPr>
      <w:r>
        <w:rPr>
          <w:color w:val="0D0E0E"/>
        </w:rPr>
        <w:t>PRÓ</w:t>
      </w:r>
      <w:r>
        <w:rPr>
          <w:color w:val="0D0E0E"/>
          <w:spacing w:val="-8"/>
        </w:rPr>
        <w:t> </w:t>
      </w:r>
      <w:r>
        <w:rPr>
          <w:color w:val="0D0E0E"/>
        </w:rPr>
        <w:t>GESTÃO</w:t>
      </w:r>
      <w:r>
        <w:rPr>
          <w:color w:val="0D0E0E"/>
          <w:spacing w:val="-5"/>
        </w:rPr>
        <w:t> </w:t>
      </w:r>
      <w:r>
        <w:rPr>
          <w:color w:val="0D0E0E"/>
        </w:rPr>
        <w:t>NÍVEL</w:t>
      </w:r>
      <w:r>
        <w:rPr>
          <w:color w:val="0D0E0E"/>
          <w:spacing w:val="-6"/>
        </w:rPr>
        <w:t> </w:t>
      </w:r>
      <w:r>
        <w:rPr>
          <w:color w:val="0D0E0E"/>
          <w:spacing w:val="-10"/>
        </w:rPr>
        <w:t>3</w:t>
      </w:r>
    </w:p>
    <w:p>
      <w:pPr>
        <w:pStyle w:val="BodyText"/>
        <w:spacing w:before="181"/>
        <w:rPr>
          <w:sz w:val="20"/>
        </w:r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66"/>
        <w:gridCol w:w="1123"/>
      </w:tblGrid>
      <w:tr>
        <w:trPr>
          <w:trHeight w:val="436" w:hRule="atLeast"/>
        </w:trPr>
        <w:tc>
          <w:tcPr>
            <w:tcW w:w="8689" w:type="dxa"/>
            <w:gridSpan w:val="2"/>
          </w:tcPr>
          <w:p>
            <w:pPr>
              <w:pStyle w:val="TableParagraph"/>
              <w:spacing w:before="3"/>
              <w:ind w:left="450"/>
              <w:rPr>
                <w:sz w:val="21"/>
              </w:rPr>
            </w:pPr>
            <w:r>
              <w:rPr>
                <w:sz w:val="21"/>
              </w:rPr>
              <w:t>Estratégia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Alocação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dos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Recursos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no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Longo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Prazo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–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Renda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Fixa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-7"/>
                <w:sz w:val="21"/>
              </w:rPr>
              <w:t> </w:t>
            </w:r>
            <w:r>
              <w:rPr>
                <w:spacing w:val="-2"/>
                <w:sz w:val="21"/>
              </w:rPr>
              <w:t>Variável</w:t>
            </w:r>
          </w:p>
        </w:tc>
      </w:tr>
      <w:tr>
        <w:trPr>
          <w:trHeight w:val="383" w:hRule="atLeast"/>
        </w:trPr>
        <w:tc>
          <w:tcPr>
            <w:tcW w:w="7566" w:type="dxa"/>
            <w:tcBorders>
              <w:bottom w:val="nil"/>
            </w:tcBorders>
          </w:tcPr>
          <w:p>
            <w:pPr>
              <w:pStyle w:val="TableParagraph"/>
              <w:spacing w:before="6"/>
              <w:ind w:left="11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Renda</w:t>
            </w:r>
            <w:r>
              <w:rPr>
                <w:b/>
                <w:spacing w:val="-6"/>
                <w:sz w:val="21"/>
                <w:u w:val="single"/>
              </w:rPr>
              <w:t> </w:t>
            </w:r>
            <w:r>
              <w:rPr>
                <w:b/>
                <w:spacing w:val="-4"/>
                <w:sz w:val="21"/>
                <w:u w:val="single"/>
              </w:rPr>
              <w:t>Fixa</w:t>
            </w:r>
          </w:p>
        </w:tc>
        <w:tc>
          <w:tcPr>
            <w:tcW w:w="1123" w:type="dxa"/>
            <w:tcBorders>
              <w:bottom w:val="nil"/>
            </w:tcBorders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40%</w:t>
            </w:r>
          </w:p>
        </w:tc>
      </w:tr>
      <w:tr>
        <w:trPr>
          <w:trHeight w:val="450" w:hRule="atLeast"/>
        </w:trPr>
        <w:tc>
          <w:tcPr>
            <w:tcW w:w="75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3"/>
              <w:ind w:left="114"/>
              <w:rPr>
                <w:sz w:val="21"/>
              </w:rPr>
            </w:pPr>
            <w:r>
              <w:rPr>
                <w:sz w:val="21"/>
              </w:rPr>
              <w:t>Longuíssimo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Prazo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(IMA-B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5+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IDKA</w:t>
            </w:r>
            <w:r>
              <w:rPr>
                <w:spacing w:val="-9"/>
                <w:sz w:val="21"/>
              </w:rPr>
              <w:t> </w:t>
            </w:r>
            <w:r>
              <w:rPr>
                <w:spacing w:val="-4"/>
                <w:sz w:val="21"/>
              </w:rPr>
              <w:t>20A)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3"/>
              <w:rPr>
                <w:sz w:val="21"/>
              </w:rPr>
            </w:pPr>
            <w:r>
              <w:rPr>
                <w:spacing w:val="-5"/>
                <w:sz w:val="21"/>
              </w:rPr>
              <w:t>0%</w:t>
            </w:r>
          </w:p>
        </w:tc>
      </w:tr>
      <w:tr>
        <w:trPr>
          <w:trHeight w:val="442" w:hRule="atLeast"/>
        </w:trPr>
        <w:tc>
          <w:tcPr>
            <w:tcW w:w="75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2"/>
              <w:ind w:left="114"/>
              <w:rPr>
                <w:sz w:val="21"/>
              </w:rPr>
            </w:pPr>
            <w:r>
              <w:rPr>
                <w:sz w:val="21"/>
              </w:rPr>
              <w:t>Longo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Prazo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(IMA-Geral/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IMA-B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Total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FIDC/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Crédito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Privado/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Fundo</w:t>
            </w:r>
            <w:r>
              <w:rPr>
                <w:spacing w:val="-10"/>
                <w:sz w:val="21"/>
              </w:rPr>
              <w:t> </w:t>
            </w:r>
            <w:r>
              <w:rPr>
                <w:spacing w:val="-2"/>
                <w:sz w:val="21"/>
              </w:rPr>
              <w:t>Debênture)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2"/>
              <w:rPr>
                <w:sz w:val="21"/>
              </w:rPr>
            </w:pPr>
            <w:r>
              <w:rPr>
                <w:spacing w:val="-5"/>
                <w:sz w:val="21"/>
              </w:rPr>
              <w:t>10%</w:t>
            </w:r>
          </w:p>
        </w:tc>
      </w:tr>
      <w:tr>
        <w:trPr>
          <w:trHeight w:val="441" w:hRule="atLeast"/>
        </w:trPr>
        <w:tc>
          <w:tcPr>
            <w:tcW w:w="75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6"/>
              <w:ind w:left="114"/>
              <w:rPr>
                <w:sz w:val="21"/>
              </w:rPr>
            </w:pPr>
            <w:r>
              <w:rPr>
                <w:sz w:val="21"/>
              </w:rPr>
              <w:t>Gestão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-5"/>
                <w:sz w:val="21"/>
              </w:rPr>
              <w:t> </w:t>
            </w:r>
            <w:r>
              <w:rPr>
                <w:spacing w:val="-2"/>
                <w:sz w:val="21"/>
              </w:rPr>
              <w:t>Duration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6"/>
              <w:rPr>
                <w:sz w:val="21"/>
              </w:rPr>
            </w:pPr>
            <w:r>
              <w:rPr>
                <w:spacing w:val="-5"/>
                <w:sz w:val="21"/>
              </w:rPr>
              <w:t>5%</w:t>
            </w:r>
          </w:p>
        </w:tc>
      </w:tr>
      <w:tr>
        <w:trPr>
          <w:trHeight w:val="435" w:hRule="atLeast"/>
        </w:trPr>
        <w:tc>
          <w:tcPr>
            <w:tcW w:w="7566" w:type="dxa"/>
            <w:tcBorders>
              <w:top w:val="nil"/>
              <w:bottom w:val="nil"/>
            </w:tcBorders>
          </w:tcPr>
          <w:p>
            <w:pPr>
              <w:pStyle w:val="TableParagraph"/>
              <w:ind w:left="114"/>
              <w:rPr>
                <w:sz w:val="21"/>
              </w:rPr>
            </w:pPr>
            <w:r>
              <w:rPr>
                <w:sz w:val="21"/>
              </w:rPr>
              <w:t>Médio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Prazo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(IMA-B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5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IDKA</w:t>
            </w:r>
            <w:r>
              <w:rPr>
                <w:spacing w:val="-5"/>
                <w:sz w:val="21"/>
              </w:rPr>
              <w:t> 2)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5"/>
                <w:sz w:val="21"/>
              </w:rPr>
              <w:t>10%</w:t>
            </w:r>
          </w:p>
        </w:tc>
      </w:tr>
      <w:tr>
        <w:trPr>
          <w:trHeight w:val="435" w:hRule="atLeast"/>
        </w:trPr>
        <w:tc>
          <w:tcPr>
            <w:tcW w:w="75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0"/>
              <w:ind w:left="114"/>
              <w:rPr>
                <w:sz w:val="21"/>
              </w:rPr>
            </w:pPr>
            <w:r>
              <w:rPr>
                <w:sz w:val="21"/>
              </w:rPr>
              <w:t>Curto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Prazo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(CDI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IRF-M</w:t>
            </w:r>
            <w:r>
              <w:rPr>
                <w:spacing w:val="-4"/>
                <w:sz w:val="21"/>
              </w:rPr>
              <w:t> </w:t>
            </w:r>
            <w:r>
              <w:rPr>
                <w:spacing w:val="-5"/>
                <w:sz w:val="21"/>
              </w:rPr>
              <w:t>1)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0"/>
              <w:rPr>
                <w:sz w:val="21"/>
              </w:rPr>
            </w:pPr>
            <w:r>
              <w:rPr>
                <w:spacing w:val="-5"/>
                <w:sz w:val="21"/>
              </w:rPr>
              <w:t>5%</w:t>
            </w:r>
          </w:p>
        </w:tc>
      </w:tr>
      <w:tr>
        <w:trPr>
          <w:trHeight w:val="440" w:hRule="atLeast"/>
        </w:trPr>
        <w:tc>
          <w:tcPr>
            <w:tcW w:w="7566" w:type="dxa"/>
            <w:tcBorders>
              <w:top w:val="nil"/>
              <w:bottom w:val="nil"/>
            </w:tcBorders>
          </w:tcPr>
          <w:p>
            <w:pPr>
              <w:pStyle w:val="TableParagraph"/>
              <w:ind w:left="114"/>
              <w:rPr>
                <w:sz w:val="21"/>
              </w:rPr>
            </w:pPr>
            <w:r>
              <w:rPr>
                <w:sz w:val="21"/>
              </w:rPr>
              <w:t>Títulos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Privados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(Letra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financeira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-4"/>
                <w:sz w:val="21"/>
              </w:rPr>
              <w:t> </w:t>
            </w:r>
            <w:r>
              <w:rPr>
                <w:spacing w:val="-5"/>
                <w:sz w:val="21"/>
              </w:rPr>
              <w:t>CD)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5"/>
                <w:sz w:val="21"/>
              </w:rPr>
              <w:t>10%</w:t>
            </w:r>
          </w:p>
        </w:tc>
      </w:tr>
      <w:tr>
        <w:trPr>
          <w:trHeight w:val="446" w:hRule="atLeast"/>
        </w:trPr>
        <w:tc>
          <w:tcPr>
            <w:tcW w:w="75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5"/>
              <w:ind w:left="11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Renda</w:t>
            </w:r>
            <w:r>
              <w:rPr>
                <w:b/>
                <w:spacing w:val="-6"/>
                <w:sz w:val="21"/>
                <w:u w:val="single"/>
              </w:rPr>
              <w:t> </w:t>
            </w:r>
            <w:r>
              <w:rPr>
                <w:b/>
                <w:spacing w:val="-2"/>
                <w:sz w:val="21"/>
                <w:u w:val="single"/>
              </w:rPr>
              <w:t>Variáve</w:t>
            </w:r>
            <w:r>
              <w:rPr>
                <w:b/>
                <w:spacing w:val="-2"/>
                <w:sz w:val="21"/>
              </w:rPr>
              <w:t>l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50%</w:t>
            </w:r>
          </w:p>
        </w:tc>
      </w:tr>
      <w:tr>
        <w:trPr>
          <w:trHeight w:val="449" w:hRule="atLeast"/>
        </w:trPr>
        <w:tc>
          <w:tcPr>
            <w:tcW w:w="75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7"/>
              <w:ind w:left="114"/>
              <w:rPr>
                <w:sz w:val="21"/>
              </w:rPr>
            </w:pPr>
            <w:r>
              <w:rPr>
                <w:sz w:val="21"/>
              </w:rPr>
              <w:t>Fundos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8"/>
                <w:sz w:val="21"/>
              </w:rPr>
              <w:t> </w:t>
            </w:r>
            <w:r>
              <w:rPr>
                <w:spacing w:val="-2"/>
                <w:sz w:val="21"/>
              </w:rPr>
              <w:t>Ações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7"/>
              <w:rPr>
                <w:sz w:val="21"/>
              </w:rPr>
            </w:pPr>
            <w:r>
              <w:rPr>
                <w:spacing w:val="-5"/>
                <w:sz w:val="21"/>
              </w:rPr>
              <w:t>40%</w:t>
            </w:r>
          </w:p>
        </w:tc>
      </w:tr>
      <w:tr>
        <w:trPr>
          <w:trHeight w:val="450" w:hRule="atLeast"/>
        </w:trPr>
        <w:tc>
          <w:tcPr>
            <w:tcW w:w="75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8"/>
              <w:ind w:left="114"/>
              <w:rPr>
                <w:sz w:val="21"/>
              </w:rPr>
            </w:pPr>
            <w:r>
              <w:rPr>
                <w:spacing w:val="-2"/>
                <w:sz w:val="21"/>
              </w:rPr>
              <w:t>Multimercados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5"/>
                <w:sz w:val="21"/>
              </w:rPr>
              <w:t>5%</w:t>
            </w:r>
          </w:p>
        </w:tc>
      </w:tr>
      <w:tr>
        <w:trPr>
          <w:trHeight w:val="447" w:hRule="atLeast"/>
        </w:trPr>
        <w:tc>
          <w:tcPr>
            <w:tcW w:w="75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7"/>
              <w:ind w:left="114"/>
              <w:rPr>
                <w:sz w:val="21"/>
              </w:rPr>
            </w:pPr>
            <w:r>
              <w:rPr>
                <w:sz w:val="21"/>
              </w:rPr>
              <w:t>Fundos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Participações</w:t>
            </w:r>
            <w:r>
              <w:rPr>
                <w:spacing w:val="-7"/>
                <w:sz w:val="21"/>
              </w:rPr>
              <w:t> </w:t>
            </w:r>
            <w:r>
              <w:rPr>
                <w:spacing w:val="-10"/>
                <w:sz w:val="21"/>
              </w:rPr>
              <w:t>*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7"/>
              <w:rPr>
                <w:sz w:val="21"/>
              </w:rPr>
            </w:pPr>
            <w:r>
              <w:rPr>
                <w:spacing w:val="-4"/>
                <w:sz w:val="21"/>
              </w:rPr>
              <w:t>2,5%</w:t>
            </w:r>
          </w:p>
        </w:tc>
      </w:tr>
      <w:tr>
        <w:trPr>
          <w:trHeight w:val="445" w:hRule="atLeast"/>
        </w:trPr>
        <w:tc>
          <w:tcPr>
            <w:tcW w:w="75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6"/>
              <w:ind w:left="114"/>
              <w:rPr>
                <w:sz w:val="21"/>
              </w:rPr>
            </w:pPr>
            <w:r>
              <w:rPr>
                <w:sz w:val="21"/>
              </w:rPr>
              <w:t>Fundos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Imobiliários</w:t>
            </w:r>
            <w:r>
              <w:rPr>
                <w:spacing w:val="-9"/>
                <w:sz w:val="21"/>
              </w:rPr>
              <w:t> </w:t>
            </w:r>
            <w:r>
              <w:rPr>
                <w:spacing w:val="-10"/>
                <w:sz w:val="21"/>
              </w:rPr>
              <w:t>*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6"/>
              <w:rPr>
                <w:sz w:val="21"/>
              </w:rPr>
            </w:pPr>
            <w:r>
              <w:rPr>
                <w:spacing w:val="-4"/>
                <w:sz w:val="21"/>
              </w:rPr>
              <w:t>2,5%</w:t>
            </w:r>
          </w:p>
        </w:tc>
      </w:tr>
      <w:tr>
        <w:trPr>
          <w:trHeight w:val="440" w:hRule="atLeast"/>
        </w:trPr>
        <w:tc>
          <w:tcPr>
            <w:tcW w:w="75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5"/>
              <w:ind w:left="11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Investimento</w:t>
            </w:r>
            <w:r>
              <w:rPr>
                <w:b/>
                <w:spacing w:val="-8"/>
                <w:sz w:val="21"/>
                <w:u w:val="single"/>
              </w:rPr>
              <w:t> </w:t>
            </w:r>
            <w:r>
              <w:rPr>
                <w:b/>
                <w:sz w:val="21"/>
                <w:u w:val="single"/>
              </w:rPr>
              <w:t>no</w:t>
            </w:r>
            <w:r>
              <w:rPr>
                <w:b/>
                <w:spacing w:val="-7"/>
                <w:sz w:val="21"/>
                <w:u w:val="single"/>
              </w:rPr>
              <w:t> </w:t>
            </w:r>
            <w:r>
              <w:rPr>
                <w:b/>
                <w:spacing w:val="-2"/>
                <w:sz w:val="21"/>
                <w:u w:val="single"/>
              </w:rPr>
              <w:t>Exterior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10%</w:t>
            </w:r>
          </w:p>
        </w:tc>
      </w:tr>
      <w:tr>
        <w:trPr>
          <w:trHeight w:val="437" w:hRule="atLeast"/>
        </w:trPr>
        <w:tc>
          <w:tcPr>
            <w:tcW w:w="7566" w:type="dxa"/>
            <w:tcBorders>
              <w:top w:val="nil"/>
              <w:bottom w:val="nil"/>
            </w:tcBorders>
          </w:tcPr>
          <w:p>
            <w:pPr>
              <w:pStyle w:val="TableParagraph"/>
              <w:ind w:left="114"/>
              <w:rPr>
                <w:sz w:val="21"/>
              </w:rPr>
            </w:pPr>
            <w:r>
              <w:rPr>
                <w:sz w:val="21"/>
              </w:rPr>
              <w:t>Fundos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Investimentos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no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Exterior</w:t>
            </w:r>
            <w:r>
              <w:rPr>
                <w:spacing w:val="-7"/>
                <w:sz w:val="21"/>
              </w:rPr>
              <w:t> </w:t>
            </w:r>
            <w:r>
              <w:rPr>
                <w:spacing w:val="-2"/>
                <w:sz w:val="21"/>
              </w:rPr>
              <w:t>(Hedge)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5"/>
                <w:sz w:val="21"/>
              </w:rPr>
              <w:t>5%</w:t>
            </w:r>
          </w:p>
        </w:tc>
      </w:tr>
      <w:tr>
        <w:trPr>
          <w:trHeight w:val="509" w:hRule="atLeast"/>
        </w:trPr>
        <w:tc>
          <w:tcPr>
            <w:tcW w:w="7566" w:type="dxa"/>
            <w:tcBorders>
              <w:top w:val="nil"/>
            </w:tcBorders>
          </w:tcPr>
          <w:p>
            <w:pPr>
              <w:pStyle w:val="TableParagraph"/>
              <w:spacing w:before="72"/>
              <w:ind w:left="114"/>
              <w:rPr>
                <w:sz w:val="21"/>
              </w:rPr>
            </w:pPr>
            <w:r>
              <w:rPr>
                <w:sz w:val="21"/>
              </w:rPr>
              <w:t>Fundos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Investimentos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no</w:t>
            </w:r>
            <w:r>
              <w:rPr>
                <w:spacing w:val="-11"/>
                <w:sz w:val="21"/>
              </w:rPr>
              <w:t> </w:t>
            </w:r>
            <w:r>
              <w:rPr>
                <w:spacing w:val="-2"/>
                <w:sz w:val="21"/>
              </w:rPr>
              <w:t>Exterior</w:t>
            </w:r>
          </w:p>
        </w:tc>
        <w:tc>
          <w:tcPr>
            <w:tcW w:w="1123" w:type="dxa"/>
            <w:tcBorders>
              <w:top w:val="nil"/>
            </w:tcBorders>
          </w:tcPr>
          <w:p>
            <w:pPr>
              <w:pStyle w:val="TableParagraph"/>
              <w:spacing w:before="72"/>
              <w:rPr>
                <w:sz w:val="21"/>
              </w:rPr>
            </w:pPr>
            <w:r>
              <w:rPr>
                <w:spacing w:val="-5"/>
                <w:sz w:val="21"/>
              </w:rPr>
              <w:t>5%</w:t>
            </w:r>
          </w:p>
        </w:tc>
      </w:tr>
    </w:tbl>
    <w:p>
      <w:pPr>
        <w:spacing w:line="254" w:lineRule="auto" w:before="10"/>
        <w:ind w:left="102" w:right="590" w:firstLine="0"/>
        <w:jc w:val="left"/>
        <w:rPr>
          <w:sz w:val="20"/>
        </w:rPr>
      </w:pPr>
      <w:r>
        <w:rPr>
          <w:sz w:val="20"/>
        </w:rPr>
        <w:t>* Aos clientes que investem em Fundos de Participações e Fundos Imobiliários em percentual superior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2,5%</w:t>
      </w:r>
      <w:r>
        <w:rPr>
          <w:spacing w:val="-4"/>
          <w:sz w:val="20"/>
        </w:rPr>
        <w:t> </w:t>
      </w:r>
      <w:r>
        <w:rPr>
          <w:sz w:val="20"/>
        </w:rPr>
        <w:t>em</w:t>
      </w:r>
      <w:r>
        <w:rPr>
          <w:spacing w:val="-4"/>
          <w:sz w:val="20"/>
        </w:rPr>
        <w:t> </w:t>
      </w:r>
      <w:r>
        <w:rPr>
          <w:sz w:val="20"/>
        </w:rPr>
        <w:t>cada,</w:t>
      </w:r>
      <w:r>
        <w:rPr>
          <w:spacing w:val="-1"/>
          <w:sz w:val="20"/>
        </w:rPr>
        <w:t> </w:t>
      </w:r>
      <w:r>
        <w:rPr>
          <w:sz w:val="20"/>
        </w:rPr>
        <w:t>reduzir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exposição</w:t>
      </w:r>
      <w:r>
        <w:rPr>
          <w:spacing w:val="-6"/>
          <w:sz w:val="20"/>
        </w:rPr>
        <w:t> </w:t>
      </w:r>
      <w:r>
        <w:rPr>
          <w:sz w:val="20"/>
        </w:rPr>
        <w:t>aos</w:t>
      </w:r>
      <w:r>
        <w:rPr>
          <w:spacing w:val="-4"/>
          <w:sz w:val="20"/>
        </w:rPr>
        <w:t> </w:t>
      </w:r>
      <w:r>
        <w:rPr>
          <w:sz w:val="20"/>
        </w:rPr>
        <w:t>Fundos</w:t>
      </w:r>
      <w:r>
        <w:rPr>
          <w:spacing w:val="-5"/>
          <w:sz w:val="20"/>
        </w:rPr>
        <w:t> </w:t>
      </w:r>
      <w:r>
        <w:rPr>
          <w:sz w:val="20"/>
        </w:rPr>
        <w:t>de Ações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proporção</w:t>
      </w:r>
      <w:r>
        <w:rPr>
          <w:spacing w:val="-3"/>
          <w:sz w:val="20"/>
        </w:rPr>
        <w:t> </w:t>
      </w:r>
      <w:r>
        <w:rPr>
          <w:sz w:val="20"/>
        </w:rPr>
        <w:t>desse</w:t>
      </w:r>
      <w:r>
        <w:rPr>
          <w:spacing w:val="-1"/>
          <w:sz w:val="20"/>
        </w:rPr>
        <w:t> </w:t>
      </w:r>
      <w:r>
        <w:rPr>
          <w:sz w:val="20"/>
        </w:rPr>
        <w:t>excesso.</w:t>
      </w:r>
    </w:p>
    <w:sectPr>
      <w:pgSz w:w="11910" w:h="16840"/>
      <w:pgMar w:top="1360" w:bottom="280" w:left="1700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42"/>
      <w:outlineLvl w:val="1"/>
    </w:pPr>
    <w:rPr>
      <w:rFonts w:ascii="Calibri" w:hAnsi="Calibri" w:eastAsia="Calibri" w:cs="Calibri"/>
      <w:b/>
      <w:bCs/>
      <w:sz w:val="28"/>
      <w:szCs w:val="28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42"/>
      <w:outlineLvl w:val="2"/>
    </w:pPr>
    <w:rPr>
      <w:rFonts w:ascii="Calibri" w:hAnsi="Calibri" w:eastAsia="Calibri" w:cs="Calibri"/>
      <w:sz w:val="28"/>
      <w:szCs w:val="28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3340"/>
    </w:pPr>
    <w:rPr>
      <w:rFonts w:ascii="Calibri" w:hAnsi="Calibri" w:eastAsia="Calibri" w:cs="Calibri"/>
      <w:b/>
      <w:bCs/>
      <w:sz w:val="64"/>
      <w:szCs w:val="6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71"/>
      <w:ind w:left="112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jpe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2025-05-16T16:49:57Z</dcterms:created>
  <dcterms:modified xsi:type="dcterms:W3CDTF">2025-05-16T16:49:57Z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LastSaved">
    <vt:filetime>2025-05-16T00:00:00Z</vt:filetime>
  </property>
  <property fmtid="{D5CDD505-2E9C-101B-9397-08002B2CF9AE}" pid="4" name="Producer">
    <vt:lpwstr>3-Heights(TM) PDF Security Shell 4.8.25.2 (http://www.pdf-tools.com)</vt:lpwstr>
  </property>
</Properties>
</file>