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rPr>
          <w:rFonts w:ascii="Times New Roman"/>
          <w:sz w:val="64"/>
        </w:rPr>
      </w:pPr>
    </w:p>
    <w:p>
      <w:pPr>
        <w:pStyle w:val="BodyText"/>
        <w:spacing w:before="233"/>
        <w:rPr>
          <w:rFonts w:ascii="Times New Roman"/>
          <w:sz w:val="64"/>
        </w:rPr>
      </w:pPr>
    </w:p>
    <w:p>
      <w:pPr>
        <w:pStyle w:val="Title"/>
      </w:pPr>
      <w:r>
        <w:rPr>
          <w:color w:val="0D0E0E"/>
        </w:rPr>
        <w:t>PANORAMA</w:t>
      </w:r>
      <w:r>
        <w:rPr>
          <w:color w:val="0D0E0E"/>
          <w:spacing w:val="-6"/>
        </w:rPr>
        <w:t> </w:t>
      </w:r>
      <w:r>
        <w:rPr>
          <w:color w:val="0D0E0E"/>
          <w:spacing w:val="-2"/>
        </w:rPr>
        <w:t>ECONÔMICO</w:t>
      </w:r>
    </w:p>
    <w:p>
      <w:pPr>
        <w:spacing w:before="316"/>
        <w:ind w:left="3969" w:right="0" w:firstLine="0"/>
        <w:jc w:val="left"/>
        <w:rPr>
          <w:sz w:val="56"/>
        </w:rPr>
      </w:pPr>
      <w:r>
        <w:rPr>
          <w:color w:val="0D0E0E"/>
          <w:sz w:val="56"/>
        </w:rPr>
        <w:t>DEZEMBRO</w:t>
      </w:r>
      <w:r>
        <w:rPr>
          <w:color w:val="0D0E0E"/>
          <w:spacing w:val="-24"/>
          <w:sz w:val="56"/>
        </w:rPr>
        <w:t> </w:t>
      </w:r>
      <w:r>
        <w:rPr>
          <w:color w:val="0D0E0E"/>
          <w:spacing w:val="-4"/>
          <w:sz w:val="56"/>
        </w:rPr>
        <w:t>2023</w:t>
      </w:r>
    </w:p>
    <w:p>
      <w:pPr>
        <w:spacing w:after="0"/>
        <w:jc w:val="left"/>
        <w:rPr>
          <w:sz w:val="56"/>
        </w:rPr>
        <w:sectPr>
          <w:type w:val="continuous"/>
          <w:pgSz w:w="11920" w:h="16850"/>
          <w:pgMar w:top="1940" w:bottom="280" w:left="992" w:right="141"/>
        </w:sectPr>
      </w:pPr>
    </w:p>
    <w:p>
      <w:pPr>
        <w:spacing w:line="487" w:lineRule="exact" w:before="0"/>
        <w:ind w:left="1329" w:right="0" w:firstLine="0"/>
        <w:jc w:val="left"/>
        <w:rPr>
          <w:b/>
          <w:sz w:val="40"/>
        </w:rPr>
      </w:pPr>
      <w:r>
        <w:rPr>
          <w:b/>
          <w:spacing w:val="-2"/>
          <w:sz w:val="40"/>
        </w:rPr>
        <w:t>INTERNACIONAL</w:t>
      </w:r>
    </w:p>
    <w:p>
      <w:pPr>
        <w:pStyle w:val="BodyText"/>
        <w:spacing w:before="164"/>
        <w:rPr>
          <w:b/>
          <w:sz w:val="40"/>
        </w:rPr>
      </w:pPr>
    </w:p>
    <w:p>
      <w:pPr>
        <w:pStyle w:val="Heading1"/>
        <w:spacing w:line="410" w:lineRule="auto" w:before="1"/>
        <w:ind w:right="8392"/>
        <w:jc w:val="both"/>
      </w:pPr>
      <w:r>
        <w:rPr/>
        <w:t>Estados</w:t>
      </w:r>
      <w:r>
        <w:rPr>
          <w:spacing w:val="-16"/>
        </w:rPr>
        <w:t> </w:t>
      </w:r>
      <w:r>
        <w:rPr/>
        <w:t>Unidos Curva de Juros</w:t>
      </w:r>
    </w:p>
    <w:p>
      <w:pPr>
        <w:pStyle w:val="BodyText"/>
        <w:ind w:left="609" w:right="1250" w:firstLine="707"/>
        <w:jc w:val="both"/>
      </w:pPr>
      <w:r>
        <w:rPr/>
        <w:t>Após o terceiro trimestre de 2023 apresentar um histórico aumento da curva de juros, o maior aumento em 15 anos, as taxas das treasuries tiveram queda no quarto trimestre majoritariamente pelo acaloramento da discussão de uma possível recessão econômica dos Estados Unidos para o decorrer de 2024.</w:t>
      </w:r>
    </w:p>
    <w:p>
      <w:pPr>
        <w:pStyle w:val="BodyText"/>
        <w:spacing w:before="234"/>
        <w:ind w:left="609" w:right="1260" w:firstLine="707"/>
        <w:jc w:val="both"/>
      </w:pPr>
      <w:r>
        <w:rPr/>
        <w:t>Após</w:t>
      </w:r>
      <w:r>
        <w:rPr>
          <w:spacing w:val="-3"/>
        </w:rPr>
        <w:t> </w:t>
      </w:r>
      <w:r>
        <w:rPr/>
        <w:t>atingirem</w:t>
      </w:r>
      <w:r>
        <w:rPr>
          <w:spacing w:val="-4"/>
        </w:rPr>
        <w:t> </w:t>
      </w:r>
      <w:r>
        <w:rPr/>
        <w:t>os</w:t>
      </w:r>
      <w:r>
        <w:rPr>
          <w:spacing w:val="-3"/>
        </w:rPr>
        <w:t> </w:t>
      </w:r>
      <w:r>
        <w:rPr/>
        <w:t>5%</w:t>
      </w:r>
      <w:r>
        <w:rPr>
          <w:spacing w:val="-3"/>
        </w:rPr>
        <w:t> </w:t>
      </w:r>
      <w:r>
        <w:rPr/>
        <w:t>em</w:t>
      </w:r>
      <w:r>
        <w:rPr>
          <w:spacing w:val="-4"/>
        </w:rPr>
        <w:t> </w:t>
      </w:r>
      <w:r>
        <w:rPr/>
        <w:t>outubro,</w:t>
      </w:r>
      <w:r>
        <w:rPr>
          <w:spacing w:val="-4"/>
        </w:rPr>
        <w:t> </w:t>
      </w:r>
      <w:r>
        <w:rPr/>
        <w:t>o</w:t>
      </w:r>
      <w:r>
        <w:rPr>
          <w:spacing w:val="-6"/>
        </w:rPr>
        <w:t> </w:t>
      </w:r>
      <w:r>
        <w:rPr/>
        <w:t>ano</w:t>
      </w:r>
      <w:r>
        <w:rPr>
          <w:spacing w:val="-6"/>
        </w:rPr>
        <w:t> </w:t>
      </w:r>
      <w:r>
        <w:rPr/>
        <w:t>de</w:t>
      </w:r>
      <w:r>
        <w:rPr>
          <w:spacing w:val="-6"/>
        </w:rPr>
        <w:t> </w:t>
      </w:r>
      <w:r>
        <w:rPr/>
        <w:t>2023</w:t>
      </w:r>
      <w:r>
        <w:rPr>
          <w:spacing w:val="-3"/>
        </w:rPr>
        <w:t> </w:t>
      </w:r>
      <w:r>
        <w:rPr/>
        <w:t>fechou</w:t>
      </w:r>
      <w:r>
        <w:rPr>
          <w:spacing w:val="-2"/>
        </w:rPr>
        <w:t> </w:t>
      </w:r>
      <w:r>
        <w:rPr/>
        <w:t>com</w:t>
      </w:r>
      <w:r>
        <w:rPr>
          <w:spacing w:val="-5"/>
        </w:rPr>
        <w:t> </w:t>
      </w:r>
      <w:r>
        <w:rPr/>
        <w:t>uma</w:t>
      </w:r>
      <w:r>
        <w:rPr>
          <w:spacing w:val="-6"/>
        </w:rPr>
        <w:t> </w:t>
      </w:r>
      <w:r>
        <w:rPr/>
        <w:t>taxa</w:t>
      </w:r>
      <w:r>
        <w:rPr>
          <w:spacing w:val="-7"/>
        </w:rPr>
        <w:t> </w:t>
      </w:r>
      <w:r>
        <w:rPr/>
        <w:t>de</w:t>
      </w:r>
      <w:r>
        <w:rPr>
          <w:spacing w:val="-3"/>
        </w:rPr>
        <w:t> </w:t>
      </w:r>
      <w:r>
        <w:rPr/>
        <w:t>3,86%</w:t>
      </w:r>
      <w:r>
        <w:rPr>
          <w:spacing w:val="-5"/>
        </w:rPr>
        <w:t> </w:t>
      </w:r>
      <w:r>
        <w:rPr/>
        <w:t>no final de dezembro, retornando quase que para o ponto de onde começou no início do ano.</w:t>
      </w:r>
    </w:p>
    <w:p>
      <w:pPr>
        <w:pStyle w:val="BodyText"/>
        <w:spacing w:before="240"/>
        <w:ind w:left="704" w:right="644"/>
        <w:jc w:val="center"/>
      </w:pPr>
      <w:r>
        <w:rPr/>
        <w:drawing>
          <wp:anchor distT="0" distB="0" distL="0" distR="0" allowOverlap="1" layoutInCell="1" locked="0" behindDoc="1" simplePos="0" relativeHeight="487587840">
            <wp:simplePos x="0" y="0"/>
            <wp:positionH relativeFrom="page">
              <wp:posOffset>1120139</wp:posOffset>
            </wp:positionH>
            <wp:positionV relativeFrom="paragraph">
              <wp:posOffset>363689</wp:posOffset>
            </wp:positionV>
            <wp:extent cx="5638241" cy="269319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638241" cy="2693193"/>
                    </a:xfrm>
                    <a:prstGeom prst="rect">
                      <a:avLst/>
                    </a:prstGeom>
                  </pic:spPr>
                </pic:pic>
              </a:graphicData>
            </a:graphic>
          </wp:anchor>
        </w:drawing>
      </w:r>
      <w:r>
        <w:rPr>
          <w:color w:val="0D0E0E"/>
        </w:rPr>
        <w:t>EUA</w:t>
      </w:r>
      <w:r>
        <w:rPr>
          <w:color w:val="0D0E0E"/>
          <w:spacing w:val="-2"/>
        </w:rPr>
        <w:t> </w:t>
      </w:r>
      <w:r>
        <w:rPr>
          <w:color w:val="0D0E0E"/>
        </w:rPr>
        <w:t>Treasury –</w:t>
      </w:r>
      <w:r>
        <w:rPr>
          <w:color w:val="0D0E0E"/>
          <w:spacing w:val="-2"/>
        </w:rPr>
        <w:t> </w:t>
      </w:r>
      <w:r>
        <w:rPr>
          <w:color w:val="0D0E0E"/>
        </w:rPr>
        <w:t>10</w:t>
      </w:r>
      <w:r>
        <w:rPr>
          <w:color w:val="0D0E0E"/>
          <w:spacing w:val="-1"/>
        </w:rPr>
        <w:t> </w:t>
      </w:r>
      <w:r>
        <w:rPr>
          <w:color w:val="0D0E0E"/>
          <w:spacing w:val="-4"/>
        </w:rPr>
        <w:t>anos:</w:t>
      </w:r>
    </w:p>
    <w:p>
      <w:pPr>
        <w:spacing w:before="22"/>
        <w:ind w:left="1317" w:right="0" w:firstLine="0"/>
        <w:jc w:val="left"/>
        <w:rPr>
          <w:i/>
          <w:sz w:val="20"/>
        </w:rPr>
      </w:pPr>
      <w:r>
        <w:rPr>
          <w:i/>
          <w:color w:val="0D0E0E"/>
          <w:spacing w:val="-2"/>
          <w:sz w:val="20"/>
        </w:rPr>
        <w:t>Fonte:</w:t>
      </w:r>
      <w:r>
        <w:rPr>
          <w:i/>
          <w:color w:val="0D0E0E"/>
          <w:spacing w:val="64"/>
          <w:sz w:val="20"/>
        </w:rPr>
        <w:t> </w:t>
      </w:r>
      <w:r>
        <w:rPr>
          <w:i/>
          <w:color w:val="0D0E0E"/>
          <w:spacing w:val="-2"/>
          <w:sz w:val="20"/>
        </w:rPr>
        <w:t>https://tradingeconomics.com/united-states/government-bond-yield</w:t>
      </w:r>
    </w:p>
    <w:p>
      <w:pPr>
        <w:pStyle w:val="BodyText"/>
        <w:spacing w:before="236"/>
        <w:ind w:left="609" w:right="1253" w:firstLine="707"/>
        <w:jc w:val="both"/>
      </w:pPr>
      <w:r>
        <w:rPr/>
        <w:t>Como consequência direta sobre o Brasil, é sabido que toda a estrutura de juros americana possui forte influência sobre a moeda brasileira, o real, e portanto, patamares mais</w:t>
      </w:r>
      <w:r>
        <w:rPr>
          <w:spacing w:val="-12"/>
        </w:rPr>
        <w:t> </w:t>
      </w:r>
      <w:r>
        <w:rPr/>
        <w:t>baixos</w:t>
      </w:r>
      <w:r>
        <w:rPr>
          <w:spacing w:val="-13"/>
        </w:rPr>
        <w:t> </w:t>
      </w:r>
      <w:r>
        <w:rPr/>
        <w:t>de</w:t>
      </w:r>
      <w:r>
        <w:rPr>
          <w:spacing w:val="-11"/>
        </w:rPr>
        <w:t> </w:t>
      </w:r>
      <w:r>
        <w:rPr/>
        <w:t>juros</w:t>
      </w:r>
      <w:r>
        <w:rPr>
          <w:spacing w:val="-14"/>
        </w:rPr>
        <w:t> </w:t>
      </w:r>
      <w:r>
        <w:rPr/>
        <w:t>da</w:t>
      </w:r>
      <w:r>
        <w:rPr>
          <w:spacing w:val="-14"/>
        </w:rPr>
        <w:t> </w:t>
      </w:r>
      <w:r>
        <w:rPr/>
        <w:t>maior</w:t>
      </w:r>
      <w:r>
        <w:rPr>
          <w:spacing w:val="-12"/>
        </w:rPr>
        <w:t> </w:t>
      </w:r>
      <w:r>
        <w:rPr/>
        <w:t>economia</w:t>
      </w:r>
      <w:r>
        <w:rPr>
          <w:spacing w:val="-13"/>
        </w:rPr>
        <w:t> </w:t>
      </w:r>
      <w:r>
        <w:rPr/>
        <w:t>mundial</w:t>
      </w:r>
      <w:r>
        <w:rPr>
          <w:spacing w:val="-13"/>
        </w:rPr>
        <w:t> </w:t>
      </w:r>
      <w:r>
        <w:rPr/>
        <w:t>permite</w:t>
      </w:r>
      <w:r>
        <w:rPr>
          <w:spacing w:val="-13"/>
        </w:rPr>
        <w:t> </w:t>
      </w:r>
      <w:r>
        <w:rPr/>
        <w:t>com</w:t>
      </w:r>
      <w:r>
        <w:rPr>
          <w:spacing w:val="-13"/>
        </w:rPr>
        <w:t> </w:t>
      </w:r>
      <w:r>
        <w:rPr/>
        <w:t>que</w:t>
      </w:r>
      <w:r>
        <w:rPr>
          <w:spacing w:val="-13"/>
        </w:rPr>
        <w:t> </w:t>
      </w:r>
      <w:r>
        <w:rPr/>
        <w:t>o</w:t>
      </w:r>
      <w:r>
        <w:rPr>
          <w:spacing w:val="-13"/>
        </w:rPr>
        <w:t> </w:t>
      </w:r>
      <w:r>
        <w:rPr/>
        <w:t>Banco</w:t>
      </w:r>
      <w:r>
        <w:rPr>
          <w:spacing w:val="-11"/>
        </w:rPr>
        <w:t> </w:t>
      </w:r>
      <w:r>
        <w:rPr/>
        <w:t>Central</w:t>
      </w:r>
      <w:r>
        <w:rPr>
          <w:spacing w:val="-13"/>
        </w:rPr>
        <w:t> </w:t>
      </w:r>
      <w:r>
        <w:rPr/>
        <w:t>brasileiro atue de maneira mais estimulante para a economia doméstica, trazendo maior condição para crescimento econômico, sem contar outros fatores como a atração de investidores estrangeiros para o mercado doméstico através do surgimento de oportunidades no mercado financeiro, em especial, em renda variável.</w:t>
      </w:r>
    </w:p>
    <w:p>
      <w:pPr>
        <w:pStyle w:val="BodyText"/>
        <w:spacing w:before="242"/>
        <w:ind w:left="609" w:right="1258" w:firstLine="707"/>
        <w:jc w:val="both"/>
      </w:pPr>
      <w:r>
        <w:rPr/>
        <w:t>Com esse arrefecimento a curva, outros indicadores também fecharam o ano de maneira</w:t>
      </w:r>
      <w:r>
        <w:rPr>
          <w:spacing w:val="-4"/>
        </w:rPr>
        <w:t> </w:t>
      </w:r>
      <w:r>
        <w:rPr/>
        <w:t>mais</w:t>
      </w:r>
      <w:r>
        <w:rPr>
          <w:spacing w:val="-4"/>
        </w:rPr>
        <w:t> </w:t>
      </w:r>
      <w:r>
        <w:rPr/>
        <w:t>neutra,</w:t>
      </w:r>
      <w:r>
        <w:rPr>
          <w:spacing w:val="-4"/>
        </w:rPr>
        <w:t> </w:t>
      </w:r>
      <w:r>
        <w:rPr/>
        <w:t>como</w:t>
      </w:r>
      <w:r>
        <w:rPr>
          <w:spacing w:val="-3"/>
        </w:rPr>
        <w:t> </w:t>
      </w:r>
      <w:r>
        <w:rPr/>
        <w:t>o</w:t>
      </w:r>
      <w:r>
        <w:rPr>
          <w:spacing w:val="-3"/>
        </w:rPr>
        <w:t> </w:t>
      </w:r>
      <w:r>
        <w:rPr/>
        <w:t>índice</w:t>
      </w:r>
      <w:r>
        <w:rPr>
          <w:spacing w:val="-3"/>
        </w:rPr>
        <w:t> </w:t>
      </w:r>
      <w:r>
        <w:rPr/>
        <w:t>DXY</w:t>
      </w:r>
      <w:r>
        <w:rPr>
          <w:spacing w:val="-3"/>
        </w:rPr>
        <w:t> </w:t>
      </w:r>
      <w:r>
        <w:rPr/>
        <w:t>(Dollar</w:t>
      </w:r>
      <w:r>
        <w:rPr>
          <w:spacing w:val="-3"/>
        </w:rPr>
        <w:t> </w:t>
      </w:r>
      <w:r>
        <w:rPr/>
        <w:t>Index),</w:t>
      </w:r>
      <w:r>
        <w:rPr>
          <w:spacing w:val="-4"/>
        </w:rPr>
        <w:t> </w:t>
      </w:r>
      <w:r>
        <w:rPr/>
        <w:t>índice</w:t>
      </w:r>
      <w:r>
        <w:rPr>
          <w:spacing w:val="-3"/>
        </w:rPr>
        <w:t> </w:t>
      </w:r>
      <w:r>
        <w:rPr/>
        <w:t>que</w:t>
      </w:r>
      <w:r>
        <w:rPr>
          <w:spacing w:val="-3"/>
        </w:rPr>
        <w:t> </w:t>
      </w:r>
      <w:r>
        <w:rPr/>
        <w:t>mostra</w:t>
      </w:r>
      <w:r>
        <w:rPr>
          <w:spacing w:val="-6"/>
        </w:rPr>
        <w:t> </w:t>
      </w:r>
      <w:r>
        <w:rPr/>
        <w:t>a</w:t>
      </w:r>
      <w:r>
        <w:rPr>
          <w:spacing w:val="-4"/>
        </w:rPr>
        <w:t> </w:t>
      </w:r>
      <w:r>
        <w:rPr/>
        <w:t>força</w:t>
      </w:r>
      <w:r>
        <w:rPr>
          <w:spacing w:val="-6"/>
        </w:rPr>
        <w:t> </w:t>
      </w:r>
      <w:r>
        <w:rPr/>
        <w:t>da</w:t>
      </w:r>
      <w:r>
        <w:rPr>
          <w:spacing w:val="-4"/>
        </w:rPr>
        <w:t> </w:t>
      </w:r>
      <w:r>
        <w:rPr/>
        <w:t>moeda americana em relação a outras moedas de países desenvolvidos.</w:t>
      </w:r>
    </w:p>
    <w:p>
      <w:pPr>
        <w:pStyle w:val="BodyText"/>
        <w:spacing w:before="240"/>
        <w:ind w:left="609" w:right="1256" w:firstLine="707"/>
        <w:jc w:val="both"/>
      </w:pPr>
      <w:r>
        <w:rPr/>
        <w:t>Após</w:t>
      </w:r>
      <w:r>
        <w:rPr>
          <w:spacing w:val="-8"/>
        </w:rPr>
        <w:t> </w:t>
      </w:r>
      <w:r>
        <w:rPr/>
        <w:t>o</w:t>
      </w:r>
      <w:r>
        <w:rPr>
          <w:spacing w:val="-6"/>
        </w:rPr>
        <w:t> </w:t>
      </w:r>
      <w:r>
        <w:rPr/>
        <w:t>índice</w:t>
      </w:r>
      <w:r>
        <w:rPr>
          <w:spacing w:val="-8"/>
        </w:rPr>
        <w:t> </w:t>
      </w:r>
      <w:r>
        <w:rPr/>
        <w:t>atingir</w:t>
      </w:r>
      <w:r>
        <w:rPr>
          <w:spacing w:val="-7"/>
        </w:rPr>
        <w:t> </w:t>
      </w:r>
      <w:r>
        <w:rPr>
          <w:color w:val="0D0E0E"/>
        </w:rPr>
        <w:t>107</w:t>
      </w:r>
      <w:r>
        <w:rPr>
          <w:color w:val="0D0E0E"/>
          <w:spacing w:val="-10"/>
        </w:rPr>
        <w:t> </w:t>
      </w:r>
      <w:r>
        <w:rPr>
          <w:color w:val="0D0E0E"/>
        </w:rPr>
        <w:t>em</w:t>
      </w:r>
      <w:r>
        <w:rPr>
          <w:color w:val="0D0E0E"/>
          <w:spacing w:val="-6"/>
        </w:rPr>
        <w:t> </w:t>
      </w:r>
      <w:r>
        <w:rPr>
          <w:color w:val="0D0E0E"/>
        </w:rPr>
        <w:t>outubro,</w:t>
      </w:r>
      <w:r>
        <w:rPr>
          <w:color w:val="0D0E0E"/>
          <w:spacing w:val="-9"/>
        </w:rPr>
        <w:t> </w:t>
      </w:r>
      <w:r>
        <w:rPr>
          <w:color w:val="0D0E0E"/>
        </w:rPr>
        <w:t>patamar</w:t>
      </w:r>
      <w:r>
        <w:rPr>
          <w:color w:val="0D0E0E"/>
          <w:spacing w:val="-6"/>
        </w:rPr>
        <w:t> </w:t>
      </w:r>
      <w:r>
        <w:rPr>
          <w:color w:val="0D0E0E"/>
        </w:rPr>
        <w:t>recorde</w:t>
      </w:r>
      <w:r>
        <w:rPr>
          <w:color w:val="0D0E0E"/>
          <w:spacing w:val="-8"/>
        </w:rPr>
        <w:t> </w:t>
      </w:r>
      <w:r>
        <w:rPr>
          <w:color w:val="0D0E0E"/>
        </w:rPr>
        <w:t>em</w:t>
      </w:r>
      <w:r>
        <w:rPr>
          <w:color w:val="0D0E0E"/>
          <w:spacing w:val="-8"/>
        </w:rPr>
        <w:t> </w:t>
      </w:r>
      <w:r>
        <w:rPr>
          <w:color w:val="0D0E0E"/>
        </w:rPr>
        <w:t>2023,</w:t>
      </w:r>
      <w:r>
        <w:rPr>
          <w:color w:val="0D0E0E"/>
          <w:spacing w:val="-9"/>
        </w:rPr>
        <w:t> </w:t>
      </w:r>
      <w:r>
        <w:rPr>
          <w:color w:val="0D0E0E"/>
        </w:rPr>
        <w:t>o</w:t>
      </w:r>
      <w:r>
        <w:rPr>
          <w:color w:val="0D0E0E"/>
          <w:spacing w:val="-6"/>
        </w:rPr>
        <w:t> </w:t>
      </w:r>
      <w:r>
        <w:rPr>
          <w:color w:val="0D0E0E"/>
        </w:rPr>
        <w:t>mesmo</w:t>
      </w:r>
      <w:r>
        <w:rPr>
          <w:color w:val="0D0E0E"/>
          <w:spacing w:val="-10"/>
        </w:rPr>
        <w:t> </w:t>
      </w:r>
      <w:r>
        <w:rPr>
          <w:color w:val="0D0E0E"/>
        </w:rPr>
        <w:t>indicador fechou dezembro em 101, com a</w:t>
      </w:r>
      <w:r>
        <w:rPr>
          <w:color w:val="0D0E0E"/>
          <w:spacing w:val="-1"/>
        </w:rPr>
        <w:t> </w:t>
      </w:r>
      <w:r>
        <w:rPr>
          <w:color w:val="0D0E0E"/>
        </w:rPr>
        <w:t>perda</w:t>
      </w:r>
      <w:r>
        <w:rPr>
          <w:color w:val="0D0E0E"/>
          <w:spacing w:val="-1"/>
        </w:rPr>
        <w:t> </w:t>
      </w:r>
      <w:r>
        <w:rPr>
          <w:color w:val="0D0E0E"/>
        </w:rPr>
        <w:t>da</w:t>
      </w:r>
      <w:r>
        <w:rPr>
          <w:color w:val="0D0E0E"/>
          <w:spacing w:val="-1"/>
        </w:rPr>
        <w:t> </w:t>
      </w:r>
      <w:r>
        <w:rPr>
          <w:color w:val="0D0E0E"/>
        </w:rPr>
        <w:t>força</w:t>
      </w:r>
      <w:r>
        <w:rPr>
          <w:color w:val="0D0E0E"/>
          <w:spacing w:val="-3"/>
        </w:rPr>
        <w:t> </w:t>
      </w:r>
      <w:r>
        <w:rPr>
          <w:color w:val="0D0E0E"/>
        </w:rPr>
        <w:t>do dólar por conta</w:t>
      </w:r>
      <w:r>
        <w:rPr>
          <w:color w:val="0D0E0E"/>
          <w:spacing w:val="-1"/>
        </w:rPr>
        <w:t> </w:t>
      </w:r>
      <w:r>
        <w:rPr>
          <w:color w:val="0D0E0E"/>
        </w:rPr>
        <w:t>da</w:t>
      </w:r>
      <w:r>
        <w:rPr>
          <w:color w:val="0D0E0E"/>
          <w:spacing w:val="-1"/>
        </w:rPr>
        <w:t> </w:t>
      </w:r>
      <w:r>
        <w:rPr>
          <w:color w:val="0D0E0E"/>
        </w:rPr>
        <w:t>expectativa de corte de juros ganhando tração nos debates econômicos no mercado:</w:t>
      </w:r>
    </w:p>
    <w:p>
      <w:pPr>
        <w:pStyle w:val="BodyText"/>
        <w:spacing w:after="0"/>
        <w:jc w:val="both"/>
        <w:sectPr>
          <w:pgSz w:w="11920" w:h="16850"/>
          <w:pgMar w:top="1360" w:bottom="280" w:left="992" w:right="141"/>
        </w:sectPr>
      </w:pPr>
    </w:p>
    <w:p>
      <w:pPr>
        <w:pStyle w:val="BodyText"/>
        <w:spacing w:before="39"/>
        <w:ind w:left="705" w:right="644"/>
        <w:jc w:val="center"/>
      </w:pPr>
      <w:r>
        <w:rPr>
          <w:color w:val="0D0E0E"/>
        </w:rPr>
        <w:t>DXY</w:t>
      </w:r>
      <w:r>
        <w:rPr>
          <w:color w:val="0D0E0E"/>
          <w:spacing w:val="-2"/>
        </w:rPr>
        <w:t> </w:t>
      </w:r>
      <w:r>
        <w:rPr>
          <w:color w:val="0D0E0E"/>
        </w:rPr>
        <w:t>Dollar</w:t>
      </w:r>
      <w:r>
        <w:rPr>
          <w:color w:val="0D0E0E"/>
          <w:spacing w:val="-2"/>
        </w:rPr>
        <w:t> Index:</w:t>
      </w:r>
    </w:p>
    <w:p>
      <w:pPr>
        <w:pStyle w:val="BodyText"/>
        <w:spacing w:before="11"/>
        <w:rPr>
          <w:sz w:val="16"/>
        </w:rPr>
      </w:pPr>
      <w:r>
        <w:rPr>
          <w:sz w:val="16"/>
        </w:rPr>
        <w:drawing>
          <wp:anchor distT="0" distB="0" distL="0" distR="0" allowOverlap="1" layoutInCell="1" locked="0" behindDoc="1" simplePos="0" relativeHeight="487588352">
            <wp:simplePos x="0" y="0"/>
            <wp:positionH relativeFrom="page">
              <wp:posOffset>685165</wp:posOffset>
            </wp:positionH>
            <wp:positionV relativeFrom="paragraph">
              <wp:posOffset>146831</wp:posOffset>
            </wp:positionV>
            <wp:extent cx="6408067" cy="2510885"/>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408067" cy="2510885"/>
                    </a:xfrm>
                    <a:prstGeom prst="rect">
                      <a:avLst/>
                    </a:prstGeom>
                  </pic:spPr>
                </pic:pic>
              </a:graphicData>
            </a:graphic>
          </wp:anchor>
        </w:drawing>
      </w:r>
    </w:p>
    <w:p>
      <w:pPr>
        <w:spacing w:before="20"/>
        <w:ind w:left="1317" w:right="0" w:firstLine="0"/>
        <w:jc w:val="left"/>
        <w:rPr>
          <w:i/>
          <w:sz w:val="20"/>
        </w:rPr>
      </w:pPr>
      <w:r>
        <w:rPr>
          <w:i/>
          <w:color w:val="0D0E0E"/>
          <w:sz w:val="20"/>
        </w:rPr>
        <w:t>Fonte:</w:t>
      </w:r>
      <w:r>
        <w:rPr>
          <w:i/>
          <w:color w:val="0D0E0E"/>
          <w:spacing w:val="-6"/>
          <w:sz w:val="20"/>
        </w:rPr>
        <w:t> </w:t>
      </w:r>
      <w:r>
        <w:rPr>
          <w:i/>
          <w:color w:val="0D0E0E"/>
          <w:spacing w:val="-2"/>
          <w:sz w:val="20"/>
        </w:rPr>
        <w:t>https://tradingeconomics.com/dxy:cur</w:t>
      </w:r>
    </w:p>
    <w:p>
      <w:pPr>
        <w:pStyle w:val="BodyText"/>
        <w:rPr>
          <w:i/>
          <w:sz w:val="20"/>
        </w:rPr>
      </w:pPr>
    </w:p>
    <w:p>
      <w:pPr>
        <w:pStyle w:val="BodyText"/>
        <w:rPr>
          <w:i/>
          <w:sz w:val="20"/>
        </w:rPr>
      </w:pPr>
    </w:p>
    <w:p>
      <w:pPr>
        <w:pStyle w:val="BodyText"/>
        <w:spacing w:before="39"/>
        <w:rPr>
          <w:i/>
          <w:sz w:val="20"/>
        </w:rPr>
      </w:pPr>
    </w:p>
    <w:p>
      <w:pPr>
        <w:pStyle w:val="Heading3"/>
      </w:pPr>
      <w:r>
        <w:rPr/>
        <w:t>Mercado</w:t>
      </w:r>
      <w:r>
        <w:rPr>
          <w:spacing w:val="-4"/>
        </w:rPr>
        <w:t> </w:t>
      </w:r>
      <w:r>
        <w:rPr/>
        <w:t>de</w:t>
      </w:r>
      <w:r>
        <w:rPr>
          <w:spacing w:val="-2"/>
        </w:rPr>
        <w:t> trabalho</w:t>
      </w:r>
    </w:p>
    <w:p>
      <w:pPr>
        <w:pStyle w:val="BodyText"/>
        <w:spacing w:before="239"/>
        <w:ind w:left="609" w:right="1254" w:firstLine="707"/>
        <w:jc w:val="both"/>
      </w:pPr>
      <w:r>
        <w:rPr>
          <w:color w:val="0D0E0E"/>
        </w:rPr>
        <w:t>Quanto aos dados do mercado de trabalho, os dados vieram mistos e com algumas surpresas como por exemplo o Nonfarm Payroll, importantíssimo relatório econômico que registra o número de postos de trabalho criados, que registrou em dezembro uma criação de empregos bem acima</w:t>
      </w:r>
      <w:r>
        <w:rPr>
          <w:color w:val="0D0E0E"/>
          <w:spacing w:val="-2"/>
        </w:rPr>
        <w:t> </w:t>
      </w:r>
      <w:r>
        <w:rPr>
          <w:color w:val="0D0E0E"/>
        </w:rPr>
        <w:t>do</w:t>
      </w:r>
      <w:r>
        <w:rPr>
          <w:color w:val="0D0E0E"/>
          <w:spacing w:val="-1"/>
        </w:rPr>
        <w:t> </w:t>
      </w:r>
      <w:r>
        <w:rPr>
          <w:color w:val="0D0E0E"/>
        </w:rPr>
        <w:t>esperado</w:t>
      </w:r>
      <w:r>
        <w:rPr>
          <w:color w:val="0D0E0E"/>
          <w:spacing w:val="-1"/>
        </w:rPr>
        <w:t> </w:t>
      </w:r>
      <w:r>
        <w:rPr>
          <w:color w:val="0D0E0E"/>
        </w:rPr>
        <w:t>pelos</w:t>
      </w:r>
      <w:r>
        <w:rPr>
          <w:color w:val="0D0E0E"/>
          <w:spacing w:val="-2"/>
        </w:rPr>
        <w:t> </w:t>
      </w:r>
      <w:r>
        <w:rPr>
          <w:color w:val="0D0E0E"/>
        </w:rPr>
        <w:t>analistas. Enquanto</w:t>
      </w:r>
      <w:r>
        <w:rPr>
          <w:color w:val="0D0E0E"/>
          <w:spacing w:val="-1"/>
        </w:rPr>
        <w:t> </w:t>
      </w:r>
      <w:r>
        <w:rPr>
          <w:color w:val="0D0E0E"/>
        </w:rPr>
        <w:t>a</w:t>
      </w:r>
      <w:r>
        <w:rPr>
          <w:color w:val="0D0E0E"/>
          <w:spacing w:val="-2"/>
        </w:rPr>
        <w:t> </w:t>
      </w:r>
      <w:r>
        <w:rPr>
          <w:color w:val="0D0E0E"/>
        </w:rPr>
        <w:t>projeção do</w:t>
      </w:r>
      <w:r>
        <w:rPr>
          <w:color w:val="0D0E0E"/>
          <w:spacing w:val="-1"/>
        </w:rPr>
        <w:t> </w:t>
      </w:r>
      <w:r>
        <w:rPr>
          <w:color w:val="0D0E0E"/>
        </w:rPr>
        <w:t>mercado</w:t>
      </w:r>
      <w:r>
        <w:rPr>
          <w:color w:val="0D0E0E"/>
          <w:spacing w:val="-1"/>
        </w:rPr>
        <w:t> </w:t>
      </w:r>
      <w:r>
        <w:rPr>
          <w:color w:val="0D0E0E"/>
        </w:rPr>
        <w:t>era na casa das 170 mil vagas, o resultado foi de 216 mil vagas formalmente criadas.</w:t>
      </w:r>
    </w:p>
    <w:p>
      <w:pPr>
        <w:pStyle w:val="BodyText"/>
        <w:spacing w:before="242"/>
        <w:ind w:left="609" w:right="1256" w:firstLine="707"/>
        <w:jc w:val="both"/>
      </w:pPr>
      <w:r>
        <w:rPr>
          <w:color w:val="0D0E0E"/>
        </w:rPr>
        <w:t>Como</w:t>
      </w:r>
      <w:r>
        <w:rPr>
          <w:color w:val="0D0E0E"/>
          <w:spacing w:val="-6"/>
        </w:rPr>
        <w:t> </w:t>
      </w:r>
      <w:r>
        <w:rPr>
          <w:color w:val="0D0E0E"/>
        </w:rPr>
        <w:t>destaque,</w:t>
      </w:r>
      <w:r>
        <w:rPr>
          <w:color w:val="0D0E0E"/>
          <w:spacing w:val="-6"/>
        </w:rPr>
        <w:t> </w:t>
      </w:r>
      <w:r>
        <w:rPr>
          <w:color w:val="0D0E0E"/>
        </w:rPr>
        <w:t>vale</w:t>
      </w:r>
      <w:r>
        <w:rPr>
          <w:color w:val="0D0E0E"/>
          <w:spacing w:val="-7"/>
        </w:rPr>
        <w:t> </w:t>
      </w:r>
      <w:r>
        <w:rPr>
          <w:color w:val="0D0E0E"/>
        </w:rPr>
        <w:t>mencionar</w:t>
      </w:r>
      <w:r>
        <w:rPr>
          <w:color w:val="0D0E0E"/>
          <w:spacing w:val="-8"/>
        </w:rPr>
        <w:t> </w:t>
      </w:r>
      <w:r>
        <w:rPr>
          <w:color w:val="0D0E0E"/>
        </w:rPr>
        <w:t>que</w:t>
      </w:r>
      <w:r>
        <w:rPr>
          <w:color w:val="0D0E0E"/>
          <w:spacing w:val="-6"/>
        </w:rPr>
        <w:t> </w:t>
      </w:r>
      <w:r>
        <w:rPr>
          <w:color w:val="0D0E0E"/>
        </w:rPr>
        <w:t>uma</w:t>
      </w:r>
      <w:r>
        <w:rPr>
          <w:color w:val="0D0E0E"/>
          <w:spacing w:val="-8"/>
        </w:rPr>
        <w:t> </w:t>
      </w:r>
      <w:r>
        <w:rPr>
          <w:color w:val="0D0E0E"/>
        </w:rPr>
        <w:t>grande</w:t>
      </w:r>
      <w:r>
        <w:rPr>
          <w:color w:val="0D0E0E"/>
          <w:spacing w:val="-8"/>
        </w:rPr>
        <w:t> </w:t>
      </w:r>
      <w:r>
        <w:rPr>
          <w:color w:val="0D0E0E"/>
        </w:rPr>
        <w:t>fatia</w:t>
      </w:r>
      <w:r>
        <w:rPr>
          <w:color w:val="0D0E0E"/>
          <w:spacing w:val="-9"/>
        </w:rPr>
        <w:t> </w:t>
      </w:r>
      <w:r>
        <w:rPr>
          <w:color w:val="0D0E0E"/>
        </w:rPr>
        <w:t>desse</w:t>
      </w:r>
      <w:r>
        <w:rPr>
          <w:color w:val="0D0E0E"/>
          <w:spacing w:val="-8"/>
        </w:rPr>
        <w:t> </w:t>
      </w:r>
      <w:r>
        <w:rPr>
          <w:color w:val="0D0E0E"/>
        </w:rPr>
        <w:t>número</w:t>
      </w:r>
      <w:r>
        <w:rPr>
          <w:color w:val="0D0E0E"/>
          <w:spacing w:val="-6"/>
        </w:rPr>
        <w:t> </w:t>
      </w:r>
      <w:r>
        <w:rPr>
          <w:color w:val="0D0E0E"/>
        </w:rPr>
        <w:t>(mais</w:t>
      </w:r>
      <w:r>
        <w:rPr>
          <w:color w:val="0D0E0E"/>
          <w:spacing w:val="-9"/>
        </w:rPr>
        <w:t> </w:t>
      </w:r>
      <w:r>
        <w:rPr>
          <w:color w:val="0D0E0E"/>
        </w:rPr>
        <w:t>de</w:t>
      </w:r>
      <w:r>
        <w:rPr>
          <w:color w:val="0D0E0E"/>
          <w:spacing w:val="-6"/>
        </w:rPr>
        <w:t> </w:t>
      </w:r>
      <w:r>
        <w:rPr>
          <w:color w:val="0D0E0E"/>
        </w:rPr>
        <w:t>50</w:t>
      </w:r>
      <w:r>
        <w:rPr>
          <w:color w:val="0D0E0E"/>
          <w:spacing w:val="-6"/>
        </w:rPr>
        <w:t> </w:t>
      </w:r>
      <w:r>
        <w:rPr>
          <w:color w:val="0D0E0E"/>
        </w:rPr>
        <w:t>mil vagas) se refere a vagas criadas pelo governo.</w:t>
      </w:r>
    </w:p>
    <w:p>
      <w:pPr>
        <w:pStyle w:val="BodyText"/>
        <w:spacing w:before="240"/>
        <w:ind w:left="707" w:right="644"/>
        <w:jc w:val="center"/>
      </w:pPr>
      <w:r>
        <w:rPr>
          <w:color w:val="0D0E0E"/>
        </w:rPr>
        <w:t>Criação</w:t>
      </w:r>
      <w:r>
        <w:rPr>
          <w:color w:val="0D0E0E"/>
          <w:spacing w:val="-4"/>
        </w:rPr>
        <w:t> </w:t>
      </w:r>
      <w:r>
        <w:rPr>
          <w:color w:val="0D0E0E"/>
        </w:rPr>
        <w:t>novos</w:t>
      </w:r>
      <w:r>
        <w:rPr>
          <w:color w:val="0D0E0E"/>
          <w:spacing w:val="-6"/>
        </w:rPr>
        <w:t> </w:t>
      </w:r>
      <w:r>
        <w:rPr>
          <w:color w:val="0D0E0E"/>
        </w:rPr>
        <w:t>empregos</w:t>
      </w:r>
      <w:r>
        <w:rPr>
          <w:color w:val="0D0E0E"/>
          <w:spacing w:val="-6"/>
        </w:rPr>
        <w:t> </w:t>
      </w:r>
      <w:r>
        <w:rPr>
          <w:color w:val="0D0E0E"/>
        </w:rPr>
        <w:t>(Nonfarm</w:t>
      </w:r>
      <w:r>
        <w:rPr>
          <w:color w:val="0D0E0E"/>
          <w:spacing w:val="-3"/>
        </w:rPr>
        <w:t> </w:t>
      </w:r>
      <w:r>
        <w:rPr>
          <w:color w:val="0D0E0E"/>
        </w:rPr>
        <w:t>Payroll)</w:t>
      </w:r>
      <w:r>
        <w:rPr>
          <w:color w:val="0D0E0E"/>
          <w:spacing w:val="2"/>
        </w:rPr>
        <w:t> </w:t>
      </w:r>
      <w:r>
        <w:rPr>
          <w:color w:val="0D0E0E"/>
        </w:rPr>
        <w:t>-</w:t>
      </w:r>
      <w:r>
        <w:rPr>
          <w:color w:val="0D0E0E"/>
          <w:spacing w:val="-5"/>
        </w:rPr>
        <w:t> </w:t>
      </w:r>
      <w:r>
        <w:rPr>
          <w:color w:val="0D0E0E"/>
          <w:spacing w:val="-4"/>
        </w:rPr>
        <w:t>EUA:</w:t>
      </w:r>
    </w:p>
    <w:p>
      <w:pPr>
        <w:pStyle w:val="BodyText"/>
        <w:spacing w:before="10"/>
        <w:rPr>
          <w:sz w:val="16"/>
        </w:rPr>
      </w:pPr>
      <w:r>
        <w:rPr>
          <w:sz w:val="16"/>
        </w:rPr>
        <w:drawing>
          <wp:anchor distT="0" distB="0" distL="0" distR="0" allowOverlap="1" layoutInCell="1" locked="0" behindDoc="1" simplePos="0" relativeHeight="487588864">
            <wp:simplePos x="0" y="0"/>
            <wp:positionH relativeFrom="page">
              <wp:posOffset>1013460</wp:posOffset>
            </wp:positionH>
            <wp:positionV relativeFrom="paragraph">
              <wp:posOffset>145682</wp:posOffset>
            </wp:positionV>
            <wp:extent cx="5647742" cy="278520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647742" cy="2785205"/>
                    </a:xfrm>
                    <a:prstGeom prst="rect">
                      <a:avLst/>
                    </a:prstGeom>
                  </pic:spPr>
                </pic:pic>
              </a:graphicData>
            </a:graphic>
          </wp:anchor>
        </w:drawing>
      </w:r>
    </w:p>
    <w:p>
      <w:pPr>
        <w:spacing w:before="9"/>
        <w:ind w:left="1317" w:right="0" w:firstLine="0"/>
        <w:jc w:val="left"/>
        <w:rPr>
          <w:i/>
          <w:sz w:val="20"/>
        </w:rPr>
      </w:pPr>
      <w:r>
        <w:rPr>
          <w:i/>
          <w:color w:val="0D0E0E"/>
          <w:spacing w:val="-2"/>
          <w:sz w:val="20"/>
        </w:rPr>
        <w:t>Fonte:</w:t>
      </w:r>
      <w:r>
        <w:rPr>
          <w:i/>
          <w:color w:val="0D0E0E"/>
          <w:spacing w:val="57"/>
          <w:sz w:val="20"/>
        </w:rPr>
        <w:t> </w:t>
      </w:r>
      <w:r>
        <w:rPr>
          <w:i/>
          <w:color w:val="0D0E0E"/>
          <w:spacing w:val="-2"/>
          <w:sz w:val="20"/>
        </w:rPr>
        <w:t>https://tradingeconomics.com/united-states/non-farm-payrolls</w:t>
      </w:r>
    </w:p>
    <w:p>
      <w:pPr>
        <w:pStyle w:val="BodyText"/>
        <w:rPr>
          <w:i/>
          <w:sz w:val="20"/>
        </w:rPr>
      </w:pPr>
    </w:p>
    <w:p>
      <w:pPr>
        <w:pStyle w:val="BodyText"/>
        <w:spacing w:before="223"/>
        <w:rPr>
          <w:i/>
          <w:sz w:val="20"/>
        </w:rPr>
      </w:pPr>
    </w:p>
    <w:p>
      <w:pPr>
        <w:pStyle w:val="BodyText"/>
        <w:spacing w:before="1"/>
        <w:ind w:left="609" w:right="1253" w:firstLine="707"/>
        <w:jc w:val="both"/>
      </w:pPr>
      <w:r>
        <w:rPr>
          <w:color w:val="0D0E0E"/>
        </w:rPr>
        <w:t>Por sua vez, o relatório Jolts, responsável por informar o número de vagas abertas, trouxe</w:t>
      </w:r>
      <w:r>
        <w:rPr>
          <w:color w:val="0D0E0E"/>
          <w:spacing w:val="25"/>
        </w:rPr>
        <w:t> </w:t>
      </w:r>
      <w:r>
        <w:rPr>
          <w:color w:val="0D0E0E"/>
        </w:rPr>
        <w:t>um</w:t>
      </w:r>
      <w:r>
        <w:rPr>
          <w:color w:val="0D0E0E"/>
          <w:spacing w:val="26"/>
        </w:rPr>
        <w:t> </w:t>
      </w:r>
      <w:r>
        <w:rPr>
          <w:color w:val="0D0E0E"/>
        </w:rPr>
        <w:t>dado</w:t>
      </w:r>
      <w:r>
        <w:rPr>
          <w:color w:val="0D0E0E"/>
          <w:spacing w:val="25"/>
        </w:rPr>
        <w:t> </w:t>
      </w:r>
      <w:r>
        <w:rPr>
          <w:color w:val="0D0E0E"/>
        </w:rPr>
        <w:t>em</w:t>
      </w:r>
      <w:r>
        <w:rPr>
          <w:color w:val="0D0E0E"/>
          <w:spacing w:val="28"/>
        </w:rPr>
        <w:t> </w:t>
      </w:r>
      <w:r>
        <w:rPr>
          <w:color w:val="0D0E0E"/>
        </w:rPr>
        <w:t>linha</w:t>
      </w:r>
      <w:r>
        <w:rPr>
          <w:color w:val="0D0E0E"/>
          <w:spacing w:val="27"/>
        </w:rPr>
        <w:t> </w:t>
      </w:r>
      <w:r>
        <w:rPr>
          <w:color w:val="0D0E0E"/>
        </w:rPr>
        <w:t>com</w:t>
      </w:r>
      <w:r>
        <w:rPr>
          <w:color w:val="0D0E0E"/>
          <w:spacing w:val="28"/>
        </w:rPr>
        <w:t> </w:t>
      </w:r>
      <w:r>
        <w:rPr>
          <w:color w:val="0D0E0E"/>
        </w:rPr>
        <w:t>o</w:t>
      </w:r>
      <w:r>
        <w:rPr>
          <w:color w:val="0D0E0E"/>
          <w:spacing w:val="25"/>
        </w:rPr>
        <w:t> </w:t>
      </w:r>
      <w:r>
        <w:rPr>
          <w:color w:val="0D0E0E"/>
        </w:rPr>
        <w:t>esperado</w:t>
      </w:r>
      <w:r>
        <w:rPr>
          <w:color w:val="0D0E0E"/>
          <w:spacing w:val="25"/>
        </w:rPr>
        <w:t> </w:t>
      </w:r>
      <w:r>
        <w:rPr>
          <w:color w:val="0D0E0E"/>
        </w:rPr>
        <w:t>de</w:t>
      </w:r>
      <w:r>
        <w:rPr>
          <w:color w:val="0D0E0E"/>
          <w:spacing w:val="25"/>
        </w:rPr>
        <w:t> </w:t>
      </w:r>
      <w:r>
        <w:rPr>
          <w:color w:val="0D0E0E"/>
        </w:rPr>
        <w:t>acordo</w:t>
      </w:r>
      <w:r>
        <w:rPr>
          <w:color w:val="0D0E0E"/>
          <w:spacing w:val="27"/>
        </w:rPr>
        <w:t> </w:t>
      </w:r>
      <w:r>
        <w:rPr>
          <w:color w:val="0D0E0E"/>
        </w:rPr>
        <w:t>com</w:t>
      </w:r>
      <w:r>
        <w:rPr>
          <w:color w:val="0D0E0E"/>
          <w:spacing w:val="31"/>
        </w:rPr>
        <w:t> </w:t>
      </w:r>
      <w:r>
        <w:rPr>
          <w:color w:val="0D0E0E"/>
        </w:rPr>
        <w:t>o</w:t>
      </w:r>
      <w:r>
        <w:rPr>
          <w:color w:val="0D0E0E"/>
          <w:spacing w:val="28"/>
        </w:rPr>
        <w:t> </w:t>
      </w:r>
      <w:r>
        <w:rPr>
          <w:color w:val="0D0E0E"/>
        </w:rPr>
        <w:t>último</w:t>
      </w:r>
      <w:r>
        <w:rPr>
          <w:color w:val="0D0E0E"/>
          <w:spacing w:val="27"/>
        </w:rPr>
        <w:t> </w:t>
      </w:r>
      <w:r>
        <w:rPr>
          <w:color w:val="0D0E0E"/>
        </w:rPr>
        <w:t>resultado</w:t>
      </w:r>
      <w:r>
        <w:rPr>
          <w:color w:val="0D0E0E"/>
          <w:spacing w:val="28"/>
        </w:rPr>
        <w:t> </w:t>
      </w:r>
      <w:r>
        <w:rPr>
          <w:color w:val="0D0E0E"/>
        </w:rPr>
        <w:t>divulgado,</w:t>
      </w:r>
    </w:p>
    <w:p>
      <w:pPr>
        <w:pStyle w:val="BodyText"/>
        <w:spacing w:after="0"/>
        <w:jc w:val="both"/>
        <w:sectPr>
          <w:pgSz w:w="11920" w:h="16850"/>
          <w:pgMar w:top="1320" w:bottom="280" w:left="992" w:right="141"/>
        </w:sectPr>
      </w:pPr>
    </w:p>
    <w:p>
      <w:pPr>
        <w:pStyle w:val="BodyText"/>
        <w:spacing w:before="39"/>
        <w:ind w:left="609" w:right="1253"/>
        <w:jc w:val="both"/>
      </w:pPr>
      <w:r>
        <w:rPr>
          <w:color w:val="0D0E0E"/>
        </w:rPr>
        <w:t>porém mostrando uma evidente tendência de queda em número de vagas abertas. O resultado</w:t>
      </w:r>
      <w:r>
        <w:rPr>
          <w:color w:val="0D0E0E"/>
          <w:spacing w:val="-8"/>
        </w:rPr>
        <w:t> </w:t>
      </w:r>
      <w:r>
        <w:rPr>
          <w:color w:val="0D0E0E"/>
        </w:rPr>
        <w:t>de</w:t>
      </w:r>
      <w:r>
        <w:rPr>
          <w:color w:val="0D0E0E"/>
          <w:spacing w:val="-8"/>
        </w:rPr>
        <w:t> </w:t>
      </w:r>
      <w:r>
        <w:rPr>
          <w:color w:val="0D0E0E"/>
        </w:rPr>
        <w:t>8,8</w:t>
      </w:r>
      <w:r>
        <w:rPr>
          <w:color w:val="0D0E0E"/>
          <w:spacing w:val="-7"/>
        </w:rPr>
        <w:t> </w:t>
      </w:r>
      <w:r>
        <w:rPr>
          <w:color w:val="0D0E0E"/>
        </w:rPr>
        <w:t>milhões</w:t>
      </w:r>
      <w:r>
        <w:rPr>
          <w:color w:val="0D0E0E"/>
          <w:spacing w:val="-11"/>
        </w:rPr>
        <w:t> </w:t>
      </w:r>
      <w:r>
        <w:rPr>
          <w:color w:val="0D0E0E"/>
        </w:rPr>
        <w:t>de</w:t>
      </w:r>
      <w:r>
        <w:rPr>
          <w:color w:val="0D0E0E"/>
          <w:spacing w:val="-8"/>
        </w:rPr>
        <w:t> </w:t>
      </w:r>
      <w:r>
        <w:rPr>
          <w:color w:val="0D0E0E"/>
        </w:rPr>
        <w:t>vagas</w:t>
      </w:r>
      <w:r>
        <w:rPr>
          <w:color w:val="0D0E0E"/>
          <w:spacing w:val="-9"/>
        </w:rPr>
        <w:t> </w:t>
      </w:r>
      <w:r>
        <w:rPr>
          <w:color w:val="0D0E0E"/>
        </w:rPr>
        <w:t>é</w:t>
      </w:r>
      <w:r>
        <w:rPr>
          <w:color w:val="0D0E0E"/>
          <w:spacing w:val="-8"/>
        </w:rPr>
        <w:t> </w:t>
      </w:r>
      <w:r>
        <w:rPr>
          <w:color w:val="0D0E0E"/>
        </w:rPr>
        <w:t>o</w:t>
      </w:r>
      <w:r>
        <w:rPr>
          <w:color w:val="0D0E0E"/>
          <w:spacing w:val="-6"/>
        </w:rPr>
        <w:t> </w:t>
      </w:r>
      <w:r>
        <w:rPr>
          <w:color w:val="0D0E0E"/>
        </w:rPr>
        <w:t>menor</w:t>
      </w:r>
      <w:r>
        <w:rPr>
          <w:color w:val="0D0E0E"/>
          <w:spacing w:val="-8"/>
        </w:rPr>
        <w:t> </w:t>
      </w:r>
      <w:r>
        <w:rPr>
          <w:color w:val="0D0E0E"/>
        </w:rPr>
        <w:t>desde</w:t>
      </w:r>
      <w:r>
        <w:rPr>
          <w:color w:val="0D0E0E"/>
          <w:spacing w:val="-6"/>
        </w:rPr>
        <w:t> </w:t>
      </w:r>
      <w:r>
        <w:rPr>
          <w:color w:val="0D0E0E"/>
        </w:rPr>
        <w:t>março</w:t>
      </w:r>
      <w:r>
        <w:rPr>
          <w:color w:val="0D0E0E"/>
          <w:spacing w:val="-11"/>
        </w:rPr>
        <w:t> </w:t>
      </w:r>
      <w:r>
        <w:rPr>
          <w:color w:val="0D0E0E"/>
        </w:rPr>
        <w:t>de</w:t>
      </w:r>
      <w:r>
        <w:rPr>
          <w:color w:val="0D0E0E"/>
          <w:spacing w:val="-8"/>
        </w:rPr>
        <w:t> </w:t>
      </w:r>
      <w:r>
        <w:rPr>
          <w:color w:val="0D0E0E"/>
        </w:rPr>
        <w:t>2021,</w:t>
      </w:r>
      <w:r>
        <w:rPr>
          <w:color w:val="0D0E0E"/>
          <w:spacing w:val="-9"/>
        </w:rPr>
        <w:t> </w:t>
      </w:r>
      <w:r>
        <w:rPr>
          <w:color w:val="0D0E0E"/>
        </w:rPr>
        <w:t>somado</w:t>
      </w:r>
      <w:r>
        <w:rPr>
          <w:color w:val="0D0E0E"/>
          <w:spacing w:val="-8"/>
        </w:rPr>
        <w:t> </w:t>
      </w:r>
      <w:r>
        <w:rPr>
          <w:color w:val="0D0E0E"/>
        </w:rPr>
        <w:t>que</w:t>
      </w:r>
      <w:r>
        <w:rPr>
          <w:color w:val="0D0E0E"/>
          <w:spacing w:val="-8"/>
        </w:rPr>
        <w:t> </w:t>
      </w:r>
      <w:r>
        <w:rPr>
          <w:color w:val="0D0E0E"/>
        </w:rPr>
        <w:t>é</w:t>
      </w:r>
      <w:r>
        <w:rPr>
          <w:color w:val="0D0E0E"/>
          <w:spacing w:val="-11"/>
        </w:rPr>
        <w:t> </w:t>
      </w:r>
      <w:r>
        <w:rPr>
          <w:color w:val="0D0E0E"/>
        </w:rPr>
        <w:t>o</w:t>
      </w:r>
      <w:r>
        <w:rPr>
          <w:color w:val="0D0E0E"/>
          <w:spacing w:val="-8"/>
        </w:rPr>
        <w:t> </w:t>
      </w:r>
      <w:r>
        <w:rPr>
          <w:color w:val="0D0E0E"/>
        </w:rPr>
        <w:t>terceiro mês consecutivo de queda do número.</w:t>
      </w:r>
    </w:p>
    <w:p>
      <w:pPr>
        <w:pStyle w:val="BodyText"/>
        <w:spacing w:before="240"/>
        <w:ind w:left="704" w:right="644"/>
        <w:jc w:val="center"/>
      </w:pPr>
      <w:r>
        <w:rPr>
          <w:color w:val="0D0E0E"/>
        </w:rPr>
        <w:t>Vagas</w:t>
      </w:r>
      <w:r>
        <w:rPr>
          <w:color w:val="0D0E0E"/>
          <w:spacing w:val="-4"/>
        </w:rPr>
        <w:t> </w:t>
      </w:r>
      <w:r>
        <w:rPr>
          <w:color w:val="0D0E0E"/>
        </w:rPr>
        <w:t>abertas</w:t>
      </w:r>
      <w:r>
        <w:rPr>
          <w:color w:val="0D0E0E"/>
          <w:spacing w:val="-2"/>
        </w:rPr>
        <w:t> </w:t>
      </w:r>
      <w:r>
        <w:rPr>
          <w:color w:val="0D0E0E"/>
        </w:rPr>
        <w:t>(Jolts)</w:t>
      </w:r>
      <w:r>
        <w:rPr>
          <w:color w:val="0D0E0E"/>
          <w:spacing w:val="-1"/>
        </w:rPr>
        <w:t> </w:t>
      </w:r>
      <w:r>
        <w:rPr>
          <w:color w:val="0D0E0E"/>
        </w:rPr>
        <w:t>-</w:t>
      </w:r>
      <w:r>
        <w:rPr>
          <w:color w:val="0D0E0E"/>
          <w:spacing w:val="-2"/>
        </w:rPr>
        <w:t> </w:t>
      </w:r>
      <w:r>
        <w:rPr>
          <w:color w:val="0D0E0E"/>
          <w:spacing w:val="-4"/>
        </w:rPr>
        <w:t>EUA:</w:t>
      </w:r>
    </w:p>
    <w:p>
      <w:pPr>
        <w:pStyle w:val="BodyText"/>
        <w:spacing w:before="4"/>
        <w:rPr>
          <w:sz w:val="10"/>
        </w:rPr>
      </w:pPr>
      <w:r>
        <w:rPr>
          <w:sz w:val="10"/>
        </w:rPr>
        <w:drawing>
          <wp:anchor distT="0" distB="0" distL="0" distR="0" allowOverlap="1" layoutInCell="1" locked="0" behindDoc="1" simplePos="0" relativeHeight="487589376">
            <wp:simplePos x="0" y="0"/>
            <wp:positionH relativeFrom="page">
              <wp:posOffset>1112519</wp:posOffset>
            </wp:positionH>
            <wp:positionV relativeFrom="paragraph">
              <wp:posOffset>95456</wp:posOffset>
            </wp:positionV>
            <wp:extent cx="5678622" cy="277749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678622" cy="2777490"/>
                    </a:xfrm>
                    <a:prstGeom prst="rect">
                      <a:avLst/>
                    </a:prstGeom>
                  </pic:spPr>
                </pic:pic>
              </a:graphicData>
            </a:graphic>
          </wp:anchor>
        </w:drawing>
      </w:r>
    </w:p>
    <w:p>
      <w:pPr>
        <w:spacing w:before="0"/>
        <w:ind w:left="1317" w:right="0" w:firstLine="0"/>
        <w:jc w:val="left"/>
        <w:rPr>
          <w:i/>
          <w:sz w:val="20"/>
        </w:rPr>
      </w:pPr>
      <w:r>
        <w:rPr>
          <w:i/>
          <w:color w:val="0D0E0E"/>
          <w:spacing w:val="-2"/>
          <w:sz w:val="20"/>
        </w:rPr>
        <w:t>Fonte:</w:t>
      </w:r>
      <w:r>
        <w:rPr>
          <w:i/>
          <w:color w:val="0D0E0E"/>
          <w:spacing w:val="52"/>
          <w:sz w:val="20"/>
        </w:rPr>
        <w:t> </w:t>
      </w:r>
      <w:r>
        <w:rPr>
          <w:i/>
          <w:color w:val="0D0E0E"/>
          <w:spacing w:val="-2"/>
          <w:sz w:val="20"/>
        </w:rPr>
        <w:t>https://tradingeconomics.com/united-states/job-offers</w:t>
      </w:r>
    </w:p>
    <w:p>
      <w:pPr>
        <w:pStyle w:val="BodyText"/>
        <w:spacing w:line="259" w:lineRule="auto" w:before="224"/>
        <w:ind w:left="609" w:right="1253" w:firstLine="707"/>
        <w:jc w:val="both"/>
      </w:pPr>
      <w:r>
        <w:rPr>
          <w:color w:val="0D0E0E"/>
        </w:rPr>
        <w:t>Dentre outros fatores, esse dado corrobora para que o FED possa reavaliar sua posição em manter a taxa básica de juros nos atuais patamares entre 5,25% e 5,5%, pois com uma materialização do enfraquecimento do mercado de trabalho e por consequência, da</w:t>
      </w:r>
      <w:r>
        <w:rPr>
          <w:color w:val="0D0E0E"/>
          <w:spacing w:val="-9"/>
        </w:rPr>
        <w:t> </w:t>
      </w:r>
      <w:r>
        <w:rPr>
          <w:color w:val="0D0E0E"/>
        </w:rPr>
        <w:t>inflação,</w:t>
      </w:r>
      <w:r>
        <w:rPr>
          <w:color w:val="0D0E0E"/>
          <w:spacing w:val="-8"/>
        </w:rPr>
        <w:t> </w:t>
      </w:r>
      <w:r>
        <w:rPr>
          <w:color w:val="0D0E0E"/>
        </w:rPr>
        <w:t>o</w:t>
      </w:r>
      <w:r>
        <w:rPr>
          <w:color w:val="0D0E0E"/>
          <w:spacing w:val="-8"/>
        </w:rPr>
        <w:t> </w:t>
      </w:r>
      <w:r>
        <w:rPr>
          <w:color w:val="0D0E0E"/>
        </w:rPr>
        <w:t>Banco</w:t>
      </w:r>
      <w:r>
        <w:rPr>
          <w:color w:val="0D0E0E"/>
          <w:spacing w:val="-8"/>
        </w:rPr>
        <w:t> </w:t>
      </w:r>
      <w:r>
        <w:rPr>
          <w:color w:val="0D0E0E"/>
        </w:rPr>
        <w:t>Central</w:t>
      </w:r>
      <w:r>
        <w:rPr>
          <w:color w:val="0D0E0E"/>
          <w:spacing w:val="-8"/>
        </w:rPr>
        <w:t> </w:t>
      </w:r>
      <w:r>
        <w:rPr>
          <w:color w:val="0D0E0E"/>
        </w:rPr>
        <w:t>possui</w:t>
      </w:r>
      <w:r>
        <w:rPr>
          <w:color w:val="0D0E0E"/>
          <w:spacing w:val="-11"/>
        </w:rPr>
        <w:t> </w:t>
      </w:r>
      <w:r>
        <w:rPr>
          <w:color w:val="0D0E0E"/>
        </w:rPr>
        <w:t>espaço</w:t>
      </w:r>
      <w:r>
        <w:rPr>
          <w:color w:val="0D0E0E"/>
          <w:spacing w:val="-11"/>
        </w:rPr>
        <w:t> </w:t>
      </w:r>
      <w:r>
        <w:rPr>
          <w:color w:val="0D0E0E"/>
        </w:rPr>
        <w:t>para</w:t>
      </w:r>
      <w:r>
        <w:rPr>
          <w:color w:val="0D0E0E"/>
          <w:spacing w:val="-8"/>
        </w:rPr>
        <w:t> </w:t>
      </w:r>
      <w:r>
        <w:rPr>
          <w:color w:val="0D0E0E"/>
        </w:rPr>
        <w:t>atuação</w:t>
      </w:r>
      <w:r>
        <w:rPr>
          <w:color w:val="0D0E0E"/>
          <w:spacing w:val="-8"/>
        </w:rPr>
        <w:t> </w:t>
      </w:r>
      <w:r>
        <w:rPr>
          <w:color w:val="0D0E0E"/>
        </w:rPr>
        <w:t>em</w:t>
      </w:r>
      <w:r>
        <w:rPr>
          <w:color w:val="0D0E0E"/>
          <w:spacing w:val="-10"/>
        </w:rPr>
        <w:t> </w:t>
      </w:r>
      <w:r>
        <w:rPr>
          <w:color w:val="0D0E0E"/>
        </w:rPr>
        <w:t>uma</w:t>
      </w:r>
      <w:r>
        <w:rPr>
          <w:color w:val="0D0E0E"/>
          <w:spacing w:val="-8"/>
        </w:rPr>
        <w:t> </w:t>
      </w:r>
      <w:r>
        <w:rPr>
          <w:color w:val="0D0E0E"/>
        </w:rPr>
        <w:t>frente</w:t>
      </w:r>
      <w:r>
        <w:rPr>
          <w:color w:val="0D0E0E"/>
          <w:spacing w:val="-5"/>
        </w:rPr>
        <w:t> </w:t>
      </w:r>
      <w:r>
        <w:rPr>
          <w:color w:val="0D0E0E"/>
        </w:rPr>
        <w:t>mais</w:t>
      </w:r>
      <w:r>
        <w:rPr>
          <w:color w:val="0D0E0E"/>
          <w:spacing w:val="-9"/>
        </w:rPr>
        <w:t> </w:t>
      </w:r>
      <w:r>
        <w:rPr>
          <w:color w:val="0D0E0E"/>
        </w:rPr>
        <w:t>estimulante</w:t>
      </w:r>
      <w:r>
        <w:rPr>
          <w:color w:val="0D0E0E"/>
          <w:spacing w:val="-8"/>
        </w:rPr>
        <w:t> </w:t>
      </w:r>
      <w:r>
        <w:rPr>
          <w:color w:val="0D0E0E"/>
        </w:rPr>
        <w:t>no </w:t>
      </w:r>
      <w:r>
        <w:rPr>
          <w:color w:val="0D0E0E"/>
          <w:spacing w:val="-2"/>
        </w:rPr>
        <w:t>mercado.</w:t>
      </w:r>
    </w:p>
    <w:p>
      <w:pPr>
        <w:pStyle w:val="BodyText"/>
      </w:pPr>
    </w:p>
    <w:p>
      <w:pPr>
        <w:pStyle w:val="BodyText"/>
        <w:spacing w:before="50"/>
      </w:pPr>
    </w:p>
    <w:p>
      <w:pPr>
        <w:pStyle w:val="Heading3"/>
      </w:pPr>
      <w:r>
        <w:rPr>
          <w:spacing w:val="-2"/>
        </w:rPr>
        <w:t>Inflação</w:t>
      </w:r>
    </w:p>
    <w:p>
      <w:pPr>
        <w:pStyle w:val="BodyText"/>
        <w:spacing w:line="259" w:lineRule="auto" w:before="239"/>
        <w:ind w:left="609" w:right="1252" w:firstLine="707"/>
        <w:jc w:val="both"/>
      </w:pPr>
      <w:r>
        <w:rPr>
          <w:color w:val="0D0E0E"/>
        </w:rPr>
        <w:t>E</w:t>
      </w:r>
      <w:r>
        <w:rPr>
          <w:color w:val="0D0E0E"/>
          <w:spacing w:val="-8"/>
        </w:rPr>
        <w:t> </w:t>
      </w:r>
      <w:r>
        <w:rPr>
          <w:color w:val="0D0E0E"/>
        </w:rPr>
        <w:t>trazendo</w:t>
      </w:r>
      <w:r>
        <w:rPr>
          <w:color w:val="0D0E0E"/>
          <w:spacing w:val="-8"/>
        </w:rPr>
        <w:t> </w:t>
      </w:r>
      <w:r>
        <w:rPr>
          <w:color w:val="0D0E0E"/>
        </w:rPr>
        <w:t>o</w:t>
      </w:r>
      <w:r>
        <w:rPr>
          <w:color w:val="0D0E0E"/>
          <w:spacing w:val="-8"/>
        </w:rPr>
        <w:t> </w:t>
      </w:r>
      <w:r>
        <w:rPr>
          <w:color w:val="0D0E0E"/>
        </w:rPr>
        <w:t>tema</w:t>
      </w:r>
      <w:r>
        <w:rPr>
          <w:color w:val="0D0E0E"/>
          <w:spacing w:val="-8"/>
        </w:rPr>
        <w:t> </w:t>
      </w:r>
      <w:r>
        <w:rPr>
          <w:color w:val="0D0E0E"/>
        </w:rPr>
        <w:t>à</w:t>
      </w:r>
      <w:r>
        <w:rPr>
          <w:color w:val="0D0E0E"/>
          <w:spacing w:val="-9"/>
        </w:rPr>
        <w:t> </w:t>
      </w:r>
      <w:r>
        <w:rPr>
          <w:color w:val="0D0E0E"/>
        </w:rPr>
        <w:t>tona,</w:t>
      </w:r>
      <w:r>
        <w:rPr>
          <w:color w:val="0D0E0E"/>
          <w:spacing w:val="-9"/>
        </w:rPr>
        <w:t> </w:t>
      </w:r>
      <w:r>
        <w:rPr>
          <w:color w:val="0D0E0E"/>
        </w:rPr>
        <w:t>o</w:t>
      </w:r>
      <w:r>
        <w:rPr>
          <w:color w:val="0D0E0E"/>
          <w:spacing w:val="-8"/>
        </w:rPr>
        <w:t> </w:t>
      </w:r>
      <w:r>
        <w:rPr>
          <w:color w:val="0D0E0E"/>
        </w:rPr>
        <w:t>Consumer</w:t>
      </w:r>
      <w:r>
        <w:rPr>
          <w:color w:val="0D0E0E"/>
          <w:spacing w:val="-10"/>
        </w:rPr>
        <w:t> </w:t>
      </w:r>
      <w:r>
        <w:rPr>
          <w:color w:val="0D0E0E"/>
        </w:rPr>
        <w:t>Price</w:t>
      </w:r>
      <w:r>
        <w:rPr>
          <w:color w:val="0D0E0E"/>
          <w:spacing w:val="-8"/>
        </w:rPr>
        <w:t> </w:t>
      </w:r>
      <w:r>
        <w:rPr>
          <w:color w:val="0D0E0E"/>
        </w:rPr>
        <w:t>Index</w:t>
      </w:r>
      <w:r>
        <w:rPr>
          <w:color w:val="0D0E0E"/>
          <w:spacing w:val="-7"/>
        </w:rPr>
        <w:t> </w:t>
      </w:r>
      <w:r>
        <w:rPr>
          <w:color w:val="0D0E0E"/>
        </w:rPr>
        <w:t>(CPI)</w:t>
      </w:r>
      <w:r>
        <w:rPr>
          <w:color w:val="0D0E0E"/>
          <w:spacing w:val="-10"/>
        </w:rPr>
        <w:t> </w:t>
      </w:r>
      <w:r>
        <w:rPr>
          <w:color w:val="0D0E0E"/>
        </w:rPr>
        <w:t>de</w:t>
      </w:r>
      <w:r>
        <w:rPr>
          <w:color w:val="0D0E0E"/>
          <w:spacing w:val="-8"/>
        </w:rPr>
        <w:t> </w:t>
      </w:r>
      <w:r>
        <w:rPr>
          <w:color w:val="0D0E0E"/>
        </w:rPr>
        <w:t>dezembro</w:t>
      </w:r>
      <w:r>
        <w:rPr>
          <w:color w:val="0D0E0E"/>
          <w:spacing w:val="-8"/>
        </w:rPr>
        <w:t> </w:t>
      </w:r>
      <w:r>
        <w:rPr>
          <w:color w:val="0D0E0E"/>
        </w:rPr>
        <w:t>veio</w:t>
      </w:r>
      <w:r>
        <w:rPr>
          <w:color w:val="0D0E0E"/>
          <w:spacing w:val="-8"/>
        </w:rPr>
        <w:t> </w:t>
      </w:r>
      <w:r>
        <w:rPr>
          <w:color w:val="0D0E0E"/>
        </w:rPr>
        <w:t>levemente superior ao consenso projetado, em 0,3% versus 0,2% de projeção para o último mês do ano. Dentre os destaques, vale citar o grupo de Moradia, que foi responsável por mais da metade do aumento seguido pelo subitem de Energia que aumentou 0,4%. O grupo de Alimentos manteve a alta que no mês anterior de 0,2%.</w:t>
      </w:r>
    </w:p>
    <w:p>
      <w:pPr>
        <w:pStyle w:val="BodyText"/>
        <w:spacing w:after="0" w:line="259" w:lineRule="auto"/>
        <w:jc w:val="both"/>
        <w:sectPr>
          <w:pgSz w:w="11920" w:h="16850"/>
          <w:pgMar w:top="1320" w:bottom="280" w:left="992" w:right="141"/>
        </w:sectPr>
      </w:pPr>
    </w:p>
    <w:p>
      <w:pPr>
        <w:pStyle w:val="BodyText"/>
        <w:spacing w:before="39"/>
        <w:ind w:left="703" w:right="644"/>
        <w:jc w:val="center"/>
      </w:pPr>
      <w:r>
        <w:rPr>
          <w:color w:val="0D0E0E"/>
        </w:rPr>
        <w:t>CPI</w:t>
      </w:r>
      <w:r>
        <w:rPr>
          <w:color w:val="0D0E0E"/>
          <w:spacing w:val="-2"/>
        </w:rPr>
        <w:t> </w:t>
      </w:r>
      <w:r>
        <w:rPr>
          <w:color w:val="0D0E0E"/>
        </w:rPr>
        <w:t>mensal-</w:t>
      </w:r>
      <w:r>
        <w:rPr>
          <w:color w:val="0D0E0E"/>
          <w:spacing w:val="-2"/>
        </w:rPr>
        <w:t> </w:t>
      </w:r>
      <w:r>
        <w:rPr>
          <w:color w:val="0D0E0E"/>
        </w:rPr>
        <w:t>Estados </w:t>
      </w:r>
      <w:r>
        <w:rPr>
          <w:color w:val="0D0E0E"/>
          <w:spacing w:val="-2"/>
        </w:rPr>
        <w:t>Unidos:</w:t>
      </w:r>
    </w:p>
    <w:p>
      <w:pPr>
        <w:pStyle w:val="BodyText"/>
        <w:spacing w:before="11"/>
        <w:rPr>
          <w:sz w:val="12"/>
        </w:rPr>
      </w:pPr>
      <w:r>
        <w:rPr>
          <w:sz w:val="12"/>
        </w:rPr>
        <w:drawing>
          <wp:anchor distT="0" distB="0" distL="0" distR="0" allowOverlap="1" layoutInCell="1" locked="0" behindDoc="1" simplePos="0" relativeHeight="487589888">
            <wp:simplePos x="0" y="0"/>
            <wp:positionH relativeFrom="page">
              <wp:posOffset>1051560</wp:posOffset>
            </wp:positionH>
            <wp:positionV relativeFrom="paragraph">
              <wp:posOffset>115716</wp:posOffset>
            </wp:positionV>
            <wp:extent cx="5655664" cy="279292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655664" cy="2792920"/>
                    </a:xfrm>
                    <a:prstGeom prst="rect">
                      <a:avLst/>
                    </a:prstGeom>
                  </pic:spPr>
                </pic:pic>
              </a:graphicData>
            </a:graphic>
          </wp:anchor>
        </w:drawing>
      </w:r>
    </w:p>
    <w:p>
      <w:pPr>
        <w:spacing w:before="14"/>
        <w:ind w:left="1317" w:right="0" w:firstLine="0"/>
        <w:jc w:val="left"/>
        <w:rPr>
          <w:i/>
          <w:sz w:val="20"/>
        </w:rPr>
      </w:pPr>
      <w:r>
        <w:rPr>
          <w:i/>
          <w:color w:val="0D0E0E"/>
          <w:spacing w:val="-2"/>
          <w:sz w:val="20"/>
        </w:rPr>
        <w:t>Fonte:</w:t>
      </w:r>
      <w:r>
        <w:rPr>
          <w:i/>
          <w:color w:val="0D0E0E"/>
          <w:spacing w:val="65"/>
          <w:sz w:val="20"/>
        </w:rPr>
        <w:t> </w:t>
      </w:r>
      <w:r>
        <w:rPr>
          <w:i/>
          <w:color w:val="0D0E0E"/>
          <w:spacing w:val="-2"/>
          <w:sz w:val="20"/>
        </w:rPr>
        <w:t>https://tradingeconomics.com/united-states/inflation-rate-</w:t>
      </w:r>
      <w:r>
        <w:rPr>
          <w:i/>
          <w:color w:val="0D0E0E"/>
          <w:spacing w:val="-5"/>
          <w:sz w:val="20"/>
        </w:rPr>
        <w:t>mom</w:t>
      </w:r>
    </w:p>
    <w:p>
      <w:pPr>
        <w:pStyle w:val="BodyText"/>
        <w:spacing w:line="259" w:lineRule="auto" w:before="238"/>
        <w:ind w:left="609" w:right="1335" w:firstLine="707"/>
      </w:pPr>
      <w:r>
        <w:rPr>
          <w:color w:val="0D0E0E"/>
        </w:rPr>
        <w:t>No ano, o dado veio em 3,4% ante o ajustado 3,1% de novembro e versus projeção de 3,2% esperado pelo mercado.</w:t>
      </w:r>
    </w:p>
    <w:p>
      <w:pPr>
        <w:pStyle w:val="BodyText"/>
        <w:spacing w:before="160"/>
        <w:ind w:left="703" w:right="644"/>
        <w:jc w:val="center"/>
      </w:pPr>
      <w:r>
        <w:rPr/>
        <w:drawing>
          <wp:anchor distT="0" distB="0" distL="0" distR="0" allowOverlap="1" layoutInCell="1" locked="0" behindDoc="1" simplePos="0" relativeHeight="487590400">
            <wp:simplePos x="0" y="0"/>
            <wp:positionH relativeFrom="page">
              <wp:posOffset>967739</wp:posOffset>
            </wp:positionH>
            <wp:positionV relativeFrom="paragraph">
              <wp:posOffset>292828</wp:posOffset>
            </wp:positionV>
            <wp:extent cx="5679031" cy="2800635"/>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5679031" cy="2800635"/>
                    </a:xfrm>
                    <a:prstGeom prst="rect">
                      <a:avLst/>
                    </a:prstGeom>
                  </pic:spPr>
                </pic:pic>
              </a:graphicData>
            </a:graphic>
          </wp:anchor>
        </w:drawing>
      </w:r>
      <w:r>
        <w:rPr>
          <w:color w:val="0D0E0E"/>
        </w:rPr>
        <w:t>CPI</w:t>
      </w:r>
      <w:r>
        <w:rPr>
          <w:color w:val="0D0E0E"/>
          <w:spacing w:val="-1"/>
        </w:rPr>
        <w:t> </w:t>
      </w:r>
      <w:r>
        <w:rPr>
          <w:color w:val="0D0E0E"/>
        </w:rPr>
        <w:t>anual</w:t>
      </w:r>
      <w:r>
        <w:rPr>
          <w:color w:val="0D0E0E"/>
          <w:spacing w:val="-1"/>
        </w:rPr>
        <w:t> </w:t>
      </w:r>
      <w:r>
        <w:rPr>
          <w:color w:val="0D0E0E"/>
        </w:rPr>
        <w:t>-</w:t>
      </w:r>
      <w:r>
        <w:rPr>
          <w:color w:val="0D0E0E"/>
          <w:spacing w:val="-2"/>
        </w:rPr>
        <w:t> </w:t>
      </w:r>
      <w:r>
        <w:rPr>
          <w:color w:val="0D0E0E"/>
        </w:rPr>
        <w:t>Estados </w:t>
      </w:r>
      <w:r>
        <w:rPr>
          <w:color w:val="0D0E0E"/>
          <w:spacing w:val="-2"/>
        </w:rPr>
        <w:t>Unidos:</w:t>
      </w:r>
    </w:p>
    <w:p>
      <w:pPr>
        <w:spacing w:before="0"/>
        <w:ind w:left="1317" w:right="0" w:firstLine="0"/>
        <w:jc w:val="left"/>
        <w:rPr>
          <w:i/>
          <w:sz w:val="20"/>
        </w:rPr>
      </w:pPr>
      <w:r>
        <w:rPr>
          <w:i/>
          <w:color w:val="0D0E0E"/>
          <w:spacing w:val="-2"/>
          <w:sz w:val="20"/>
        </w:rPr>
        <w:t>Fonte:</w:t>
      </w:r>
      <w:r>
        <w:rPr>
          <w:i/>
          <w:color w:val="0D0E0E"/>
          <w:spacing w:val="61"/>
          <w:sz w:val="20"/>
        </w:rPr>
        <w:t> </w:t>
      </w:r>
      <w:r>
        <w:rPr>
          <w:i/>
          <w:color w:val="0D0E0E"/>
          <w:spacing w:val="-2"/>
          <w:sz w:val="20"/>
        </w:rPr>
        <w:t>https://tradingeconomics.com/united-states/inflation-</w:t>
      </w:r>
      <w:r>
        <w:rPr>
          <w:i/>
          <w:color w:val="0D0E0E"/>
          <w:spacing w:val="-5"/>
          <w:sz w:val="20"/>
        </w:rPr>
        <w:t>cpi</w:t>
      </w:r>
    </w:p>
    <w:p>
      <w:pPr>
        <w:pStyle w:val="BodyText"/>
        <w:spacing w:line="259" w:lineRule="auto" w:before="224"/>
        <w:ind w:left="609" w:right="1254" w:firstLine="707"/>
        <w:jc w:val="both"/>
      </w:pPr>
      <w:r>
        <w:rPr>
          <w:color w:val="0D0E0E"/>
        </w:rPr>
        <w:t>E como métrica ainda mais observada pelo FED para embasamento nas discussões de política monetária, entra o núcleo do CPI que traz o dado descontando os itens mais voláteis do cesto na análise, como por exemplo Energia e Alimentos.</w:t>
      </w:r>
    </w:p>
    <w:p>
      <w:pPr>
        <w:pStyle w:val="BodyText"/>
        <w:spacing w:line="259" w:lineRule="auto" w:before="160"/>
        <w:ind w:left="609" w:right="1252" w:firstLine="707"/>
        <w:jc w:val="both"/>
      </w:pPr>
      <w:r>
        <w:rPr>
          <w:color w:val="0D0E0E"/>
        </w:rPr>
        <w:t>Nessa métrica, permanece em destaque o setor de Moradia com aumento que representa</w:t>
      </w:r>
      <w:r>
        <w:rPr>
          <w:color w:val="0D0E0E"/>
          <w:spacing w:val="-1"/>
        </w:rPr>
        <w:t> </w:t>
      </w:r>
      <w:r>
        <w:rPr>
          <w:color w:val="0D0E0E"/>
        </w:rPr>
        <w:t>mais da metade do aumento de todo o índice. A variação anual do indicador foi de 3,9%, um pouco acima da projeção de 3,8%, porém abaixo dos 4% de novembro. Ainda que</w:t>
      </w:r>
      <w:r>
        <w:rPr>
          <w:color w:val="0D0E0E"/>
          <w:spacing w:val="-6"/>
        </w:rPr>
        <w:t> </w:t>
      </w:r>
      <w:r>
        <w:rPr>
          <w:color w:val="0D0E0E"/>
        </w:rPr>
        <w:t>bem</w:t>
      </w:r>
      <w:r>
        <w:rPr>
          <w:color w:val="0D0E0E"/>
          <w:spacing w:val="-3"/>
        </w:rPr>
        <w:t> </w:t>
      </w:r>
      <w:r>
        <w:rPr>
          <w:color w:val="0D0E0E"/>
        </w:rPr>
        <w:t>acima</w:t>
      </w:r>
      <w:r>
        <w:rPr>
          <w:color w:val="0D0E0E"/>
          <w:spacing w:val="-6"/>
        </w:rPr>
        <w:t> </w:t>
      </w:r>
      <w:r>
        <w:rPr>
          <w:color w:val="0D0E0E"/>
        </w:rPr>
        <w:t>da</w:t>
      </w:r>
      <w:r>
        <w:rPr>
          <w:color w:val="0D0E0E"/>
          <w:spacing w:val="-4"/>
        </w:rPr>
        <w:t> </w:t>
      </w:r>
      <w:r>
        <w:rPr>
          <w:color w:val="0D0E0E"/>
        </w:rPr>
        <w:t>meta</w:t>
      </w:r>
      <w:r>
        <w:rPr>
          <w:color w:val="0D0E0E"/>
          <w:spacing w:val="-6"/>
        </w:rPr>
        <w:t> </w:t>
      </w:r>
      <w:r>
        <w:rPr>
          <w:color w:val="0D0E0E"/>
        </w:rPr>
        <w:t>de</w:t>
      </w:r>
      <w:r>
        <w:rPr>
          <w:color w:val="0D0E0E"/>
          <w:spacing w:val="-3"/>
        </w:rPr>
        <w:t> </w:t>
      </w:r>
      <w:r>
        <w:rPr>
          <w:color w:val="0D0E0E"/>
        </w:rPr>
        <w:t>2%,</w:t>
      </w:r>
      <w:r>
        <w:rPr>
          <w:color w:val="0D0E0E"/>
          <w:spacing w:val="-4"/>
        </w:rPr>
        <w:t> </w:t>
      </w:r>
      <w:r>
        <w:rPr>
          <w:color w:val="0D0E0E"/>
        </w:rPr>
        <w:t>é</w:t>
      </w:r>
      <w:r>
        <w:rPr>
          <w:color w:val="0D0E0E"/>
          <w:spacing w:val="-3"/>
        </w:rPr>
        <w:t> </w:t>
      </w:r>
      <w:r>
        <w:rPr>
          <w:color w:val="0D0E0E"/>
        </w:rPr>
        <w:t>evidente</w:t>
      </w:r>
      <w:r>
        <w:rPr>
          <w:color w:val="0D0E0E"/>
          <w:spacing w:val="-3"/>
        </w:rPr>
        <w:t> </w:t>
      </w:r>
      <w:r>
        <w:rPr>
          <w:color w:val="0D0E0E"/>
        </w:rPr>
        <w:t>a</w:t>
      </w:r>
      <w:r>
        <w:rPr>
          <w:color w:val="0D0E0E"/>
          <w:spacing w:val="-6"/>
        </w:rPr>
        <w:t> </w:t>
      </w:r>
      <w:r>
        <w:rPr>
          <w:color w:val="0D0E0E"/>
        </w:rPr>
        <w:t>efetividade</w:t>
      </w:r>
      <w:r>
        <w:rPr>
          <w:color w:val="0D0E0E"/>
          <w:spacing w:val="-6"/>
        </w:rPr>
        <w:t> </w:t>
      </w:r>
      <w:r>
        <w:rPr>
          <w:color w:val="0D0E0E"/>
        </w:rPr>
        <w:t>do</w:t>
      </w:r>
      <w:r>
        <w:rPr>
          <w:color w:val="0D0E0E"/>
          <w:spacing w:val="-3"/>
        </w:rPr>
        <w:t> </w:t>
      </w:r>
      <w:r>
        <w:rPr>
          <w:color w:val="0D0E0E"/>
        </w:rPr>
        <w:t>FED</w:t>
      </w:r>
      <w:r>
        <w:rPr>
          <w:color w:val="0D0E0E"/>
          <w:spacing w:val="-3"/>
        </w:rPr>
        <w:t> </w:t>
      </w:r>
      <w:r>
        <w:rPr>
          <w:color w:val="0D0E0E"/>
        </w:rPr>
        <w:t>em</w:t>
      </w:r>
      <w:r>
        <w:rPr>
          <w:color w:val="0D0E0E"/>
          <w:spacing w:val="-3"/>
        </w:rPr>
        <w:t> </w:t>
      </w:r>
      <w:r>
        <w:rPr>
          <w:color w:val="0D0E0E"/>
        </w:rPr>
        <w:t>reduzir</w:t>
      </w:r>
      <w:r>
        <w:rPr>
          <w:color w:val="0D0E0E"/>
          <w:spacing w:val="-4"/>
        </w:rPr>
        <w:t> </w:t>
      </w:r>
      <w:r>
        <w:rPr>
          <w:color w:val="0D0E0E"/>
        </w:rPr>
        <w:t>a</w:t>
      </w:r>
      <w:r>
        <w:rPr>
          <w:color w:val="0D0E0E"/>
          <w:spacing w:val="-4"/>
        </w:rPr>
        <w:t> </w:t>
      </w:r>
      <w:r>
        <w:rPr>
          <w:color w:val="0D0E0E"/>
        </w:rPr>
        <w:t>inflação com</w:t>
      </w:r>
      <w:r>
        <w:rPr>
          <w:color w:val="0D0E0E"/>
          <w:spacing w:val="-3"/>
        </w:rPr>
        <w:t> </w:t>
      </w:r>
      <w:r>
        <w:rPr>
          <w:color w:val="0D0E0E"/>
        </w:rPr>
        <w:t>a política monetária adotada.</w:t>
      </w:r>
    </w:p>
    <w:p>
      <w:pPr>
        <w:pStyle w:val="BodyText"/>
        <w:spacing w:before="160"/>
        <w:ind w:left="1317"/>
      </w:pPr>
      <w:r>
        <w:rPr>
          <w:color w:val="0D0E0E"/>
        </w:rPr>
        <w:t>No</w:t>
      </w:r>
      <w:r>
        <w:rPr>
          <w:color w:val="0D0E0E"/>
          <w:spacing w:val="-1"/>
        </w:rPr>
        <w:t> </w:t>
      </w:r>
      <w:r>
        <w:rPr>
          <w:color w:val="0D0E0E"/>
        </w:rPr>
        <w:t>mês,</w:t>
      </w:r>
      <w:r>
        <w:rPr>
          <w:color w:val="0D0E0E"/>
          <w:spacing w:val="-3"/>
        </w:rPr>
        <w:t> </w:t>
      </w:r>
      <w:r>
        <w:rPr>
          <w:color w:val="0D0E0E"/>
        </w:rPr>
        <w:t>o</w:t>
      </w:r>
      <w:r>
        <w:rPr>
          <w:color w:val="0D0E0E"/>
          <w:spacing w:val="-3"/>
        </w:rPr>
        <w:t> </w:t>
      </w:r>
      <w:r>
        <w:rPr>
          <w:color w:val="0D0E0E"/>
        </w:rPr>
        <w:t>núcleo avançou</w:t>
      </w:r>
      <w:r>
        <w:rPr>
          <w:color w:val="0D0E0E"/>
          <w:spacing w:val="-1"/>
        </w:rPr>
        <w:t> </w:t>
      </w:r>
      <w:r>
        <w:rPr>
          <w:color w:val="0D0E0E"/>
        </w:rPr>
        <w:t>0,3%,</w:t>
      </w:r>
      <w:r>
        <w:rPr>
          <w:color w:val="0D0E0E"/>
          <w:spacing w:val="-3"/>
        </w:rPr>
        <w:t> </w:t>
      </w:r>
      <w:r>
        <w:rPr>
          <w:color w:val="0D0E0E"/>
        </w:rPr>
        <w:t>assim</w:t>
      </w:r>
      <w:r>
        <w:rPr>
          <w:color w:val="0D0E0E"/>
          <w:spacing w:val="-1"/>
        </w:rPr>
        <w:t> </w:t>
      </w:r>
      <w:r>
        <w:rPr>
          <w:color w:val="0D0E0E"/>
        </w:rPr>
        <w:t>como</w:t>
      </w:r>
      <w:r>
        <w:rPr>
          <w:color w:val="0D0E0E"/>
          <w:spacing w:val="-4"/>
        </w:rPr>
        <w:t> </w:t>
      </w:r>
      <w:r>
        <w:rPr>
          <w:color w:val="0D0E0E"/>
        </w:rPr>
        <w:t>o CPI</w:t>
      </w:r>
      <w:r>
        <w:rPr>
          <w:color w:val="0D0E0E"/>
          <w:spacing w:val="-1"/>
        </w:rPr>
        <w:t> </w:t>
      </w:r>
      <w:r>
        <w:rPr>
          <w:color w:val="0D0E0E"/>
          <w:spacing w:val="-2"/>
        </w:rPr>
        <w:t>cheio.</w:t>
      </w:r>
    </w:p>
    <w:p>
      <w:pPr>
        <w:pStyle w:val="BodyText"/>
        <w:spacing w:after="0"/>
        <w:sectPr>
          <w:pgSz w:w="11920" w:h="16850"/>
          <w:pgMar w:top="1320" w:bottom="280" w:left="992" w:right="141"/>
        </w:sectPr>
      </w:pPr>
    </w:p>
    <w:p>
      <w:pPr>
        <w:pStyle w:val="BodyText"/>
        <w:spacing w:before="39"/>
        <w:ind w:left="703" w:right="644"/>
        <w:jc w:val="center"/>
      </w:pPr>
      <w:r>
        <w:rPr>
          <w:color w:val="0D0E0E"/>
        </w:rPr>
        <w:t>Núcleo</w:t>
      </w:r>
      <w:r>
        <w:rPr>
          <w:color w:val="0D0E0E"/>
          <w:spacing w:val="-4"/>
        </w:rPr>
        <w:t> </w:t>
      </w:r>
      <w:r>
        <w:rPr>
          <w:color w:val="0D0E0E"/>
        </w:rPr>
        <w:t>CPI</w:t>
      </w:r>
      <w:r>
        <w:rPr>
          <w:color w:val="0D0E0E"/>
          <w:spacing w:val="-3"/>
        </w:rPr>
        <w:t> </w:t>
      </w:r>
      <w:r>
        <w:rPr>
          <w:color w:val="0D0E0E"/>
        </w:rPr>
        <w:t>anual</w:t>
      </w:r>
      <w:r>
        <w:rPr>
          <w:color w:val="0D0E0E"/>
          <w:spacing w:val="-3"/>
        </w:rPr>
        <w:t> </w:t>
      </w:r>
      <w:r>
        <w:rPr>
          <w:color w:val="0D0E0E"/>
        </w:rPr>
        <w:t>-</w:t>
      </w:r>
      <w:r>
        <w:rPr>
          <w:color w:val="0D0E0E"/>
          <w:spacing w:val="-2"/>
        </w:rPr>
        <w:t> </w:t>
      </w:r>
      <w:r>
        <w:rPr>
          <w:color w:val="0D0E0E"/>
        </w:rPr>
        <w:t>Estados</w:t>
      </w:r>
      <w:r>
        <w:rPr>
          <w:color w:val="0D0E0E"/>
          <w:spacing w:val="-2"/>
        </w:rPr>
        <w:t> Unidos:</w:t>
      </w:r>
    </w:p>
    <w:p>
      <w:pPr>
        <w:pStyle w:val="BodyText"/>
        <w:spacing w:before="3"/>
        <w:rPr>
          <w:sz w:val="6"/>
        </w:rPr>
      </w:pPr>
      <w:r>
        <w:rPr>
          <w:sz w:val="6"/>
        </w:rPr>
        <w:drawing>
          <wp:anchor distT="0" distB="0" distL="0" distR="0" allowOverlap="1" layoutInCell="1" locked="0" behindDoc="1" simplePos="0" relativeHeight="487590912">
            <wp:simplePos x="0" y="0"/>
            <wp:positionH relativeFrom="page">
              <wp:posOffset>990600</wp:posOffset>
            </wp:positionH>
            <wp:positionV relativeFrom="paragraph">
              <wp:posOffset>64281</wp:posOffset>
            </wp:positionV>
            <wp:extent cx="5686408" cy="281959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5686408" cy="2819590"/>
                    </a:xfrm>
                    <a:prstGeom prst="rect">
                      <a:avLst/>
                    </a:prstGeom>
                  </pic:spPr>
                </pic:pic>
              </a:graphicData>
            </a:graphic>
          </wp:anchor>
        </w:drawing>
      </w:r>
    </w:p>
    <w:p>
      <w:pPr>
        <w:spacing w:before="0"/>
        <w:ind w:left="1317" w:right="0" w:firstLine="0"/>
        <w:jc w:val="left"/>
        <w:rPr>
          <w:i/>
          <w:sz w:val="20"/>
        </w:rPr>
      </w:pPr>
      <w:r>
        <w:rPr>
          <w:i/>
          <w:color w:val="0D0E0E"/>
          <w:spacing w:val="-2"/>
          <w:sz w:val="20"/>
        </w:rPr>
        <w:t>Fonte:</w:t>
      </w:r>
      <w:r>
        <w:rPr>
          <w:i/>
          <w:color w:val="0D0E0E"/>
          <w:spacing w:val="63"/>
          <w:sz w:val="20"/>
        </w:rPr>
        <w:t> </w:t>
      </w:r>
      <w:r>
        <w:rPr>
          <w:i/>
          <w:color w:val="0D0E0E"/>
          <w:spacing w:val="-2"/>
          <w:sz w:val="20"/>
        </w:rPr>
        <w:t>https://tradingeconomics.com/united-states/core-inflation-</w:t>
      </w:r>
      <w:r>
        <w:rPr>
          <w:i/>
          <w:color w:val="0D0E0E"/>
          <w:spacing w:val="-4"/>
          <w:sz w:val="20"/>
        </w:rPr>
        <w:t>rate</w:t>
      </w:r>
    </w:p>
    <w:p>
      <w:pPr>
        <w:pStyle w:val="BodyText"/>
        <w:rPr>
          <w:i/>
          <w:sz w:val="28"/>
        </w:rPr>
      </w:pPr>
    </w:p>
    <w:p>
      <w:pPr>
        <w:pStyle w:val="BodyText"/>
        <w:spacing w:before="11"/>
        <w:rPr>
          <w:i/>
          <w:sz w:val="28"/>
        </w:rPr>
      </w:pPr>
    </w:p>
    <w:p>
      <w:pPr>
        <w:pStyle w:val="Heading3"/>
      </w:pPr>
      <w:r>
        <w:rPr>
          <w:spacing w:val="-2"/>
        </w:rPr>
        <w:t>Juros</w:t>
      </w:r>
    </w:p>
    <w:p>
      <w:pPr>
        <w:pStyle w:val="BodyText"/>
        <w:spacing w:line="259" w:lineRule="auto" w:before="239"/>
        <w:ind w:left="609" w:right="1261" w:firstLine="707"/>
        <w:jc w:val="both"/>
      </w:pPr>
      <w:r>
        <w:rPr>
          <w:color w:val="0D0E0E"/>
        </w:rPr>
        <w:t>Com os dados colhidos até o momento, a discurso do Federal Reserve se mantém mais cauteloso do que o esperado pelo mercado. Os indicadores de atividade econômica mostram que a economia americana segue resiliente e que a inflação ainda que com tendencia de queda, segue consideravelmente acima da meta além de ter vindo acima do </w:t>
      </w:r>
      <w:r>
        <w:rPr>
          <w:color w:val="0D0E0E"/>
          <w:spacing w:val="-2"/>
        </w:rPr>
        <w:t>projetado.</w:t>
      </w:r>
    </w:p>
    <w:p>
      <w:pPr>
        <w:pStyle w:val="BodyText"/>
        <w:spacing w:before="161"/>
        <w:ind w:left="1317"/>
      </w:pPr>
      <w:r>
        <w:rPr>
          <w:color w:val="0D0E0E"/>
        </w:rPr>
        <w:t>Até</w:t>
      </w:r>
      <w:r>
        <w:rPr>
          <w:color w:val="0D0E0E"/>
          <w:spacing w:val="-3"/>
        </w:rPr>
        <w:t> </w:t>
      </w:r>
      <w:r>
        <w:rPr>
          <w:color w:val="0D0E0E"/>
        </w:rPr>
        <w:t>o</w:t>
      </w:r>
      <w:r>
        <w:rPr>
          <w:color w:val="0D0E0E"/>
          <w:spacing w:val="-1"/>
        </w:rPr>
        <w:t> </w:t>
      </w:r>
      <w:r>
        <w:rPr>
          <w:color w:val="0D0E0E"/>
        </w:rPr>
        <w:t>momento, a</w:t>
      </w:r>
      <w:r>
        <w:rPr>
          <w:color w:val="0D0E0E"/>
          <w:spacing w:val="-3"/>
        </w:rPr>
        <w:t> </w:t>
      </w:r>
      <w:r>
        <w:rPr>
          <w:color w:val="0D0E0E"/>
        </w:rPr>
        <w:t>Fed</w:t>
      </w:r>
      <w:r>
        <w:rPr>
          <w:color w:val="0D0E0E"/>
          <w:spacing w:val="-2"/>
        </w:rPr>
        <w:t> </w:t>
      </w:r>
      <w:r>
        <w:rPr>
          <w:color w:val="0D0E0E"/>
        </w:rPr>
        <w:t>Founds</w:t>
      </w:r>
      <w:r>
        <w:rPr>
          <w:color w:val="0D0E0E"/>
          <w:spacing w:val="-1"/>
        </w:rPr>
        <w:t> </w:t>
      </w:r>
      <w:r>
        <w:rPr>
          <w:color w:val="0D0E0E"/>
        </w:rPr>
        <w:t>Rate</w:t>
      </w:r>
      <w:r>
        <w:rPr>
          <w:color w:val="0D0E0E"/>
          <w:spacing w:val="-2"/>
        </w:rPr>
        <w:t> </w:t>
      </w:r>
      <w:r>
        <w:rPr>
          <w:color w:val="0D0E0E"/>
        </w:rPr>
        <w:t>segue</w:t>
      </w:r>
      <w:r>
        <w:rPr>
          <w:color w:val="0D0E0E"/>
          <w:spacing w:val="-2"/>
        </w:rPr>
        <w:t> </w:t>
      </w:r>
      <w:r>
        <w:rPr>
          <w:color w:val="0D0E0E"/>
        </w:rPr>
        <w:t>na</w:t>
      </w:r>
      <w:r>
        <w:rPr>
          <w:color w:val="0D0E0E"/>
          <w:spacing w:val="-1"/>
        </w:rPr>
        <w:t> </w:t>
      </w:r>
      <w:r>
        <w:rPr>
          <w:color w:val="0D0E0E"/>
        </w:rPr>
        <w:t>janela</w:t>
      </w:r>
      <w:r>
        <w:rPr>
          <w:color w:val="0D0E0E"/>
          <w:spacing w:val="-2"/>
        </w:rPr>
        <w:t> </w:t>
      </w:r>
      <w:r>
        <w:rPr>
          <w:color w:val="0D0E0E"/>
        </w:rPr>
        <w:t>entre</w:t>
      </w:r>
      <w:r>
        <w:rPr>
          <w:color w:val="0D0E0E"/>
          <w:spacing w:val="-1"/>
        </w:rPr>
        <w:t> </w:t>
      </w:r>
      <w:r>
        <w:rPr>
          <w:color w:val="0D0E0E"/>
        </w:rPr>
        <w:t>5,25%</w:t>
      </w:r>
      <w:r>
        <w:rPr>
          <w:color w:val="0D0E0E"/>
          <w:spacing w:val="-2"/>
        </w:rPr>
        <w:t> </w:t>
      </w:r>
      <w:r>
        <w:rPr>
          <w:color w:val="0D0E0E"/>
        </w:rPr>
        <w:t>e</w:t>
      </w:r>
      <w:r>
        <w:rPr>
          <w:color w:val="0D0E0E"/>
          <w:spacing w:val="-2"/>
        </w:rPr>
        <w:t> 5,5%.</w:t>
      </w:r>
    </w:p>
    <w:p>
      <w:pPr>
        <w:pStyle w:val="BodyText"/>
      </w:pPr>
    </w:p>
    <w:p>
      <w:pPr>
        <w:pStyle w:val="BodyText"/>
        <w:spacing w:before="71"/>
      </w:pPr>
    </w:p>
    <w:p>
      <w:pPr>
        <w:pStyle w:val="BodyText"/>
        <w:ind w:left="705" w:right="644"/>
        <w:jc w:val="center"/>
      </w:pPr>
      <w:r>
        <w:rPr>
          <w:color w:val="0D0E0E"/>
        </w:rPr>
        <w:t>Taxa</w:t>
      </w:r>
      <w:r>
        <w:rPr>
          <w:color w:val="0D0E0E"/>
          <w:spacing w:val="-2"/>
        </w:rPr>
        <w:t> </w:t>
      </w:r>
      <w:r>
        <w:rPr>
          <w:color w:val="0D0E0E"/>
        </w:rPr>
        <w:t>de</w:t>
      </w:r>
      <w:r>
        <w:rPr>
          <w:color w:val="0D0E0E"/>
          <w:spacing w:val="-4"/>
        </w:rPr>
        <w:t> </w:t>
      </w:r>
      <w:r>
        <w:rPr>
          <w:color w:val="0D0E0E"/>
        </w:rPr>
        <w:t>Juros</w:t>
      </w:r>
      <w:r>
        <w:rPr>
          <w:color w:val="0D0E0E"/>
          <w:spacing w:val="2"/>
        </w:rPr>
        <w:t> </w:t>
      </w:r>
      <w:r>
        <w:rPr>
          <w:color w:val="0D0E0E"/>
        </w:rPr>
        <w:t>–</w:t>
      </w:r>
      <w:r>
        <w:rPr>
          <w:color w:val="0D0E0E"/>
          <w:spacing w:val="-3"/>
        </w:rPr>
        <w:t> </w:t>
      </w:r>
      <w:r>
        <w:rPr>
          <w:color w:val="0D0E0E"/>
        </w:rPr>
        <w:t>Estados</w:t>
      </w:r>
      <w:r>
        <w:rPr>
          <w:color w:val="0D0E0E"/>
          <w:spacing w:val="-2"/>
        </w:rPr>
        <w:t> Unidos</w:t>
      </w:r>
    </w:p>
    <w:p>
      <w:pPr>
        <w:pStyle w:val="BodyText"/>
        <w:spacing w:before="8"/>
        <w:rPr>
          <w:sz w:val="17"/>
        </w:rPr>
      </w:pPr>
      <w:r>
        <w:rPr>
          <w:sz w:val="17"/>
        </w:rPr>
        <w:drawing>
          <wp:anchor distT="0" distB="0" distL="0" distR="0" allowOverlap="1" layoutInCell="1" locked="0" behindDoc="1" simplePos="0" relativeHeight="487591424">
            <wp:simplePos x="0" y="0"/>
            <wp:positionH relativeFrom="page">
              <wp:posOffset>1089660</wp:posOffset>
            </wp:positionH>
            <wp:positionV relativeFrom="paragraph">
              <wp:posOffset>152693</wp:posOffset>
            </wp:positionV>
            <wp:extent cx="5644297" cy="272395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5644297" cy="2723959"/>
                    </a:xfrm>
                    <a:prstGeom prst="rect">
                      <a:avLst/>
                    </a:prstGeom>
                  </pic:spPr>
                </pic:pic>
              </a:graphicData>
            </a:graphic>
          </wp:anchor>
        </w:drawing>
      </w:r>
    </w:p>
    <w:p>
      <w:pPr>
        <w:spacing w:before="13"/>
        <w:ind w:left="1317" w:right="0" w:firstLine="0"/>
        <w:jc w:val="left"/>
        <w:rPr>
          <w:i/>
          <w:sz w:val="20"/>
        </w:rPr>
      </w:pPr>
      <w:r>
        <w:rPr>
          <w:i/>
          <w:color w:val="0D0E0E"/>
          <w:spacing w:val="-2"/>
          <w:sz w:val="20"/>
        </w:rPr>
        <w:t>Fonte:</w:t>
      </w:r>
      <w:r>
        <w:rPr>
          <w:i/>
          <w:color w:val="0D0E0E"/>
          <w:spacing w:val="60"/>
          <w:sz w:val="20"/>
        </w:rPr>
        <w:t> </w:t>
      </w:r>
      <w:r>
        <w:rPr>
          <w:i/>
          <w:color w:val="0D0E0E"/>
          <w:spacing w:val="-2"/>
          <w:sz w:val="20"/>
        </w:rPr>
        <w:t>https://tradingeconomics.com/united-states/interest-</w:t>
      </w:r>
      <w:r>
        <w:rPr>
          <w:i/>
          <w:color w:val="0D0E0E"/>
          <w:spacing w:val="-4"/>
          <w:sz w:val="20"/>
        </w:rPr>
        <w:t>rate</w:t>
      </w:r>
    </w:p>
    <w:p>
      <w:pPr>
        <w:spacing w:after="0"/>
        <w:jc w:val="left"/>
        <w:rPr>
          <w:i/>
          <w:sz w:val="20"/>
        </w:rPr>
        <w:sectPr>
          <w:pgSz w:w="11920" w:h="16850"/>
          <w:pgMar w:top="1320" w:bottom="280" w:left="992" w:right="141"/>
        </w:sectPr>
      </w:pPr>
    </w:p>
    <w:p>
      <w:pPr>
        <w:pStyle w:val="Heading2"/>
        <w:spacing w:line="408" w:lineRule="auto" w:before="19"/>
        <w:ind w:right="5902"/>
      </w:pPr>
      <w:r>
        <w:rPr/>
        <w:t>INDICADORES</w:t>
      </w:r>
      <w:r>
        <w:rPr>
          <w:spacing w:val="-12"/>
        </w:rPr>
        <w:t> </w:t>
      </w:r>
      <w:r>
        <w:rPr/>
        <w:t>DE</w:t>
      </w:r>
      <w:r>
        <w:rPr>
          <w:spacing w:val="-14"/>
        </w:rPr>
        <w:t> </w:t>
      </w:r>
      <w:r>
        <w:rPr/>
        <w:t>ATIVIDADE </w:t>
      </w:r>
      <w:r>
        <w:rPr>
          <w:spacing w:val="-4"/>
        </w:rPr>
        <w:t>PMI</w:t>
      </w:r>
    </w:p>
    <w:p>
      <w:pPr>
        <w:pStyle w:val="BodyText"/>
        <w:ind w:left="609" w:right="1258" w:firstLine="707"/>
        <w:jc w:val="both"/>
      </w:pPr>
      <w:r>
        <w:rPr>
          <w:color w:val="0D0E0E"/>
        </w:rPr>
        <w:t>Mostrando</w:t>
      </w:r>
      <w:r>
        <w:rPr>
          <w:color w:val="0D0E0E"/>
          <w:spacing w:val="-6"/>
        </w:rPr>
        <w:t> </w:t>
      </w:r>
      <w:r>
        <w:rPr>
          <w:color w:val="0D0E0E"/>
        </w:rPr>
        <w:t>resiliência,</w:t>
      </w:r>
      <w:r>
        <w:rPr>
          <w:color w:val="0D0E0E"/>
          <w:spacing w:val="-6"/>
        </w:rPr>
        <w:t> </w:t>
      </w:r>
      <w:r>
        <w:rPr>
          <w:color w:val="0D0E0E"/>
        </w:rPr>
        <w:t>o</w:t>
      </w:r>
      <w:r>
        <w:rPr>
          <w:color w:val="0D0E0E"/>
          <w:spacing w:val="-6"/>
        </w:rPr>
        <w:t> </w:t>
      </w:r>
      <w:r>
        <w:rPr>
          <w:color w:val="0D0E0E"/>
        </w:rPr>
        <w:t>PMI</w:t>
      </w:r>
      <w:r>
        <w:rPr>
          <w:color w:val="0D0E0E"/>
          <w:spacing w:val="-7"/>
        </w:rPr>
        <w:t> </w:t>
      </w:r>
      <w:r>
        <w:rPr>
          <w:color w:val="0D0E0E"/>
        </w:rPr>
        <w:t>de</w:t>
      </w:r>
      <w:r>
        <w:rPr>
          <w:color w:val="0D0E0E"/>
          <w:spacing w:val="-6"/>
        </w:rPr>
        <w:t> </w:t>
      </w:r>
      <w:r>
        <w:rPr>
          <w:color w:val="0D0E0E"/>
        </w:rPr>
        <w:t>serviços,</w:t>
      </w:r>
      <w:r>
        <w:rPr>
          <w:color w:val="0D0E0E"/>
          <w:spacing w:val="-6"/>
        </w:rPr>
        <w:t> </w:t>
      </w:r>
      <w:r>
        <w:rPr>
          <w:color w:val="0D0E0E"/>
        </w:rPr>
        <w:t>indicador</w:t>
      </w:r>
      <w:r>
        <w:rPr>
          <w:color w:val="0D0E0E"/>
          <w:spacing w:val="-6"/>
        </w:rPr>
        <w:t> </w:t>
      </w:r>
      <w:r>
        <w:rPr>
          <w:color w:val="0D0E0E"/>
        </w:rPr>
        <w:t>que</w:t>
      </w:r>
      <w:r>
        <w:rPr>
          <w:color w:val="0D0E0E"/>
          <w:spacing w:val="-6"/>
        </w:rPr>
        <w:t> </w:t>
      </w:r>
      <w:r>
        <w:rPr>
          <w:color w:val="0D0E0E"/>
        </w:rPr>
        <w:t>mensura</w:t>
      </w:r>
      <w:r>
        <w:rPr>
          <w:color w:val="0D0E0E"/>
          <w:spacing w:val="-6"/>
        </w:rPr>
        <w:t> </w:t>
      </w:r>
      <w:r>
        <w:rPr>
          <w:color w:val="0D0E0E"/>
        </w:rPr>
        <w:t>as</w:t>
      </w:r>
      <w:r>
        <w:rPr>
          <w:color w:val="0D0E0E"/>
          <w:spacing w:val="-6"/>
        </w:rPr>
        <w:t> </w:t>
      </w:r>
      <w:r>
        <w:rPr>
          <w:color w:val="0D0E0E"/>
        </w:rPr>
        <w:t>expectativas</w:t>
      </w:r>
      <w:r>
        <w:rPr>
          <w:color w:val="0D0E0E"/>
          <w:spacing w:val="-7"/>
        </w:rPr>
        <w:t> </w:t>
      </w:r>
      <w:r>
        <w:rPr>
          <w:color w:val="0D0E0E"/>
        </w:rPr>
        <w:t>dos gestores</w:t>
      </w:r>
      <w:r>
        <w:rPr>
          <w:color w:val="0D0E0E"/>
          <w:spacing w:val="-9"/>
        </w:rPr>
        <w:t> </w:t>
      </w:r>
      <w:r>
        <w:rPr>
          <w:color w:val="0D0E0E"/>
        </w:rPr>
        <w:t>de</w:t>
      </w:r>
      <w:r>
        <w:rPr>
          <w:color w:val="0D0E0E"/>
          <w:spacing w:val="-7"/>
        </w:rPr>
        <w:t> </w:t>
      </w:r>
      <w:r>
        <w:rPr>
          <w:color w:val="0D0E0E"/>
        </w:rPr>
        <w:t>grandes</w:t>
      </w:r>
      <w:r>
        <w:rPr>
          <w:color w:val="0D0E0E"/>
          <w:spacing w:val="-7"/>
        </w:rPr>
        <w:t> </w:t>
      </w:r>
      <w:r>
        <w:rPr>
          <w:color w:val="0D0E0E"/>
        </w:rPr>
        <w:t>companhias</w:t>
      </w:r>
      <w:r>
        <w:rPr>
          <w:color w:val="0D0E0E"/>
          <w:spacing w:val="-9"/>
        </w:rPr>
        <w:t> </w:t>
      </w:r>
      <w:r>
        <w:rPr>
          <w:color w:val="0D0E0E"/>
        </w:rPr>
        <w:t>para</w:t>
      </w:r>
      <w:r>
        <w:rPr>
          <w:color w:val="0D0E0E"/>
          <w:spacing w:val="-9"/>
        </w:rPr>
        <w:t> </w:t>
      </w:r>
      <w:r>
        <w:rPr>
          <w:color w:val="0D0E0E"/>
        </w:rPr>
        <w:t>o</w:t>
      </w:r>
      <w:r>
        <w:rPr>
          <w:color w:val="0D0E0E"/>
          <w:spacing w:val="-9"/>
        </w:rPr>
        <w:t> </w:t>
      </w:r>
      <w:r>
        <w:rPr>
          <w:color w:val="0D0E0E"/>
        </w:rPr>
        <w:t>futuro,</w:t>
      </w:r>
      <w:r>
        <w:rPr>
          <w:color w:val="0D0E0E"/>
          <w:spacing w:val="-9"/>
        </w:rPr>
        <w:t> </w:t>
      </w:r>
      <w:r>
        <w:rPr>
          <w:color w:val="0D0E0E"/>
        </w:rPr>
        <w:t>realizou</w:t>
      </w:r>
      <w:r>
        <w:rPr>
          <w:color w:val="0D0E0E"/>
          <w:spacing w:val="-8"/>
        </w:rPr>
        <w:t> </w:t>
      </w:r>
      <w:r>
        <w:rPr>
          <w:color w:val="0D0E0E"/>
        </w:rPr>
        <w:t>a</w:t>
      </w:r>
      <w:r>
        <w:rPr>
          <w:color w:val="0D0E0E"/>
          <w:spacing w:val="-9"/>
        </w:rPr>
        <w:t> </w:t>
      </w:r>
      <w:r>
        <w:rPr>
          <w:color w:val="0D0E0E"/>
        </w:rPr>
        <w:t>maior</w:t>
      </w:r>
      <w:r>
        <w:rPr>
          <w:color w:val="0D0E0E"/>
          <w:spacing w:val="-9"/>
        </w:rPr>
        <w:t> </w:t>
      </w:r>
      <w:r>
        <w:rPr>
          <w:color w:val="0D0E0E"/>
        </w:rPr>
        <w:t>pontuação</w:t>
      </w:r>
      <w:r>
        <w:rPr>
          <w:color w:val="0D0E0E"/>
          <w:spacing w:val="-9"/>
        </w:rPr>
        <w:t> </w:t>
      </w:r>
      <w:r>
        <w:rPr>
          <w:color w:val="0D0E0E"/>
        </w:rPr>
        <w:t>em</w:t>
      </w:r>
      <w:r>
        <w:rPr>
          <w:color w:val="0D0E0E"/>
          <w:spacing w:val="-9"/>
        </w:rPr>
        <w:t> </w:t>
      </w:r>
      <w:r>
        <w:rPr>
          <w:color w:val="0D0E0E"/>
        </w:rPr>
        <w:t>cinco</w:t>
      </w:r>
      <w:r>
        <w:rPr>
          <w:color w:val="0D0E0E"/>
          <w:spacing w:val="-9"/>
        </w:rPr>
        <w:t> </w:t>
      </w:r>
      <w:r>
        <w:rPr>
          <w:color w:val="0D0E0E"/>
        </w:rPr>
        <w:t>meses, alcançando 51,40 pontos em dezembro ante 50,80 pontos de novembro.</w:t>
      </w:r>
    </w:p>
    <w:p>
      <w:pPr>
        <w:pStyle w:val="BodyText"/>
        <w:spacing w:before="242"/>
        <w:ind w:left="703" w:right="644"/>
        <w:jc w:val="center"/>
      </w:pPr>
      <w:r>
        <w:rPr>
          <w:color w:val="0D0E0E"/>
        </w:rPr>
        <w:t>PMI</w:t>
      </w:r>
      <w:r>
        <w:rPr>
          <w:color w:val="0D0E0E"/>
          <w:spacing w:val="-1"/>
        </w:rPr>
        <w:t> </w:t>
      </w:r>
      <w:r>
        <w:rPr>
          <w:color w:val="0D0E0E"/>
        </w:rPr>
        <w:t>Serviços</w:t>
      </w:r>
      <w:r>
        <w:rPr>
          <w:color w:val="0D0E0E"/>
          <w:spacing w:val="-2"/>
        </w:rPr>
        <w:t> </w:t>
      </w:r>
      <w:r>
        <w:rPr>
          <w:color w:val="0D0E0E"/>
        </w:rPr>
        <w:t>-</w:t>
      </w:r>
      <w:r>
        <w:rPr>
          <w:color w:val="0D0E0E"/>
          <w:spacing w:val="-2"/>
        </w:rPr>
        <w:t> </w:t>
      </w:r>
      <w:r>
        <w:rPr>
          <w:color w:val="0D0E0E"/>
        </w:rPr>
        <w:t>Estados </w:t>
      </w:r>
      <w:r>
        <w:rPr>
          <w:color w:val="0D0E0E"/>
          <w:spacing w:val="-2"/>
        </w:rPr>
        <w:t>Unidos:</w:t>
      </w:r>
    </w:p>
    <w:p>
      <w:pPr>
        <w:pStyle w:val="BodyText"/>
        <w:rPr>
          <w:sz w:val="9"/>
        </w:rPr>
      </w:pPr>
      <w:r>
        <w:rPr>
          <w:sz w:val="9"/>
        </w:rPr>
        <w:drawing>
          <wp:anchor distT="0" distB="0" distL="0" distR="0" allowOverlap="1" layoutInCell="1" locked="0" behindDoc="1" simplePos="0" relativeHeight="487591936">
            <wp:simplePos x="0" y="0"/>
            <wp:positionH relativeFrom="page">
              <wp:posOffset>929639</wp:posOffset>
            </wp:positionH>
            <wp:positionV relativeFrom="paragraph">
              <wp:posOffset>85480</wp:posOffset>
            </wp:positionV>
            <wp:extent cx="5663208" cy="2785205"/>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5663208" cy="2785205"/>
                    </a:xfrm>
                    <a:prstGeom prst="rect">
                      <a:avLst/>
                    </a:prstGeom>
                  </pic:spPr>
                </pic:pic>
              </a:graphicData>
            </a:graphic>
          </wp:anchor>
        </w:drawing>
      </w:r>
    </w:p>
    <w:p>
      <w:pPr>
        <w:spacing w:before="0"/>
        <w:ind w:left="1317" w:right="0" w:firstLine="0"/>
        <w:jc w:val="left"/>
        <w:rPr>
          <w:i/>
          <w:sz w:val="20"/>
        </w:rPr>
      </w:pPr>
      <w:r>
        <w:rPr>
          <w:i/>
          <w:color w:val="0D0E0E"/>
          <w:spacing w:val="-2"/>
          <w:sz w:val="20"/>
        </w:rPr>
        <w:t>Fonte:</w:t>
      </w:r>
      <w:r>
        <w:rPr>
          <w:i/>
          <w:color w:val="0D0E0E"/>
          <w:spacing w:val="56"/>
          <w:sz w:val="20"/>
        </w:rPr>
        <w:t> </w:t>
      </w:r>
      <w:r>
        <w:rPr>
          <w:i/>
          <w:color w:val="0D0E0E"/>
          <w:spacing w:val="-2"/>
          <w:sz w:val="20"/>
        </w:rPr>
        <w:t>https://tradingeconomics.com/united-states/services-</w:t>
      </w:r>
      <w:r>
        <w:rPr>
          <w:i/>
          <w:color w:val="0D0E0E"/>
          <w:spacing w:val="-5"/>
          <w:sz w:val="20"/>
        </w:rPr>
        <w:t>pmi</w:t>
      </w:r>
    </w:p>
    <w:p>
      <w:pPr>
        <w:pStyle w:val="BodyText"/>
        <w:spacing w:before="237"/>
        <w:ind w:left="609" w:right="1252" w:firstLine="707"/>
        <w:jc w:val="both"/>
      </w:pPr>
      <w:r>
        <w:rPr>
          <w:color w:val="0D0E0E"/>
        </w:rPr>
        <w:t>Por outro lado, enquanto o setor de serviços mostra sinais de atividade um pouco mais</w:t>
      </w:r>
      <w:r>
        <w:rPr>
          <w:color w:val="0D0E0E"/>
          <w:spacing w:val="-9"/>
        </w:rPr>
        <w:t> </w:t>
      </w:r>
      <w:r>
        <w:rPr>
          <w:color w:val="0D0E0E"/>
        </w:rPr>
        <w:t>intensificada,</w:t>
      </w:r>
      <w:r>
        <w:rPr>
          <w:color w:val="0D0E0E"/>
          <w:spacing w:val="-11"/>
        </w:rPr>
        <w:t> </w:t>
      </w:r>
      <w:r>
        <w:rPr>
          <w:color w:val="0D0E0E"/>
        </w:rPr>
        <w:t>o</w:t>
      </w:r>
      <w:r>
        <w:rPr>
          <w:color w:val="0D0E0E"/>
          <w:spacing w:val="-8"/>
        </w:rPr>
        <w:t> </w:t>
      </w:r>
      <w:r>
        <w:rPr>
          <w:color w:val="0D0E0E"/>
        </w:rPr>
        <w:t>mesmo</w:t>
      </w:r>
      <w:r>
        <w:rPr>
          <w:color w:val="0D0E0E"/>
          <w:spacing w:val="-8"/>
        </w:rPr>
        <w:t> </w:t>
      </w:r>
      <w:r>
        <w:rPr>
          <w:color w:val="0D0E0E"/>
        </w:rPr>
        <w:t>não</w:t>
      </w:r>
      <w:r>
        <w:rPr>
          <w:color w:val="0D0E0E"/>
          <w:spacing w:val="-11"/>
        </w:rPr>
        <w:t> </w:t>
      </w:r>
      <w:r>
        <w:rPr>
          <w:color w:val="0D0E0E"/>
        </w:rPr>
        <w:t>pode</w:t>
      </w:r>
      <w:r>
        <w:rPr>
          <w:color w:val="0D0E0E"/>
          <w:spacing w:val="-11"/>
        </w:rPr>
        <w:t> </w:t>
      </w:r>
      <w:r>
        <w:rPr>
          <w:color w:val="0D0E0E"/>
        </w:rPr>
        <w:t>ser</w:t>
      </w:r>
      <w:r>
        <w:rPr>
          <w:color w:val="0D0E0E"/>
          <w:spacing w:val="-11"/>
        </w:rPr>
        <w:t> </w:t>
      </w:r>
      <w:r>
        <w:rPr>
          <w:color w:val="0D0E0E"/>
        </w:rPr>
        <w:t>dito</w:t>
      </w:r>
      <w:r>
        <w:rPr>
          <w:color w:val="0D0E0E"/>
          <w:spacing w:val="-11"/>
        </w:rPr>
        <w:t> </w:t>
      </w:r>
      <w:r>
        <w:rPr>
          <w:color w:val="0D0E0E"/>
        </w:rPr>
        <w:t>do</w:t>
      </w:r>
      <w:r>
        <w:rPr>
          <w:color w:val="0D0E0E"/>
          <w:spacing w:val="-13"/>
        </w:rPr>
        <w:t> </w:t>
      </w:r>
      <w:r>
        <w:rPr>
          <w:color w:val="0D0E0E"/>
        </w:rPr>
        <w:t>setor</w:t>
      </w:r>
      <w:r>
        <w:rPr>
          <w:color w:val="0D0E0E"/>
          <w:spacing w:val="-10"/>
        </w:rPr>
        <w:t> </w:t>
      </w:r>
      <w:r>
        <w:rPr>
          <w:color w:val="0D0E0E"/>
        </w:rPr>
        <w:t>industrial</w:t>
      </w:r>
      <w:r>
        <w:rPr>
          <w:color w:val="0D0E0E"/>
          <w:spacing w:val="-8"/>
        </w:rPr>
        <w:t> </w:t>
      </w:r>
      <w:r>
        <w:rPr>
          <w:color w:val="0D0E0E"/>
        </w:rPr>
        <w:t>manufatureiro</w:t>
      </w:r>
      <w:r>
        <w:rPr>
          <w:color w:val="0D0E0E"/>
          <w:spacing w:val="-10"/>
        </w:rPr>
        <w:t> </w:t>
      </w:r>
      <w:r>
        <w:rPr>
          <w:color w:val="0D0E0E"/>
        </w:rPr>
        <w:t>americano, que</w:t>
      </w:r>
      <w:r>
        <w:rPr>
          <w:color w:val="0D0E0E"/>
          <w:spacing w:val="-11"/>
        </w:rPr>
        <w:t> </w:t>
      </w:r>
      <w:r>
        <w:rPr>
          <w:color w:val="0D0E0E"/>
        </w:rPr>
        <w:t>sob</w:t>
      </w:r>
      <w:r>
        <w:rPr>
          <w:color w:val="0D0E0E"/>
          <w:spacing w:val="-10"/>
        </w:rPr>
        <w:t> </w:t>
      </w:r>
      <w:r>
        <w:rPr>
          <w:color w:val="0D0E0E"/>
        </w:rPr>
        <w:t>reflexo</w:t>
      </w:r>
      <w:r>
        <w:rPr>
          <w:color w:val="0D0E0E"/>
          <w:spacing w:val="-13"/>
        </w:rPr>
        <w:t> </w:t>
      </w:r>
      <w:r>
        <w:rPr>
          <w:color w:val="0D0E0E"/>
        </w:rPr>
        <w:t>de</w:t>
      </w:r>
      <w:r>
        <w:rPr>
          <w:color w:val="0D0E0E"/>
          <w:spacing w:val="-11"/>
        </w:rPr>
        <w:t> </w:t>
      </w:r>
      <w:r>
        <w:rPr>
          <w:color w:val="0D0E0E"/>
        </w:rPr>
        <w:t>um</w:t>
      </w:r>
      <w:r>
        <w:rPr>
          <w:color w:val="0D0E0E"/>
          <w:spacing w:val="-11"/>
        </w:rPr>
        <w:t> </w:t>
      </w:r>
      <w:r>
        <w:rPr>
          <w:color w:val="0D0E0E"/>
        </w:rPr>
        <w:t>freio</w:t>
      </w:r>
      <w:r>
        <w:rPr>
          <w:color w:val="0D0E0E"/>
          <w:spacing w:val="-10"/>
        </w:rPr>
        <w:t> </w:t>
      </w:r>
      <w:r>
        <w:rPr>
          <w:color w:val="0D0E0E"/>
        </w:rPr>
        <w:t>da</w:t>
      </w:r>
      <w:r>
        <w:rPr>
          <w:color w:val="0D0E0E"/>
          <w:spacing w:val="-11"/>
        </w:rPr>
        <w:t> </w:t>
      </w:r>
      <w:r>
        <w:rPr>
          <w:color w:val="0D0E0E"/>
        </w:rPr>
        <w:t>globalização,</w:t>
      </w:r>
      <w:r>
        <w:rPr>
          <w:color w:val="0D0E0E"/>
          <w:spacing w:val="-11"/>
        </w:rPr>
        <w:t> </w:t>
      </w:r>
      <w:r>
        <w:rPr>
          <w:color w:val="0D0E0E"/>
        </w:rPr>
        <w:t>frente</w:t>
      </w:r>
      <w:r>
        <w:rPr>
          <w:color w:val="0D0E0E"/>
          <w:spacing w:val="-8"/>
        </w:rPr>
        <w:t> </w:t>
      </w:r>
      <w:r>
        <w:rPr>
          <w:color w:val="0D0E0E"/>
        </w:rPr>
        <w:t>a</w:t>
      </w:r>
      <w:r>
        <w:rPr>
          <w:color w:val="0D0E0E"/>
          <w:spacing w:val="-11"/>
        </w:rPr>
        <w:t> </w:t>
      </w:r>
      <w:r>
        <w:rPr>
          <w:color w:val="0D0E0E"/>
        </w:rPr>
        <w:t>conflitos</w:t>
      </w:r>
      <w:r>
        <w:rPr>
          <w:color w:val="0D0E0E"/>
          <w:spacing w:val="-9"/>
        </w:rPr>
        <w:t> </w:t>
      </w:r>
      <w:r>
        <w:rPr>
          <w:color w:val="0D0E0E"/>
        </w:rPr>
        <w:t>ao</w:t>
      </w:r>
      <w:r>
        <w:rPr>
          <w:color w:val="0D0E0E"/>
          <w:spacing w:val="-8"/>
        </w:rPr>
        <w:t> </w:t>
      </w:r>
      <w:r>
        <w:rPr>
          <w:color w:val="0D0E0E"/>
        </w:rPr>
        <w:t>redor</w:t>
      </w:r>
      <w:r>
        <w:rPr>
          <w:color w:val="0D0E0E"/>
          <w:spacing w:val="-11"/>
        </w:rPr>
        <w:t> </w:t>
      </w:r>
      <w:r>
        <w:rPr>
          <w:color w:val="0D0E0E"/>
        </w:rPr>
        <w:t>do</w:t>
      </w:r>
      <w:r>
        <w:rPr>
          <w:color w:val="0D0E0E"/>
          <w:spacing w:val="-13"/>
        </w:rPr>
        <w:t> </w:t>
      </w:r>
      <w:r>
        <w:rPr>
          <w:color w:val="0D0E0E"/>
        </w:rPr>
        <w:t>mundo,</w:t>
      </w:r>
      <w:r>
        <w:rPr>
          <w:color w:val="0D0E0E"/>
          <w:spacing w:val="-11"/>
        </w:rPr>
        <w:t> </w:t>
      </w:r>
      <w:r>
        <w:rPr>
          <w:color w:val="0D0E0E"/>
        </w:rPr>
        <w:t>se</w:t>
      </w:r>
      <w:r>
        <w:rPr>
          <w:color w:val="0D0E0E"/>
          <w:spacing w:val="-8"/>
        </w:rPr>
        <w:t> </w:t>
      </w:r>
      <w:r>
        <w:rPr>
          <w:color w:val="0D0E0E"/>
        </w:rPr>
        <w:t>mostra mais pessimista visto a pontuação ainda mais baixa de 47,90 pontos em dezembro, a pontuação mais baixa em três meses.</w:t>
      </w:r>
    </w:p>
    <w:p>
      <w:pPr>
        <w:pStyle w:val="BodyText"/>
        <w:spacing w:before="240"/>
        <w:ind w:left="703" w:right="644"/>
        <w:jc w:val="center"/>
      </w:pPr>
      <w:r>
        <w:rPr>
          <w:color w:val="0D0E0E"/>
        </w:rPr>
        <w:t>PMI</w:t>
      </w:r>
      <w:r>
        <w:rPr>
          <w:color w:val="0D0E0E"/>
          <w:spacing w:val="-6"/>
        </w:rPr>
        <w:t> </w:t>
      </w:r>
      <w:r>
        <w:rPr>
          <w:color w:val="0D0E0E"/>
        </w:rPr>
        <w:t>Manufatura</w:t>
      </w:r>
      <w:r>
        <w:rPr>
          <w:color w:val="0D0E0E"/>
          <w:spacing w:val="-2"/>
        </w:rPr>
        <w:t> </w:t>
      </w:r>
      <w:r>
        <w:rPr>
          <w:color w:val="0D0E0E"/>
        </w:rPr>
        <w:t>–</w:t>
      </w:r>
      <w:r>
        <w:rPr>
          <w:color w:val="0D0E0E"/>
          <w:spacing w:val="-2"/>
        </w:rPr>
        <w:t> </w:t>
      </w:r>
      <w:r>
        <w:rPr>
          <w:color w:val="0D0E0E"/>
        </w:rPr>
        <w:t>Estados</w:t>
      </w:r>
      <w:r>
        <w:rPr>
          <w:color w:val="0D0E0E"/>
          <w:spacing w:val="-2"/>
        </w:rPr>
        <w:t> Unidos:</w:t>
      </w:r>
    </w:p>
    <w:p>
      <w:pPr>
        <w:pStyle w:val="BodyText"/>
        <w:rPr>
          <w:sz w:val="6"/>
        </w:rPr>
      </w:pPr>
      <w:r>
        <w:rPr>
          <w:sz w:val="6"/>
        </w:rPr>
        <w:drawing>
          <wp:anchor distT="0" distB="0" distL="0" distR="0" allowOverlap="1" layoutInCell="1" locked="0" behindDoc="1" simplePos="0" relativeHeight="487592448">
            <wp:simplePos x="0" y="0"/>
            <wp:positionH relativeFrom="page">
              <wp:posOffset>1066800</wp:posOffset>
            </wp:positionH>
            <wp:positionV relativeFrom="paragraph">
              <wp:posOffset>62215</wp:posOffset>
            </wp:positionV>
            <wp:extent cx="5632327" cy="2746629"/>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5632327" cy="2746629"/>
                    </a:xfrm>
                    <a:prstGeom prst="rect">
                      <a:avLst/>
                    </a:prstGeom>
                  </pic:spPr>
                </pic:pic>
              </a:graphicData>
            </a:graphic>
          </wp:anchor>
        </w:drawing>
      </w:r>
    </w:p>
    <w:p>
      <w:pPr>
        <w:spacing w:before="28"/>
        <w:ind w:left="1317" w:right="0" w:firstLine="0"/>
        <w:jc w:val="left"/>
        <w:rPr>
          <w:i/>
          <w:sz w:val="20"/>
        </w:rPr>
      </w:pPr>
      <w:r>
        <w:rPr>
          <w:i/>
          <w:color w:val="0D0E0E"/>
          <w:spacing w:val="-2"/>
          <w:sz w:val="20"/>
        </w:rPr>
        <w:t>Fonte:</w:t>
      </w:r>
      <w:r>
        <w:rPr>
          <w:i/>
          <w:color w:val="0D0E0E"/>
          <w:spacing w:val="59"/>
          <w:sz w:val="20"/>
        </w:rPr>
        <w:t> </w:t>
      </w:r>
      <w:r>
        <w:rPr>
          <w:i/>
          <w:color w:val="0D0E0E"/>
          <w:spacing w:val="-2"/>
          <w:sz w:val="20"/>
        </w:rPr>
        <w:t>https://tradingeconomics.com/united-states/manufacturing-</w:t>
      </w:r>
      <w:r>
        <w:rPr>
          <w:i/>
          <w:color w:val="0D0E0E"/>
          <w:spacing w:val="-5"/>
          <w:sz w:val="20"/>
        </w:rPr>
        <w:t>pmi</w:t>
      </w:r>
    </w:p>
    <w:p>
      <w:pPr>
        <w:spacing w:after="0"/>
        <w:jc w:val="left"/>
        <w:rPr>
          <w:i/>
          <w:sz w:val="20"/>
        </w:rPr>
        <w:sectPr>
          <w:pgSz w:w="11920" w:h="16850"/>
          <w:pgMar w:top="1340" w:bottom="280" w:left="992" w:right="141"/>
        </w:sectPr>
      </w:pPr>
    </w:p>
    <w:p>
      <w:pPr>
        <w:pStyle w:val="BodyText"/>
        <w:spacing w:before="39"/>
        <w:ind w:left="609" w:right="1260" w:firstLine="707"/>
        <w:jc w:val="both"/>
      </w:pPr>
      <w:r>
        <w:rPr>
          <w:color w:val="0D0E0E"/>
        </w:rPr>
        <w:t>Na composição entre os</w:t>
      </w:r>
      <w:r>
        <w:rPr>
          <w:color w:val="0D0E0E"/>
          <w:spacing w:val="-1"/>
        </w:rPr>
        <w:t> </w:t>
      </w:r>
      <w:r>
        <w:rPr>
          <w:color w:val="0D0E0E"/>
        </w:rPr>
        <w:t>índices, o cenário segue pouco superior em relação ao mês de novembro, porém mostra uma neutralidade frente as expectativas de crescimento econômico futuro.</w:t>
      </w:r>
    </w:p>
    <w:p>
      <w:pPr>
        <w:pStyle w:val="BodyText"/>
        <w:spacing w:before="240"/>
        <w:ind w:left="609" w:right="1262" w:firstLine="707"/>
        <w:jc w:val="both"/>
      </w:pPr>
      <w:r>
        <w:rPr>
          <w:color w:val="0D0E0E"/>
        </w:rPr>
        <w:t>A pontuação de</w:t>
      </w:r>
      <w:r>
        <w:rPr>
          <w:color w:val="0D0E0E"/>
          <w:spacing w:val="-1"/>
        </w:rPr>
        <w:t> </w:t>
      </w:r>
      <w:r>
        <w:rPr>
          <w:color w:val="0D0E0E"/>
        </w:rPr>
        <w:t>dezembro fechou em 50,90 ante</w:t>
      </w:r>
      <w:r>
        <w:rPr>
          <w:color w:val="0D0E0E"/>
          <w:spacing w:val="-1"/>
        </w:rPr>
        <w:t> </w:t>
      </w:r>
      <w:r>
        <w:rPr>
          <w:color w:val="0D0E0E"/>
        </w:rPr>
        <w:t>50,70 de</w:t>
      </w:r>
      <w:r>
        <w:rPr>
          <w:color w:val="0D0E0E"/>
          <w:spacing w:val="-1"/>
        </w:rPr>
        <w:t> </w:t>
      </w:r>
      <w:r>
        <w:rPr>
          <w:color w:val="0D0E0E"/>
        </w:rPr>
        <w:t>novembro, vindo na casa dos 50 pontos desde agosto de 2023.</w:t>
      </w:r>
    </w:p>
    <w:p>
      <w:pPr>
        <w:pStyle w:val="BodyText"/>
        <w:spacing w:before="240"/>
        <w:ind w:left="703" w:right="644"/>
        <w:jc w:val="center"/>
      </w:pPr>
      <w:r>
        <w:rPr>
          <w:color w:val="0D0E0E"/>
        </w:rPr>
        <w:t>PMI</w:t>
      </w:r>
      <w:r>
        <w:rPr>
          <w:color w:val="0D0E0E"/>
          <w:spacing w:val="-1"/>
        </w:rPr>
        <w:t> </w:t>
      </w:r>
      <w:r>
        <w:rPr>
          <w:color w:val="0D0E0E"/>
        </w:rPr>
        <w:t>Composto</w:t>
      </w:r>
      <w:r>
        <w:rPr>
          <w:color w:val="0D0E0E"/>
          <w:spacing w:val="-1"/>
        </w:rPr>
        <w:t> </w:t>
      </w:r>
      <w:r>
        <w:rPr>
          <w:color w:val="0D0E0E"/>
        </w:rPr>
        <w:t>–</w:t>
      </w:r>
      <w:r>
        <w:rPr>
          <w:color w:val="0D0E0E"/>
          <w:spacing w:val="-2"/>
        </w:rPr>
        <w:t> </w:t>
      </w:r>
      <w:r>
        <w:rPr>
          <w:color w:val="0D0E0E"/>
        </w:rPr>
        <w:t>Estados</w:t>
      </w:r>
      <w:r>
        <w:rPr>
          <w:color w:val="0D0E0E"/>
          <w:spacing w:val="-2"/>
        </w:rPr>
        <w:t> Unidos:</w:t>
      </w:r>
    </w:p>
    <w:p>
      <w:pPr>
        <w:pStyle w:val="BodyText"/>
        <w:spacing w:before="11"/>
        <w:rPr>
          <w:sz w:val="7"/>
        </w:rPr>
      </w:pPr>
      <w:r>
        <w:rPr>
          <w:sz w:val="7"/>
        </w:rPr>
        <w:drawing>
          <wp:anchor distT="0" distB="0" distL="0" distR="0" allowOverlap="1" layoutInCell="1" locked="0" behindDoc="1" simplePos="0" relativeHeight="487592960">
            <wp:simplePos x="0" y="0"/>
            <wp:positionH relativeFrom="page">
              <wp:posOffset>1066800</wp:posOffset>
            </wp:positionH>
            <wp:positionV relativeFrom="paragraph">
              <wp:posOffset>76954</wp:posOffset>
            </wp:positionV>
            <wp:extent cx="5670973" cy="2785205"/>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5670973" cy="2785205"/>
                    </a:xfrm>
                    <a:prstGeom prst="rect">
                      <a:avLst/>
                    </a:prstGeom>
                  </pic:spPr>
                </pic:pic>
              </a:graphicData>
            </a:graphic>
          </wp:anchor>
        </w:drawing>
      </w:r>
    </w:p>
    <w:p>
      <w:pPr>
        <w:spacing w:before="0"/>
        <w:ind w:left="1317" w:right="0" w:firstLine="0"/>
        <w:jc w:val="left"/>
        <w:rPr>
          <w:i/>
          <w:sz w:val="20"/>
        </w:rPr>
      </w:pPr>
      <w:r>
        <w:rPr>
          <w:i/>
          <w:color w:val="0D0E0E"/>
          <w:spacing w:val="-2"/>
          <w:sz w:val="20"/>
        </w:rPr>
        <w:t>Fonte:</w:t>
      </w:r>
      <w:r>
        <w:rPr>
          <w:i/>
          <w:color w:val="0D0E0E"/>
          <w:spacing w:val="61"/>
          <w:sz w:val="20"/>
        </w:rPr>
        <w:t> </w:t>
      </w:r>
      <w:r>
        <w:rPr>
          <w:i/>
          <w:color w:val="0D0E0E"/>
          <w:spacing w:val="-2"/>
          <w:sz w:val="20"/>
        </w:rPr>
        <w:t>https://tradingeconomics.com/united-states/composite-</w:t>
      </w:r>
      <w:r>
        <w:rPr>
          <w:i/>
          <w:color w:val="0D0E0E"/>
          <w:spacing w:val="-5"/>
          <w:sz w:val="20"/>
        </w:rPr>
        <w:t>pmi</w:t>
      </w:r>
    </w:p>
    <w:p>
      <w:pPr>
        <w:pStyle w:val="BodyText"/>
        <w:spacing w:before="234"/>
        <w:ind w:left="609" w:right="1250" w:firstLine="707"/>
        <w:jc w:val="both"/>
      </w:pPr>
      <w:r>
        <w:rPr>
          <w:color w:val="0D0E0E"/>
        </w:rPr>
        <w:t>Sob reflexo dessa mista composição de fatores, o mercado de renda variável americano obteve um mês de dezembro bastante volátil, porém fechando o último dia do ano em queda e com uma valorização considerável dos índices sob a janela anual.</w:t>
      </w:r>
    </w:p>
    <w:p>
      <w:pPr>
        <w:pStyle w:val="BodyText"/>
        <w:spacing w:before="239"/>
        <w:ind w:left="609" w:right="1251" w:firstLine="707"/>
        <w:jc w:val="both"/>
      </w:pPr>
      <w:r>
        <w:rPr>
          <w:color w:val="0D0E0E"/>
        </w:rPr>
        <w:t>O índice S&amp;P 500 subiu 24% em 2023, aproximando-se do seu topo histórico aos 4.769,83</w:t>
      </w:r>
      <w:r>
        <w:rPr>
          <w:color w:val="0D0E0E"/>
          <w:spacing w:val="-8"/>
        </w:rPr>
        <w:t> </w:t>
      </w:r>
      <w:r>
        <w:rPr>
          <w:color w:val="0D0E0E"/>
        </w:rPr>
        <w:t>pontos.</w:t>
      </w:r>
      <w:r>
        <w:rPr>
          <w:color w:val="0D0E0E"/>
          <w:spacing w:val="-9"/>
        </w:rPr>
        <w:t> </w:t>
      </w:r>
      <w:r>
        <w:rPr>
          <w:color w:val="0D0E0E"/>
        </w:rPr>
        <w:t>É</w:t>
      </w:r>
      <w:r>
        <w:rPr>
          <w:color w:val="0D0E0E"/>
          <w:spacing w:val="-8"/>
        </w:rPr>
        <w:t> </w:t>
      </w:r>
      <w:r>
        <w:rPr>
          <w:color w:val="0D0E0E"/>
        </w:rPr>
        <w:t>válido</w:t>
      </w:r>
      <w:r>
        <w:rPr>
          <w:color w:val="0D0E0E"/>
          <w:spacing w:val="-8"/>
        </w:rPr>
        <w:t> </w:t>
      </w:r>
      <w:r>
        <w:rPr>
          <w:color w:val="0D0E0E"/>
        </w:rPr>
        <w:t>mencionar</w:t>
      </w:r>
      <w:r>
        <w:rPr>
          <w:color w:val="0D0E0E"/>
          <w:spacing w:val="-10"/>
        </w:rPr>
        <w:t> </w:t>
      </w:r>
      <w:r>
        <w:rPr>
          <w:color w:val="0D0E0E"/>
        </w:rPr>
        <w:t>que</w:t>
      </w:r>
      <w:r>
        <w:rPr>
          <w:color w:val="0D0E0E"/>
          <w:spacing w:val="-8"/>
        </w:rPr>
        <w:t> </w:t>
      </w:r>
      <w:r>
        <w:rPr>
          <w:color w:val="0D0E0E"/>
        </w:rPr>
        <w:t>a</w:t>
      </w:r>
      <w:r>
        <w:rPr>
          <w:color w:val="0D0E0E"/>
          <w:spacing w:val="-6"/>
        </w:rPr>
        <w:t> </w:t>
      </w:r>
      <w:r>
        <w:rPr>
          <w:color w:val="0D0E0E"/>
        </w:rPr>
        <w:t>sequência</w:t>
      </w:r>
      <w:r>
        <w:rPr>
          <w:color w:val="0D0E0E"/>
          <w:spacing w:val="-6"/>
        </w:rPr>
        <w:t> </w:t>
      </w:r>
      <w:r>
        <w:rPr>
          <w:color w:val="0D0E0E"/>
        </w:rPr>
        <w:t>de</w:t>
      </w:r>
      <w:r>
        <w:rPr>
          <w:color w:val="0D0E0E"/>
          <w:spacing w:val="-8"/>
        </w:rPr>
        <w:t> </w:t>
      </w:r>
      <w:r>
        <w:rPr>
          <w:color w:val="0D0E0E"/>
        </w:rPr>
        <w:t>altas</w:t>
      </w:r>
      <w:r>
        <w:rPr>
          <w:color w:val="0D0E0E"/>
          <w:spacing w:val="-9"/>
        </w:rPr>
        <w:t> </w:t>
      </w:r>
      <w:r>
        <w:rPr>
          <w:color w:val="0D0E0E"/>
        </w:rPr>
        <w:t>do</w:t>
      </w:r>
      <w:r>
        <w:rPr>
          <w:color w:val="0D0E0E"/>
          <w:spacing w:val="-8"/>
        </w:rPr>
        <w:t> </w:t>
      </w:r>
      <w:r>
        <w:rPr>
          <w:color w:val="0D0E0E"/>
        </w:rPr>
        <w:t>índice</w:t>
      </w:r>
      <w:r>
        <w:rPr>
          <w:color w:val="0D0E0E"/>
          <w:spacing w:val="-10"/>
        </w:rPr>
        <w:t> </w:t>
      </w:r>
      <w:r>
        <w:rPr>
          <w:color w:val="0D0E0E"/>
        </w:rPr>
        <w:t>foi</w:t>
      </w:r>
      <w:r>
        <w:rPr>
          <w:color w:val="0D0E0E"/>
          <w:spacing w:val="-9"/>
        </w:rPr>
        <w:t> </w:t>
      </w:r>
      <w:r>
        <w:rPr>
          <w:color w:val="0D0E0E"/>
        </w:rPr>
        <w:t>de</w:t>
      </w:r>
      <w:r>
        <w:rPr>
          <w:color w:val="0D0E0E"/>
          <w:spacing w:val="-8"/>
        </w:rPr>
        <w:t> </w:t>
      </w:r>
      <w:r>
        <w:rPr>
          <w:color w:val="0D0E0E"/>
        </w:rPr>
        <w:t>nove</w:t>
      </w:r>
      <w:r>
        <w:rPr>
          <w:color w:val="0D0E0E"/>
          <w:spacing w:val="-8"/>
        </w:rPr>
        <w:t> </w:t>
      </w:r>
      <w:r>
        <w:rPr>
          <w:color w:val="0D0E0E"/>
        </w:rPr>
        <w:t>semanas seguidas,</w:t>
      </w:r>
      <w:r>
        <w:rPr>
          <w:color w:val="0D0E0E"/>
          <w:spacing w:val="-14"/>
        </w:rPr>
        <w:t> </w:t>
      </w:r>
      <w:r>
        <w:rPr>
          <w:color w:val="0D0E0E"/>
        </w:rPr>
        <w:t>melhor</w:t>
      </w:r>
      <w:r>
        <w:rPr>
          <w:color w:val="0D0E0E"/>
          <w:spacing w:val="-14"/>
        </w:rPr>
        <w:t> </w:t>
      </w:r>
      <w:r>
        <w:rPr>
          <w:color w:val="0D0E0E"/>
        </w:rPr>
        <w:t>sequência</w:t>
      </w:r>
      <w:r>
        <w:rPr>
          <w:color w:val="0D0E0E"/>
          <w:spacing w:val="-13"/>
        </w:rPr>
        <w:t> </w:t>
      </w:r>
      <w:r>
        <w:rPr>
          <w:color w:val="0D0E0E"/>
        </w:rPr>
        <w:t>desde</w:t>
      </w:r>
      <w:r>
        <w:rPr>
          <w:color w:val="0D0E0E"/>
          <w:spacing w:val="-14"/>
        </w:rPr>
        <w:t> </w:t>
      </w:r>
      <w:r>
        <w:rPr>
          <w:color w:val="0D0E0E"/>
        </w:rPr>
        <w:t>2004,</w:t>
      </w:r>
      <w:r>
        <w:rPr>
          <w:color w:val="0D0E0E"/>
          <w:spacing w:val="-13"/>
        </w:rPr>
        <w:t> </w:t>
      </w:r>
      <w:r>
        <w:rPr>
          <w:color w:val="0D0E0E"/>
        </w:rPr>
        <w:t>e</w:t>
      </w:r>
      <w:r>
        <w:rPr>
          <w:color w:val="0D0E0E"/>
          <w:spacing w:val="-14"/>
        </w:rPr>
        <w:t> </w:t>
      </w:r>
      <w:r>
        <w:rPr>
          <w:color w:val="0D0E0E"/>
        </w:rPr>
        <w:t>as</w:t>
      </w:r>
      <w:r>
        <w:rPr>
          <w:color w:val="0D0E0E"/>
          <w:spacing w:val="-13"/>
        </w:rPr>
        <w:t> </w:t>
      </w:r>
      <w:r>
        <w:rPr>
          <w:color w:val="0D0E0E"/>
        </w:rPr>
        <w:t>empresas</w:t>
      </w:r>
      <w:r>
        <w:rPr>
          <w:color w:val="0D0E0E"/>
          <w:spacing w:val="-14"/>
        </w:rPr>
        <w:t> </w:t>
      </w:r>
      <w:r>
        <w:rPr>
          <w:color w:val="0D0E0E"/>
        </w:rPr>
        <w:t>que</w:t>
      </w:r>
      <w:r>
        <w:rPr>
          <w:color w:val="0D0E0E"/>
          <w:spacing w:val="-14"/>
        </w:rPr>
        <w:t> </w:t>
      </w:r>
      <w:r>
        <w:rPr>
          <w:color w:val="0D0E0E"/>
        </w:rPr>
        <w:t>mais</w:t>
      </w:r>
      <w:r>
        <w:rPr>
          <w:color w:val="0D0E0E"/>
          <w:spacing w:val="-13"/>
        </w:rPr>
        <w:t> </w:t>
      </w:r>
      <w:r>
        <w:rPr>
          <w:color w:val="0D0E0E"/>
        </w:rPr>
        <w:t>se</w:t>
      </w:r>
      <w:r>
        <w:rPr>
          <w:color w:val="0D0E0E"/>
          <w:spacing w:val="-14"/>
        </w:rPr>
        <w:t> </w:t>
      </w:r>
      <w:r>
        <w:rPr>
          <w:color w:val="0D0E0E"/>
        </w:rPr>
        <w:t>destacaram</w:t>
      </w:r>
      <w:r>
        <w:rPr>
          <w:color w:val="0D0E0E"/>
          <w:spacing w:val="-13"/>
        </w:rPr>
        <w:t> </w:t>
      </w:r>
      <w:r>
        <w:rPr>
          <w:color w:val="0D0E0E"/>
        </w:rPr>
        <w:t>estão</w:t>
      </w:r>
      <w:r>
        <w:rPr>
          <w:color w:val="0D0E0E"/>
          <w:spacing w:val="-14"/>
        </w:rPr>
        <w:t> </w:t>
      </w:r>
      <w:r>
        <w:rPr>
          <w:color w:val="0D0E0E"/>
        </w:rPr>
        <w:t>ligadas ao setor de tecnologia, setor esse que ao longo do ano foram muito impulsionadas pelas inovações vinculadas à inteligência artificial.</w:t>
      </w:r>
    </w:p>
    <w:p>
      <w:pPr>
        <w:pStyle w:val="BodyText"/>
        <w:spacing w:before="242"/>
        <w:ind w:left="703" w:right="644"/>
        <w:jc w:val="center"/>
      </w:pPr>
      <w:r>
        <w:rPr>
          <w:color w:val="0D0E0E"/>
        </w:rPr>
        <w:t>Índice</w:t>
      </w:r>
      <w:r>
        <w:rPr>
          <w:color w:val="0D0E0E"/>
          <w:spacing w:val="-3"/>
        </w:rPr>
        <w:t> </w:t>
      </w:r>
      <w:r>
        <w:rPr>
          <w:color w:val="0D0E0E"/>
        </w:rPr>
        <w:t>S&amp;P</w:t>
      </w:r>
      <w:r>
        <w:rPr>
          <w:color w:val="0D0E0E"/>
          <w:spacing w:val="-2"/>
        </w:rPr>
        <w:t> </w:t>
      </w:r>
      <w:r>
        <w:rPr>
          <w:color w:val="0D0E0E"/>
          <w:spacing w:val="-4"/>
        </w:rPr>
        <w:t>500:</w:t>
      </w:r>
    </w:p>
    <w:p>
      <w:pPr>
        <w:pStyle w:val="BodyText"/>
        <w:rPr>
          <w:sz w:val="9"/>
        </w:rPr>
      </w:pPr>
      <w:r>
        <w:rPr>
          <w:sz w:val="9"/>
        </w:rPr>
        <w:drawing>
          <wp:anchor distT="0" distB="0" distL="0" distR="0" allowOverlap="1" layoutInCell="1" locked="0" behindDoc="1" simplePos="0" relativeHeight="487593472">
            <wp:simplePos x="0" y="0"/>
            <wp:positionH relativeFrom="page">
              <wp:posOffset>716280</wp:posOffset>
            </wp:positionH>
            <wp:positionV relativeFrom="paragraph">
              <wp:posOffset>85033</wp:posOffset>
            </wp:positionV>
            <wp:extent cx="6294949" cy="2444591"/>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6294949" cy="2444591"/>
                    </a:xfrm>
                    <a:prstGeom prst="rect">
                      <a:avLst/>
                    </a:prstGeom>
                  </pic:spPr>
                </pic:pic>
              </a:graphicData>
            </a:graphic>
          </wp:anchor>
        </w:drawing>
      </w:r>
    </w:p>
    <w:p>
      <w:pPr>
        <w:pStyle w:val="BodyText"/>
        <w:spacing w:before="214"/>
      </w:pPr>
    </w:p>
    <w:p>
      <w:pPr>
        <w:spacing w:before="0"/>
        <w:ind w:left="1317" w:right="0" w:firstLine="0"/>
        <w:jc w:val="left"/>
        <w:rPr>
          <w:i/>
          <w:sz w:val="20"/>
        </w:rPr>
      </w:pPr>
      <w:r>
        <w:rPr>
          <w:i/>
          <w:color w:val="0D0E0E"/>
          <w:sz w:val="20"/>
        </w:rPr>
        <w:t>fonte:</w:t>
      </w:r>
      <w:r>
        <w:rPr>
          <w:i/>
          <w:color w:val="0D0E0E"/>
          <w:spacing w:val="-6"/>
          <w:sz w:val="20"/>
        </w:rPr>
        <w:t> </w:t>
      </w:r>
      <w:r>
        <w:rPr>
          <w:i/>
          <w:color w:val="0D0E0E"/>
          <w:spacing w:val="-2"/>
          <w:sz w:val="20"/>
        </w:rPr>
        <w:t>https://tradingeconomics.com/spx:ind</w:t>
      </w:r>
    </w:p>
    <w:p>
      <w:pPr>
        <w:spacing w:after="0"/>
        <w:jc w:val="left"/>
        <w:rPr>
          <w:i/>
          <w:sz w:val="20"/>
        </w:rPr>
        <w:sectPr>
          <w:pgSz w:w="11920" w:h="16850"/>
          <w:pgMar w:top="1320" w:bottom="280" w:left="992" w:right="141"/>
        </w:sectPr>
      </w:pPr>
    </w:p>
    <w:p>
      <w:pPr>
        <w:pStyle w:val="BodyText"/>
        <w:spacing w:before="39"/>
        <w:ind w:left="609" w:right="1256" w:firstLine="707"/>
        <w:jc w:val="both"/>
      </w:pPr>
      <w:r>
        <w:rPr>
          <w:color w:val="0D0E0E"/>
        </w:rPr>
        <w:t>Além</w:t>
      </w:r>
      <w:r>
        <w:rPr>
          <w:color w:val="0D0E0E"/>
          <w:spacing w:val="-2"/>
        </w:rPr>
        <w:t> </w:t>
      </w:r>
      <w:r>
        <w:rPr>
          <w:color w:val="0D0E0E"/>
        </w:rPr>
        <w:t>do S&amp;P500, o</w:t>
      </w:r>
      <w:r>
        <w:rPr>
          <w:color w:val="0D0E0E"/>
          <w:spacing w:val="-2"/>
        </w:rPr>
        <w:t> </w:t>
      </w:r>
      <w:r>
        <w:rPr>
          <w:color w:val="0D0E0E"/>
        </w:rPr>
        <w:t>índice Nasdaq,</w:t>
      </w:r>
      <w:r>
        <w:rPr>
          <w:color w:val="0D0E0E"/>
          <w:spacing w:val="-3"/>
        </w:rPr>
        <w:t> </w:t>
      </w:r>
      <w:r>
        <w:rPr>
          <w:color w:val="0D0E0E"/>
        </w:rPr>
        <w:t>vinculado</w:t>
      </w:r>
      <w:r>
        <w:rPr>
          <w:color w:val="0D0E0E"/>
          <w:spacing w:val="-2"/>
        </w:rPr>
        <w:t> </w:t>
      </w:r>
      <w:r>
        <w:rPr>
          <w:color w:val="0D0E0E"/>
        </w:rPr>
        <w:t>a</w:t>
      </w:r>
      <w:r>
        <w:rPr>
          <w:color w:val="0D0E0E"/>
          <w:spacing w:val="-3"/>
        </w:rPr>
        <w:t> </w:t>
      </w:r>
      <w:r>
        <w:rPr>
          <w:color w:val="0D0E0E"/>
        </w:rPr>
        <w:t>empresas</w:t>
      </w:r>
      <w:r>
        <w:rPr>
          <w:color w:val="0D0E0E"/>
          <w:spacing w:val="-3"/>
        </w:rPr>
        <w:t> </w:t>
      </w:r>
      <w:r>
        <w:rPr>
          <w:color w:val="0D0E0E"/>
        </w:rPr>
        <w:t>de</w:t>
      </w:r>
      <w:r>
        <w:rPr>
          <w:color w:val="0D0E0E"/>
          <w:spacing w:val="-2"/>
        </w:rPr>
        <w:t> </w:t>
      </w:r>
      <w:r>
        <w:rPr>
          <w:color w:val="0D0E0E"/>
        </w:rPr>
        <w:t>tecnologia, subiu</w:t>
      </w:r>
      <w:r>
        <w:rPr>
          <w:color w:val="0D0E0E"/>
          <w:spacing w:val="-2"/>
        </w:rPr>
        <w:t> </w:t>
      </w:r>
      <w:r>
        <w:rPr>
          <w:color w:val="0D0E0E"/>
        </w:rPr>
        <w:t>43,4% ao</w:t>
      </w:r>
      <w:r>
        <w:rPr>
          <w:color w:val="0D0E0E"/>
          <w:spacing w:val="-7"/>
        </w:rPr>
        <w:t> </w:t>
      </w:r>
      <w:r>
        <w:rPr>
          <w:color w:val="0D0E0E"/>
        </w:rPr>
        <w:t>longo</w:t>
      </w:r>
      <w:r>
        <w:rPr>
          <w:color w:val="0D0E0E"/>
          <w:spacing w:val="-7"/>
        </w:rPr>
        <w:t> </w:t>
      </w:r>
      <w:r>
        <w:rPr>
          <w:color w:val="0D0E0E"/>
        </w:rPr>
        <w:t>de</w:t>
      </w:r>
      <w:r>
        <w:rPr>
          <w:color w:val="0D0E0E"/>
          <w:spacing w:val="-9"/>
        </w:rPr>
        <w:t> </w:t>
      </w:r>
      <w:r>
        <w:rPr>
          <w:color w:val="0D0E0E"/>
        </w:rPr>
        <w:t>2023</w:t>
      </w:r>
      <w:r>
        <w:rPr>
          <w:color w:val="0D0E0E"/>
          <w:spacing w:val="-6"/>
        </w:rPr>
        <w:t> </w:t>
      </w:r>
      <w:r>
        <w:rPr>
          <w:color w:val="0D0E0E"/>
        </w:rPr>
        <w:t>aos</w:t>
      </w:r>
      <w:r>
        <w:rPr>
          <w:color w:val="0D0E0E"/>
          <w:spacing w:val="-7"/>
        </w:rPr>
        <w:t> </w:t>
      </w:r>
      <w:r>
        <w:rPr>
          <w:color w:val="0D0E0E"/>
        </w:rPr>
        <w:t>15.011,35</w:t>
      </w:r>
      <w:r>
        <w:rPr>
          <w:color w:val="0D0E0E"/>
          <w:spacing w:val="-7"/>
        </w:rPr>
        <w:t> </w:t>
      </w:r>
      <w:r>
        <w:rPr>
          <w:color w:val="0D0E0E"/>
        </w:rPr>
        <w:t>pontos,</w:t>
      </w:r>
      <w:r>
        <w:rPr>
          <w:color w:val="0D0E0E"/>
          <w:spacing w:val="-7"/>
        </w:rPr>
        <w:t> </w:t>
      </w:r>
      <w:r>
        <w:rPr>
          <w:color w:val="0D0E0E"/>
        </w:rPr>
        <w:t>impulsionado</w:t>
      </w:r>
      <w:r>
        <w:rPr>
          <w:color w:val="0D0E0E"/>
          <w:spacing w:val="-9"/>
        </w:rPr>
        <w:t> </w:t>
      </w:r>
      <w:r>
        <w:rPr>
          <w:color w:val="0D0E0E"/>
        </w:rPr>
        <w:t>principalmente</w:t>
      </w:r>
      <w:r>
        <w:rPr>
          <w:color w:val="0D0E0E"/>
          <w:spacing w:val="-7"/>
        </w:rPr>
        <w:t> </w:t>
      </w:r>
      <w:r>
        <w:rPr>
          <w:color w:val="0D0E0E"/>
        </w:rPr>
        <w:t>por</w:t>
      </w:r>
      <w:r>
        <w:rPr>
          <w:color w:val="0D0E0E"/>
          <w:spacing w:val="-9"/>
        </w:rPr>
        <w:t> </w:t>
      </w:r>
      <w:r>
        <w:rPr>
          <w:color w:val="0D0E0E"/>
        </w:rPr>
        <w:t>empresas</w:t>
      </w:r>
      <w:r>
        <w:rPr>
          <w:color w:val="0D0E0E"/>
          <w:spacing w:val="-10"/>
        </w:rPr>
        <w:t> </w:t>
      </w:r>
      <w:r>
        <w:rPr>
          <w:color w:val="0D0E0E"/>
        </w:rPr>
        <w:t>como</w:t>
      </w:r>
      <w:r>
        <w:rPr>
          <w:color w:val="0D0E0E"/>
          <w:spacing w:val="-7"/>
        </w:rPr>
        <w:t> </w:t>
      </w:r>
      <w:r>
        <w:rPr>
          <w:color w:val="0D0E0E"/>
        </w:rPr>
        <w:t>a Nvidia</w:t>
      </w:r>
      <w:r>
        <w:rPr>
          <w:color w:val="0D0E0E"/>
          <w:spacing w:val="-6"/>
        </w:rPr>
        <w:t> </w:t>
      </w:r>
      <w:r>
        <w:rPr>
          <w:color w:val="0D0E0E"/>
        </w:rPr>
        <w:t>e</w:t>
      </w:r>
      <w:r>
        <w:rPr>
          <w:color w:val="0D0E0E"/>
          <w:spacing w:val="-3"/>
        </w:rPr>
        <w:t> </w:t>
      </w:r>
      <w:r>
        <w:rPr>
          <w:color w:val="0D0E0E"/>
        </w:rPr>
        <w:t>a</w:t>
      </w:r>
      <w:r>
        <w:rPr>
          <w:color w:val="0D0E0E"/>
          <w:spacing w:val="-6"/>
        </w:rPr>
        <w:t> </w:t>
      </w:r>
      <w:r>
        <w:rPr>
          <w:color w:val="0D0E0E"/>
        </w:rPr>
        <w:t>Microsoft.</w:t>
      </w:r>
      <w:r>
        <w:rPr>
          <w:color w:val="0D0E0E"/>
          <w:spacing w:val="-5"/>
        </w:rPr>
        <w:t> </w:t>
      </w:r>
      <w:r>
        <w:rPr>
          <w:color w:val="0D0E0E"/>
        </w:rPr>
        <w:t>O</w:t>
      </w:r>
      <w:r>
        <w:rPr>
          <w:color w:val="0D0E0E"/>
          <w:spacing w:val="-4"/>
        </w:rPr>
        <w:t> </w:t>
      </w:r>
      <w:r>
        <w:rPr>
          <w:color w:val="0D0E0E"/>
        </w:rPr>
        <w:t>índice</w:t>
      </w:r>
      <w:r>
        <w:rPr>
          <w:color w:val="0D0E0E"/>
          <w:spacing w:val="-3"/>
        </w:rPr>
        <w:t> </w:t>
      </w:r>
      <w:r>
        <w:rPr>
          <w:color w:val="0D0E0E"/>
        </w:rPr>
        <w:t>Dow</w:t>
      </w:r>
      <w:r>
        <w:rPr>
          <w:color w:val="0D0E0E"/>
          <w:spacing w:val="-5"/>
        </w:rPr>
        <w:t> </w:t>
      </w:r>
      <w:r>
        <w:rPr>
          <w:color w:val="0D0E0E"/>
        </w:rPr>
        <w:t>Jones</w:t>
      </w:r>
      <w:r>
        <w:rPr>
          <w:color w:val="0D0E0E"/>
          <w:spacing w:val="-6"/>
        </w:rPr>
        <w:t> </w:t>
      </w:r>
      <w:r>
        <w:rPr>
          <w:color w:val="0D0E0E"/>
        </w:rPr>
        <w:t>fechou</w:t>
      </w:r>
      <w:r>
        <w:rPr>
          <w:color w:val="0D0E0E"/>
          <w:spacing w:val="-5"/>
        </w:rPr>
        <w:t> </w:t>
      </w:r>
      <w:r>
        <w:rPr>
          <w:color w:val="0D0E0E"/>
        </w:rPr>
        <w:t>2023</w:t>
      </w:r>
      <w:r>
        <w:rPr>
          <w:color w:val="0D0E0E"/>
          <w:spacing w:val="-6"/>
        </w:rPr>
        <w:t> </w:t>
      </w:r>
      <w:r>
        <w:rPr>
          <w:color w:val="0D0E0E"/>
        </w:rPr>
        <w:t>em</w:t>
      </w:r>
      <w:r>
        <w:rPr>
          <w:color w:val="0D0E0E"/>
          <w:spacing w:val="-3"/>
        </w:rPr>
        <w:t> </w:t>
      </w:r>
      <w:r>
        <w:rPr>
          <w:color w:val="0D0E0E"/>
        </w:rPr>
        <w:t>37.689,54</w:t>
      </w:r>
      <w:r>
        <w:rPr>
          <w:color w:val="0D0E0E"/>
          <w:spacing w:val="-3"/>
        </w:rPr>
        <w:t> </w:t>
      </w:r>
      <w:r>
        <w:rPr>
          <w:color w:val="0D0E0E"/>
        </w:rPr>
        <w:t>com</w:t>
      </w:r>
      <w:r>
        <w:rPr>
          <w:color w:val="0D0E0E"/>
          <w:spacing w:val="-5"/>
        </w:rPr>
        <w:t> </w:t>
      </w:r>
      <w:r>
        <w:rPr>
          <w:color w:val="0D0E0E"/>
        </w:rPr>
        <w:t>alta</w:t>
      </w:r>
      <w:r>
        <w:rPr>
          <w:color w:val="0D0E0E"/>
          <w:spacing w:val="-4"/>
        </w:rPr>
        <w:t> </w:t>
      </w:r>
      <w:r>
        <w:rPr>
          <w:color w:val="0D0E0E"/>
        </w:rPr>
        <w:t>acumulada</w:t>
      </w:r>
      <w:r>
        <w:rPr>
          <w:color w:val="0D0E0E"/>
          <w:spacing w:val="-6"/>
        </w:rPr>
        <w:t> </w:t>
      </w:r>
      <w:r>
        <w:rPr>
          <w:color w:val="0D0E0E"/>
        </w:rPr>
        <w:t>de </w:t>
      </w:r>
      <w:r>
        <w:rPr>
          <w:color w:val="0D0E0E"/>
          <w:spacing w:val="-4"/>
        </w:rPr>
        <w:t>13,7%</w:t>
      </w:r>
    </w:p>
    <w:p>
      <w:pPr>
        <w:pStyle w:val="BodyText"/>
        <w:spacing w:after="0"/>
        <w:jc w:val="both"/>
        <w:sectPr>
          <w:pgSz w:w="11920" w:h="16850"/>
          <w:pgMar w:top="1320" w:bottom="280" w:left="992" w:right="141"/>
        </w:sectPr>
      </w:pPr>
    </w:p>
    <w:p>
      <w:pPr>
        <w:pStyle w:val="Heading1"/>
      </w:pPr>
      <w:r>
        <w:rPr/>
        <w:t>Zona</w:t>
      </w:r>
      <w:r>
        <w:rPr>
          <w:spacing w:val="-2"/>
        </w:rPr>
        <w:t> </w:t>
      </w:r>
      <w:r>
        <w:rPr/>
        <w:t>do</w:t>
      </w:r>
      <w:r>
        <w:rPr>
          <w:spacing w:val="-2"/>
        </w:rPr>
        <w:t> </w:t>
      </w:r>
      <w:r>
        <w:rPr>
          <w:spacing w:val="-4"/>
        </w:rPr>
        <w:t>Euro</w:t>
      </w:r>
    </w:p>
    <w:p>
      <w:pPr>
        <w:pStyle w:val="Heading3"/>
        <w:spacing w:before="240"/>
      </w:pPr>
      <w:r>
        <w:rPr>
          <w:spacing w:val="-2"/>
        </w:rPr>
        <w:t>Inflação</w:t>
      </w:r>
    </w:p>
    <w:p>
      <w:pPr>
        <w:pStyle w:val="BodyText"/>
        <w:spacing w:before="239"/>
        <w:ind w:left="609" w:right="1258" w:firstLine="707"/>
        <w:jc w:val="both"/>
      </w:pPr>
      <w:r>
        <w:rPr>
          <w:color w:val="0D0E0E"/>
        </w:rPr>
        <w:t>A inflação europeia em dezembro de 2023 fechou abaixo das expectativas de mercado,</w:t>
      </w:r>
      <w:r>
        <w:rPr>
          <w:color w:val="0D0E0E"/>
          <w:spacing w:val="-3"/>
        </w:rPr>
        <w:t> </w:t>
      </w:r>
      <w:r>
        <w:rPr>
          <w:color w:val="0D0E0E"/>
        </w:rPr>
        <w:t>que</w:t>
      </w:r>
      <w:r>
        <w:rPr>
          <w:color w:val="0D0E0E"/>
          <w:spacing w:val="-3"/>
        </w:rPr>
        <w:t> </w:t>
      </w:r>
      <w:r>
        <w:rPr>
          <w:color w:val="0D0E0E"/>
        </w:rPr>
        <w:t>previam</w:t>
      </w:r>
      <w:r>
        <w:rPr>
          <w:color w:val="0D0E0E"/>
          <w:spacing w:val="-2"/>
        </w:rPr>
        <w:t> </w:t>
      </w:r>
      <w:r>
        <w:rPr>
          <w:color w:val="0D0E0E"/>
        </w:rPr>
        <w:t>em</w:t>
      </w:r>
      <w:r>
        <w:rPr>
          <w:color w:val="0D0E0E"/>
          <w:spacing w:val="-2"/>
        </w:rPr>
        <w:t> </w:t>
      </w:r>
      <w:r>
        <w:rPr>
          <w:color w:val="0D0E0E"/>
        </w:rPr>
        <w:t>torno</w:t>
      </w:r>
      <w:r>
        <w:rPr>
          <w:color w:val="0D0E0E"/>
          <w:spacing w:val="-1"/>
        </w:rPr>
        <w:t> </w:t>
      </w:r>
      <w:r>
        <w:rPr>
          <w:color w:val="0D0E0E"/>
        </w:rPr>
        <w:t>de</w:t>
      </w:r>
      <w:r>
        <w:rPr>
          <w:color w:val="0D0E0E"/>
          <w:spacing w:val="-3"/>
        </w:rPr>
        <w:t> </w:t>
      </w:r>
      <w:r>
        <w:rPr>
          <w:color w:val="0D0E0E"/>
        </w:rPr>
        <w:t>3%,</w:t>
      </w:r>
      <w:r>
        <w:rPr>
          <w:color w:val="0D0E0E"/>
          <w:spacing w:val="-2"/>
        </w:rPr>
        <w:t> </w:t>
      </w:r>
      <w:r>
        <w:rPr>
          <w:color w:val="0D0E0E"/>
        </w:rPr>
        <w:t>anualizada,</w:t>
      </w:r>
      <w:r>
        <w:rPr>
          <w:color w:val="0D0E0E"/>
          <w:spacing w:val="-1"/>
        </w:rPr>
        <w:t> </w:t>
      </w:r>
      <w:r>
        <w:rPr>
          <w:color w:val="0D0E0E"/>
        </w:rPr>
        <w:t>porém</w:t>
      </w:r>
      <w:r>
        <w:rPr>
          <w:color w:val="0D0E0E"/>
          <w:spacing w:val="-1"/>
        </w:rPr>
        <w:t> </w:t>
      </w:r>
      <w:r>
        <w:rPr>
          <w:color w:val="0D0E0E"/>
        </w:rPr>
        <w:t>acima</w:t>
      </w:r>
      <w:r>
        <w:rPr>
          <w:color w:val="0D0E0E"/>
          <w:spacing w:val="-2"/>
        </w:rPr>
        <w:t> </w:t>
      </w:r>
      <w:r>
        <w:rPr>
          <w:color w:val="0D0E0E"/>
        </w:rPr>
        <w:t>dos</w:t>
      </w:r>
      <w:r>
        <w:rPr>
          <w:color w:val="0D0E0E"/>
          <w:spacing w:val="-1"/>
        </w:rPr>
        <w:t> </w:t>
      </w:r>
      <w:r>
        <w:rPr>
          <w:color w:val="0D0E0E"/>
        </w:rPr>
        <w:t>2,4%</w:t>
      </w:r>
      <w:r>
        <w:rPr>
          <w:color w:val="0D0E0E"/>
          <w:spacing w:val="-1"/>
        </w:rPr>
        <w:t> </w:t>
      </w:r>
      <w:r>
        <w:rPr>
          <w:color w:val="0D0E0E"/>
        </w:rPr>
        <w:t>de</w:t>
      </w:r>
      <w:r>
        <w:rPr>
          <w:color w:val="0D0E0E"/>
          <w:spacing w:val="-3"/>
        </w:rPr>
        <w:t> </w:t>
      </w:r>
      <w:r>
        <w:rPr>
          <w:color w:val="0D0E0E"/>
        </w:rPr>
        <w:t>novembro,</w:t>
      </w:r>
      <w:r>
        <w:rPr>
          <w:color w:val="0D0E0E"/>
          <w:spacing w:val="-2"/>
        </w:rPr>
        <w:t> </w:t>
      </w:r>
      <w:r>
        <w:rPr>
          <w:color w:val="0D0E0E"/>
        </w:rPr>
        <w:t>o que preocupou o mercado que ansiava por uma redução mais antecipada dos juros.</w:t>
      </w:r>
    </w:p>
    <w:p>
      <w:pPr>
        <w:pStyle w:val="BodyText"/>
        <w:spacing w:before="241"/>
        <w:ind w:left="609" w:right="1261" w:firstLine="707"/>
        <w:jc w:val="both"/>
      </w:pPr>
      <w:r>
        <w:rPr>
          <w:color w:val="0D0E0E"/>
        </w:rPr>
        <w:t>O</w:t>
      </w:r>
      <w:r>
        <w:rPr>
          <w:color w:val="0D0E0E"/>
          <w:spacing w:val="-9"/>
        </w:rPr>
        <w:t> </w:t>
      </w:r>
      <w:r>
        <w:rPr>
          <w:color w:val="0D0E0E"/>
        </w:rPr>
        <w:t>CPI</w:t>
      </w:r>
      <w:r>
        <w:rPr>
          <w:color w:val="0D0E0E"/>
          <w:spacing w:val="-8"/>
        </w:rPr>
        <w:t> </w:t>
      </w:r>
      <w:r>
        <w:rPr>
          <w:color w:val="0D0E0E"/>
        </w:rPr>
        <w:t>anual</w:t>
      </w:r>
      <w:r>
        <w:rPr>
          <w:color w:val="0D0E0E"/>
          <w:spacing w:val="-11"/>
        </w:rPr>
        <w:t> </w:t>
      </w:r>
      <w:r>
        <w:rPr>
          <w:color w:val="0D0E0E"/>
        </w:rPr>
        <w:t>de</w:t>
      </w:r>
      <w:r>
        <w:rPr>
          <w:color w:val="0D0E0E"/>
          <w:spacing w:val="-8"/>
        </w:rPr>
        <w:t> </w:t>
      </w:r>
      <w:r>
        <w:rPr>
          <w:color w:val="0D0E0E"/>
        </w:rPr>
        <w:t>dezembro</w:t>
      </w:r>
      <w:r>
        <w:rPr>
          <w:color w:val="0D0E0E"/>
          <w:spacing w:val="-10"/>
        </w:rPr>
        <w:t> </w:t>
      </w:r>
      <w:r>
        <w:rPr>
          <w:color w:val="0D0E0E"/>
        </w:rPr>
        <w:t>fechou</w:t>
      </w:r>
      <w:r>
        <w:rPr>
          <w:color w:val="0D0E0E"/>
          <w:spacing w:val="-8"/>
        </w:rPr>
        <w:t> </w:t>
      </w:r>
      <w:r>
        <w:rPr>
          <w:color w:val="0D0E0E"/>
        </w:rPr>
        <w:t>em</w:t>
      </w:r>
      <w:r>
        <w:rPr>
          <w:color w:val="0D0E0E"/>
          <w:spacing w:val="-10"/>
        </w:rPr>
        <w:t> </w:t>
      </w:r>
      <w:r>
        <w:rPr>
          <w:color w:val="0D0E0E"/>
        </w:rPr>
        <w:t>2,9%,</w:t>
      </w:r>
      <w:r>
        <w:rPr>
          <w:color w:val="0D0E0E"/>
          <w:spacing w:val="-11"/>
        </w:rPr>
        <w:t> </w:t>
      </w:r>
      <w:r>
        <w:rPr>
          <w:color w:val="0D0E0E"/>
        </w:rPr>
        <w:t>e</w:t>
      </w:r>
      <w:r>
        <w:rPr>
          <w:color w:val="0D0E0E"/>
          <w:spacing w:val="-8"/>
        </w:rPr>
        <w:t> </w:t>
      </w:r>
      <w:r>
        <w:rPr>
          <w:color w:val="0D0E0E"/>
        </w:rPr>
        <w:t>os</w:t>
      </w:r>
      <w:r>
        <w:rPr>
          <w:color w:val="0D0E0E"/>
          <w:spacing w:val="-11"/>
        </w:rPr>
        <w:t> </w:t>
      </w:r>
      <w:r>
        <w:rPr>
          <w:color w:val="0D0E0E"/>
        </w:rPr>
        <w:t>principais</w:t>
      </w:r>
      <w:r>
        <w:rPr>
          <w:color w:val="0D0E0E"/>
          <w:spacing w:val="-9"/>
        </w:rPr>
        <w:t> </w:t>
      </w:r>
      <w:r>
        <w:rPr>
          <w:color w:val="0D0E0E"/>
        </w:rPr>
        <w:t>itens</w:t>
      </w:r>
      <w:r>
        <w:rPr>
          <w:color w:val="0D0E0E"/>
          <w:spacing w:val="-9"/>
        </w:rPr>
        <w:t> </w:t>
      </w:r>
      <w:r>
        <w:rPr>
          <w:color w:val="0D0E0E"/>
        </w:rPr>
        <w:t>responsáveis</w:t>
      </w:r>
      <w:r>
        <w:rPr>
          <w:color w:val="0D0E0E"/>
          <w:spacing w:val="-9"/>
        </w:rPr>
        <w:t> </w:t>
      </w:r>
      <w:r>
        <w:rPr>
          <w:color w:val="0D0E0E"/>
        </w:rPr>
        <w:t>por</w:t>
      </w:r>
      <w:r>
        <w:rPr>
          <w:color w:val="0D0E0E"/>
          <w:spacing w:val="-8"/>
        </w:rPr>
        <w:t> </w:t>
      </w:r>
      <w:r>
        <w:rPr>
          <w:color w:val="0D0E0E"/>
        </w:rPr>
        <w:t>essa subida foram Energia, Alimentos, Álcool, Tabaco e Bens Industriais não Energéticos.</w:t>
      </w:r>
    </w:p>
    <w:p>
      <w:pPr>
        <w:pStyle w:val="BodyText"/>
        <w:spacing w:before="240"/>
        <w:ind w:left="703" w:right="644"/>
        <w:jc w:val="center"/>
      </w:pPr>
      <w:r>
        <w:rPr>
          <w:color w:val="0D0E0E"/>
        </w:rPr>
        <w:t>CPI</w:t>
      </w:r>
      <w:r>
        <w:rPr>
          <w:color w:val="0D0E0E"/>
          <w:spacing w:val="-3"/>
        </w:rPr>
        <w:t> </w:t>
      </w:r>
      <w:r>
        <w:rPr>
          <w:color w:val="0D0E0E"/>
        </w:rPr>
        <w:t>– Zona</w:t>
      </w:r>
      <w:r>
        <w:rPr>
          <w:color w:val="0D0E0E"/>
          <w:spacing w:val="-2"/>
        </w:rPr>
        <w:t> </w:t>
      </w:r>
      <w:r>
        <w:rPr>
          <w:color w:val="0D0E0E"/>
        </w:rPr>
        <w:t>do </w:t>
      </w:r>
      <w:r>
        <w:rPr>
          <w:color w:val="0D0E0E"/>
          <w:spacing w:val="-4"/>
        </w:rPr>
        <w:t>Euro:</w:t>
      </w:r>
    </w:p>
    <w:p>
      <w:pPr>
        <w:pStyle w:val="BodyText"/>
        <w:spacing w:before="2"/>
        <w:rPr>
          <w:sz w:val="5"/>
        </w:rPr>
      </w:pPr>
      <w:r>
        <w:rPr>
          <w:sz w:val="5"/>
        </w:rPr>
        <w:drawing>
          <wp:anchor distT="0" distB="0" distL="0" distR="0" allowOverlap="1" layoutInCell="1" locked="0" behindDoc="1" simplePos="0" relativeHeight="487593984">
            <wp:simplePos x="0" y="0"/>
            <wp:positionH relativeFrom="page">
              <wp:posOffset>1013460</wp:posOffset>
            </wp:positionH>
            <wp:positionV relativeFrom="paragraph">
              <wp:posOffset>55368</wp:posOffset>
            </wp:positionV>
            <wp:extent cx="5648398" cy="2808351"/>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7" cstate="print"/>
                    <a:stretch>
                      <a:fillRect/>
                    </a:stretch>
                  </pic:blipFill>
                  <pic:spPr>
                    <a:xfrm>
                      <a:off x="0" y="0"/>
                      <a:ext cx="5648398" cy="2808351"/>
                    </a:xfrm>
                    <a:prstGeom prst="rect">
                      <a:avLst/>
                    </a:prstGeom>
                  </pic:spPr>
                </pic:pic>
              </a:graphicData>
            </a:graphic>
          </wp:anchor>
        </w:drawing>
      </w:r>
    </w:p>
    <w:p>
      <w:pPr>
        <w:spacing w:before="20"/>
        <w:ind w:left="1317" w:right="0" w:firstLine="0"/>
        <w:jc w:val="left"/>
        <w:rPr>
          <w:i/>
          <w:sz w:val="20"/>
        </w:rPr>
      </w:pPr>
      <w:r>
        <w:rPr>
          <w:i/>
          <w:color w:val="0D0E0E"/>
          <w:spacing w:val="-2"/>
          <w:sz w:val="20"/>
        </w:rPr>
        <w:t>Fonte:</w:t>
      </w:r>
      <w:r>
        <w:rPr>
          <w:i/>
          <w:color w:val="0D0E0E"/>
          <w:spacing w:val="53"/>
          <w:sz w:val="20"/>
        </w:rPr>
        <w:t> </w:t>
      </w:r>
      <w:r>
        <w:rPr>
          <w:i/>
          <w:color w:val="0D0E0E"/>
          <w:spacing w:val="-2"/>
          <w:sz w:val="20"/>
        </w:rPr>
        <w:t>https://tradingeconomics.com/euro-area/inflation-</w:t>
      </w:r>
      <w:r>
        <w:rPr>
          <w:i/>
          <w:color w:val="0D0E0E"/>
          <w:spacing w:val="-5"/>
          <w:sz w:val="20"/>
        </w:rPr>
        <w:t>cpi</w:t>
      </w:r>
    </w:p>
    <w:p>
      <w:pPr>
        <w:pStyle w:val="BodyText"/>
        <w:spacing w:before="238"/>
        <w:ind w:left="1317"/>
      </w:pPr>
      <w:r>
        <w:rPr>
          <w:color w:val="0D0E0E"/>
        </w:rPr>
        <w:t>É</w:t>
      </w:r>
      <w:r>
        <w:rPr>
          <w:color w:val="0D0E0E"/>
          <w:spacing w:val="-4"/>
        </w:rPr>
        <w:t> </w:t>
      </w:r>
      <w:r>
        <w:rPr>
          <w:color w:val="0D0E0E"/>
        </w:rPr>
        <w:t>válido</w:t>
      </w:r>
      <w:r>
        <w:rPr>
          <w:color w:val="0D0E0E"/>
          <w:spacing w:val="-4"/>
        </w:rPr>
        <w:t> </w:t>
      </w:r>
      <w:r>
        <w:rPr>
          <w:color w:val="0D0E0E"/>
        </w:rPr>
        <w:t>mencionar</w:t>
      </w:r>
      <w:r>
        <w:rPr>
          <w:color w:val="0D0E0E"/>
          <w:spacing w:val="-4"/>
        </w:rPr>
        <w:t> </w:t>
      </w:r>
      <w:r>
        <w:rPr>
          <w:color w:val="0D0E0E"/>
        </w:rPr>
        <w:t>que</w:t>
      </w:r>
      <w:r>
        <w:rPr>
          <w:color w:val="0D0E0E"/>
          <w:spacing w:val="-3"/>
        </w:rPr>
        <w:t> </w:t>
      </w:r>
      <w:r>
        <w:rPr>
          <w:color w:val="0D0E0E"/>
        </w:rPr>
        <w:t>uma</w:t>
      </w:r>
      <w:r>
        <w:rPr>
          <w:color w:val="0D0E0E"/>
          <w:spacing w:val="-1"/>
        </w:rPr>
        <w:t> </w:t>
      </w:r>
      <w:r>
        <w:rPr>
          <w:color w:val="0D0E0E"/>
        </w:rPr>
        <w:t>aceleração</w:t>
      </w:r>
      <w:r>
        <w:rPr>
          <w:color w:val="0D0E0E"/>
          <w:spacing w:val="-4"/>
        </w:rPr>
        <w:t> </w:t>
      </w:r>
      <w:r>
        <w:rPr>
          <w:color w:val="0D0E0E"/>
        </w:rPr>
        <w:t>do</w:t>
      </w:r>
      <w:r>
        <w:rPr>
          <w:color w:val="0D0E0E"/>
          <w:spacing w:val="-2"/>
        </w:rPr>
        <w:t> </w:t>
      </w:r>
      <w:r>
        <w:rPr>
          <w:color w:val="0D0E0E"/>
        </w:rPr>
        <w:t>CPI</w:t>
      </w:r>
      <w:r>
        <w:rPr>
          <w:color w:val="0D0E0E"/>
          <w:spacing w:val="-4"/>
        </w:rPr>
        <w:t> </w:t>
      </w:r>
      <w:r>
        <w:rPr>
          <w:color w:val="0D0E0E"/>
        </w:rPr>
        <w:t>não</w:t>
      </w:r>
      <w:r>
        <w:rPr>
          <w:color w:val="0D0E0E"/>
          <w:spacing w:val="-1"/>
        </w:rPr>
        <w:t> </w:t>
      </w:r>
      <w:r>
        <w:rPr>
          <w:color w:val="0D0E0E"/>
        </w:rPr>
        <w:t>acontecia</w:t>
      </w:r>
      <w:r>
        <w:rPr>
          <w:color w:val="0D0E0E"/>
          <w:spacing w:val="-4"/>
        </w:rPr>
        <w:t> </w:t>
      </w:r>
      <w:r>
        <w:rPr>
          <w:color w:val="0D0E0E"/>
        </w:rPr>
        <w:t>desde</w:t>
      </w:r>
      <w:r>
        <w:rPr>
          <w:color w:val="0D0E0E"/>
          <w:spacing w:val="-1"/>
        </w:rPr>
        <w:t> </w:t>
      </w:r>
      <w:r>
        <w:rPr>
          <w:color w:val="0D0E0E"/>
        </w:rPr>
        <w:t>abril</w:t>
      </w:r>
      <w:r>
        <w:rPr>
          <w:color w:val="0D0E0E"/>
          <w:spacing w:val="-4"/>
        </w:rPr>
        <w:t> </w:t>
      </w:r>
      <w:r>
        <w:rPr>
          <w:color w:val="0D0E0E"/>
        </w:rPr>
        <w:t>de</w:t>
      </w:r>
      <w:r>
        <w:rPr>
          <w:color w:val="0D0E0E"/>
          <w:spacing w:val="-1"/>
        </w:rPr>
        <w:t> </w:t>
      </w:r>
      <w:r>
        <w:rPr>
          <w:color w:val="0D0E0E"/>
          <w:spacing w:val="-2"/>
        </w:rPr>
        <w:t>2023.</w:t>
      </w:r>
    </w:p>
    <w:p>
      <w:pPr>
        <w:pStyle w:val="BodyText"/>
        <w:spacing w:after="0"/>
        <w:sectPr>
          <w:pgSz w:w="11920" w:h="16850"/>
          <w:pgMar w:top="1340" w:bottom="280" w:left="992" w:right="141"/>
        </w:sectPr>
      </w:pPr>
    </w:p>
    <w:p>
      <w:pPr>
        <w:pStyle w:val="BodyText"/>
        <w:spacing w:before="39"/>
        <w:ind w:left="705" w:right="644"/>
        <w:jc w:val="center"/>
      </w:pPr>
      <w:r>
        <w:rPr>
          <w:color w:val="0D0E0E"/>
        </w:rPr>
        <w:t>No</w:t>
      </w:r>
      <w:r>
        <w:rPr>
          <w:color w:val="0D0E0E"/>
          <w:spacing w:val="-16"/>
        </w:rPr>
        <w:t> </w:t>
      </w:r>
      <w:r>
        <w:rPr>
          <w:color w:val="0D0E0E"/>
        </w:rPr>
        <w:t>mês,</w:t>
      </w:r>
      <w:r>
        <w:rPr>
          <w:color w:val="0D0E0E"/>
          <w:spacing w:val="-13"/>
        </w:rPr>
        <w:t> </w:t>
      </w:r>
      <w:r>
        <w:rPr>
          <w:color w:val="0D0E0E"/>
        </w:rPr>
        <w:t>a</w:t>
      </w:r>
      <w:r>
        <w:rPr>
          <w:color w:val="0D0E0E"/>
          <w:spacing w:val="-10"/>
        </w:rPr>
        <w:t> </w:t>
      </w:r>
      <w:r>
        <w:rPr>
          <w:color w:val="0D0E0E"/>
        </w:rPr>
        <w:t>variação</w:t>
      </w:r>
      <w:r>
        <w:rPr>
          <w:color w:val="0D0E0E"/>
          <w:spacing w:val="-10"/>
        </w:rPr>
        <w:t> </w:t>
      </w:r>
      <w:r>
        <w:rPr>
          <w:color w:val="0D0E0E"/>
        </w:rPr>
        <w:t>veio</w:t>
      </w:r>
      <w:r>
        <w:rPr>
          <w:color w:val="0D0E0E"/>
          <w:spacing w:val="-12"/>
        </w:rPr>
        <w:t> </w:t>
      </w:r>
      <w:r>
        <w:rPr>
          <w:color w:val="0D0E0E"/>
        </w:rPr>
        <w:t>em</w:t>
      </w:r>
      <w:r>
        <w:rPr>
          <w:color w:val="0D0E0E"/>
          <w:spacing w:val="-11"/>
        </w:rPr>
        <w:t> </w:t>
      </w:r>
      <w:r>
        <w:rPr>
          <w:color w:val="0D0E0E"/>
        </w:rPr>
        <w:t>0,2%,</w:t>
      </w:r>
      <w:r>
        <w:rPr>
          <w:color w:val="0D0E0E"/>
          <w:spacing w:val="-13"/>
        </w:rPr>
        <w:t> </w:t>
      </w:r>
      <w:r>
        <w:rPr>
          <w:color w:val="0D0E0E"/>
        </w:rPr>
        <w:t>acima</w:t>
      </w:r>
      <w:r>
        <w:rPr>
          <w:color w:val="0D0E0E"/>
          <w:spacing w:val="-13"/>
        </w:rPr>
        <w:t> </w:t>
      </w:r>
      <w:r>
        <w:rPr>
          <w:color w:val="0D0E0E"/>
        </w:rPr>
        <w:t>de</w:t>
      </w:r>
      <w:r>
        <w:rPr>
          <w:color w:val="0D0E0E"/>
          <w:spacing w:val="-14"/>
        </w:rPr>
        <w:t> </w:t>
      </w:r>
      <w:r>
        <w:rPr>
          <w:color w:val="0D0E0E"/>
        </w:rPr>
        <w:t>novembro</w:t>
      </w:r>
      <w:r>
        <w:rPr>
          <w:color w:val="0D0E0E"/>
          <w:spacing w:val="-12"/>
        </w:rPr>
        <w:t> </w:t>
      </w:r>
      <w:r>
        <w:rPr>
          <w:color w:val="0D0E0E"/>
        </w:rPr>
        <w:t>em</w:t>
      </w:r>
      <w:r>
        <w:rPr>
          <w:color w:val="0D0E0E"/>
          <w:spacing w:val="-13"/>
        </w:rPr>
        <w:t> </w:t>
      </w:r>
      <w:r>
        <w:rPr>
          <w:color w:val="0D0E0E"/>
        </w:rPr>
        <w:t>que</w:t>
      </w:r>
      <w:r>
        <w:rPr>
          <w:color w:val="0D0E0E"/>
          <w:spacing w:val="-12"/>
        </w:rPr>
        <w:t> </w:t>
      </w:r>
      <w:r>
        <w:rPr>
          <w:color w:val="0D0E0E"/>
        </w:rPr>
        <w:t>a</w:t>
      </w:r>
      <w:r>
        <w:rPr>
          <w:color w:val="0D0E0E"/>
          <w:spacing w:val="-13"/>
        </w:rPr>
        <w:t> </w:t>
      </w:r>
      <w:r>
        <w:rPr>
          <w:color w:val="0D0E0E"/>
        </w:rPr>
        <w:t>retração</w:t>
      </w:r>
      <w:r>
        <w:rPr>
          <w:color w:val="0D0E0E"/>
          <w:spacing w:val="-12"/>
        </w:rPr>
        <w:t> </w:t>
      </w:r>
      <w:r>
        <w:rPr>
          <w:color w:val="0D0E0E"/>
        </w:rPr>
        <w:t>foi</w:t>
      </w:r>
      <w:r>
        <w:rPr>
          <w:color w:val="0D0E0E"/>
          <w:spacing w:val="-13"/>
        </w:rPr>
        <w:t> </w:t>
      </w:r>
      <w:r>
        <w:rPr>
          <w:color w:val="0D0E0E"/>
        </w:rPr>
        <w:t>de</w:t>
      </w:r>
      <w:r>
        <w:rPr>
          <w:color w:val="0D0E0E"/>
          <w:spacing w:val="-11"/>
        </w:rPr>
        <w:t> </w:t>
      </w:r>
      <w:r>
        <w:rPr>
          <w:color w:val="0D0E0E"/>
        </w:rPr>
        <w:t>-</w:t>
      </w:r>
      <w:r>
        <w:rPr>
          <w:color w:val="0D0E0E"/>
          <w:spacing w:val="-2"/>
        </w:rPr>
        <w:t>0,6%.</w:t>
      </w:r>
    </w:p>
    <w:p>
      <w:pPr>
        <w:pStyle w:val="BodyText"/>
        <w:spacing w:before="240"/>
        <w:ind w:left="705" w:right="644"/>
        <w:jc w:val="center"/>
      </w:pPr>
      <w:r>
        <w:rPr>
          <w:color w:val="0D0E0E"/>
        </w:rPr>
        <w:t>CPI</w:t>
      </w:r>
      <w:r>
        <w:rPr>
          <w:color w:val="0D0E0E"/>
          <w:spacing w:val="-2"/>
        </w:rPr>
        <w:t> </w:t>
      </w:r>
      <w:r>
        <w:rPr>
          <w:color w:val="0D0E0E"/>
        </w:rPr>
        <w:t>mensal</w:t>
      </w:r>
      <w:r>
        <w:rPr>
          <w:color w:val="0D0E0E"/>
          <w:spacing w:val="-2"/>
        </w:rPr>
        <w:t> </w:t>
      </w:r>
      <w:r>
        <w:rPr>
          <w:color w:val="0D0E0E"/>
        </w:rPr>
        <w:t>– Zona</w:t>
      </w:r>
      <w:r>
        <w:rPr>
          <w:color w:val="0D0E0E"/>
          <w:spacing w:val="-3"/>
        </w:rPr>
        <w:t> </w:t>
      </w:r>
      <w:r>
        <w:rPr>
          <w:color w:val="0D0E0E"/>
        </w:rPr>
        <w:t>do</w:t>
      </w:r>
      <w:r>
        <w:rPr>
          <w:color w:val="0D0E0E"/>
          <w:spacing w:val="-2"/>
        </w:rPr>
        <w:t> Euro:</w:t>
      </w:r>
    </w:p>
    <w:p>
      <w:pPr>
        <w:pStyle w:val="BodyText"/>
        <w:spacing w:before="8"/>
        <w:rPr>
          <w:sz w:val="17"/>
        </w:rPr>
      </w:pPr>
      <w:r>
        <w:rPr>
          <w:sz w:val="17"/>
        </w:rPr>
        <w:drawing>
          <wp:anchor distT="0" distB="0" distL="0" distR="0" allowOverlap="1" layoutInCell="1" locked="0" behindDoc="1" simplePos="0" relativeHeight="487594496">
            <wp:simplePos x="0" y="0"/>
            <wp:positionH relativeFrom="page">
              <wp:posOffset>1051560</wp:posOffset>
            </wp:positionH>
            <wp:positionV relativeFrom="paragraph">
              <wp:posOffset>152566</wp:posOffset>
            </wp:positionV>
            <wp:extent cx="5640040" cy="2785205"/>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8" cstate="print"/>
                    <a:stretch>
                      <a:fillRect/>
                    </a:stretch>
                  </pic:blipFill>
                  <pic:spPr>
                    <a:xfrm>
                      <a:off x="0" y="0"/>
                      <a:ext cx="5640040" cy="2785205"/>
                    </a:xfrm>
                    <a:prstGeom prst="rect">
                      <a:avLst/>
                    </a:prstGeom>
                  </pic:spPr>
                </pic:pic>
              </a:graphicData>
            </a:graphic>
          </wp:anchor>
        </w:drawing>
      </w:r>
    </w:p>
    <w:p>
      <w:pPr>
        <w:spacing w:before="25"/>
        <w:ind w:left="1317" w:right="0" w:firstLine="0"/>
        <w:jc w:val="left"/>
        <w:rPr>
          <w:i/>
          <w:sz w:val="20"/>
        </w:rPr>
      </w:pPr>
      <w:r>
        <w:rPr>
          <w:i/>
          <w:color w:val="0D0E0E"/>
          <w:spacing w:val="-2"/>
          <w:sz w:val="20"/>
        </w:rPr>
        <w:t>Fonte:</w:t>
      </w:r>
      <w:r>
        <w:rPr>
          <w:i/>
          <w:color w:val="0D0E0E"/>
          <w:spacing w:val="62"/>
          <w:sz w:val="20"/>
        </w:rPr>
        <w:t> </w:t>
      </w:r>
      <w:r>
        <w:rPr>
          <w:i/>
          <w:color w:val="0D0E0E"/>
          <w:spacing w:val="-2"/>
          <w:sz w:val="20"/>
        </w:rPr>
        <w:t>https://tradingeconomics.com/euro-area/inflation-rate-</w:t>
      </w:r>
      <w:r>
        <w:rPr>
          <w:i/>
          <w:color w:val="0D0E0E"/>
          <w:spacing w:val="-5"/>
          <w:sz w:val="20"/>
        </w:rPr>
        <w:t>mom</w:t>
      </w:r>
    </w:p>
    <w:p>
      <w:pPr>
        <w:pStyle w:val="BodyText"/>
        <w:spacing w:before="239"/>
        <w:ind w:left="609" w:right="1255" w:firstLine="707"/>
        <w:jc w:val="both"/>
      </w:pPr>
      <w:r>
        <w:rPr>
          <w:color w:val="0D0E0E"/>
        </w:rPr>
        <w:t>E após eliminar os itens voláteis da cesta de bens do CPI, o seu núcleo registrou em dezembro</w:t>
      </w:r>
      <w:r>
        <w:rPr>
          <w:color w:val="0D0E0E"/>
          <w:spacing w:val="-8"/>
        </w:rPr>
        <w:t> </w:t>
      </w:r>
      <w:r>
        <w:rPr>
          <w:color w:val="0D0E0E"/>
        </w:rPr>
        <w:t>uma</w:t>
      </w:r>
      <w:r>
        <w:rPr>
          <w:color w:val="0D0E0E"/>
          <w:spacing w:val="-6"/>
        </w:rPr>
        <w:t> </w:t>
      </w:r>
      <w:r>
        <w:rPr>
          <w:color w:val="0D0E0E"/>
        </w:rPr>
        <w:t>aceleração</w:t>
      </w:r>
      <w:r>
        <w:rPr>
          <w:color w:val="0D0E0E"/>
          <w:spacing w:val="-6"/>
        </w:rPr>
        <w:t> </w:t>
      </w:r>
      <w:r>
        <w:rPr>
          <w:color w:val="0D0E0E"/>
        </w:rPr>
        <w:t>de</w:t>
      </w:r>
      <w:r>
        <w:rPr>
          <w:color w:val="0D0E0E"/>
          <w:spacing w:val="-8"/>
        </w:rPr>
        <w:t> </w:t>
      </w:r>
      <w:r>
        <w:rPr>
          <w:color w:val="0D0E0E"/>
        </w:rPr>
        <w:t>3,4%,</w:t>
      </w:r>
      <w:r>
        <w:rPr>
          <w:color w:val="0D0E0E"/>
          <w:spacing w:val="-6"/>
        </w:rPr>
        <w:t> </w:t>
      </w:r>
      <w:r>
        <w:rPr>
          <w:color w:val="0D0E0E"/>
        </w:rPr>
        <w:t>o</w:t>
      </w:r>
      <w:r>
        <w:rPr>
          <w:color w:val="0D0E0E"/>
          <w:spacing w:val="-8"/>
        </w:rPr>
        <w:t> </w:t>
      </w:r>
      <w:r>
        <w:rPr>
          <w:color w:val="0D0E0E"/>
        </w:rPr>
        <w:t>menor</w:t>
      </w:r>
      <w:r>
        <w:rPr>
          <w:color w:val="0D0E0E"/>
          <w:spacing w:val="-8"/>
        </w:rPr>
        <w:t> </w:t>
      </w:r>
      <w:r>
        <w:rPr>
          <w:color w:val="0D0E0E"/>
        </w:rPr>
        <w:t>patamar</w:t>
      </w:r>
      <w:r>
        <w:rPr>
          <w:color w:val="0D0E0E"/>
          <w:spacing w:val="-6"/>
        </w:rPr>
        <w:t> </w:t>
      </w:r>
      <w:r>
        <w:rPr>
          <w:color w:val="0D0E0E"/>
        </w:rPr>
        <w:t>desde</w:t>
      </w:r>
      <w:r>
        <w:rPr>
          <w:color w:val="0D0E0E"/>
          <w:spacing w:val="-7"/>
        </w:rPr>
        <w:t> </w:t>
      </w:r>
      <w:r>
        <w:rPr>
          <w:color w:val="0D0E0E"/>
        </w:rPr>
        <w:t>março</w:t>
      </w:r>
      <w:r>
        <w:rPr>
          <w:color w:val="0D0E0E"/>
          <w:spacing w:val="-7"/>
        </w:rPr>
        <w:t> </w:t>
      </w:r>
      <w:r>
        <w:rPr>
          <w:color w:val="0D0E0E"/>
        </w:rPr>
        <w:t>de</w:t>
      </w:r>
      <w:r>
        <w:rPr>
          <w:color w:val="0D0E0E"/>
          <w:spacing w:val="-8"/>
        </w:rPr>
        <w:t> </w:t>
      </w:r>
      <w:r>
        <w:rPr>
          <w:color w:val="0D0E0E"/>
        </w:rPr>
        <w:t>2022,</w:t>
      </w:r>
      <w:r>
        <w:rPr>
          <w:color w:val="0D0E0E"/>
          <w:spacing w:val="-6"/>
        </w:rPr>
        <w:t> </w:t>
      </w:r>
      <w:r>
        <w:rPr>
          <w:color w:val="0D0E0E"/>
        </w:rPr>
        <w:t>e</w:t>
      </w:r>
      <w:r>
        <w:rPr>
          <w:color w:val="0D0E0E"/>
          <w:spacing w:val="-8"/>
        </w:rPr>
        <w:t> </w:t>
      </w:r>
      <w:r>
        <w:rPr>
          <w:color w:val="0D0E0E"/>
        </w:rPr>
        <w:t>em</w:t>
      </w:r>
      <w:r>
        <w:rPr>
          <w:color w:val="0D0E0E"/>
          <w:spacing w:val="-8"/>
        </w:rPr>
        <w:t> </w:t>
      </w:r>
      <w:r>
        <w:rPr>
          <w:color w:val="0D0E0E"/>
        </w:rPr>
        <w:t>linha</w:t>
      </w:r>
      <w:r>
        <w:rPr>
          <w:color w:val="0D0E0E"/>
          <w:spacing w:val="-9"/>
        </w:rPr>
        <w:t> </w:t>
      </w:r>
      <w:r>
        <w:rPr>
          <w:color w:val="0D0E0E"/>
        </w:rPr>
        <w:t>com as expectativas.</w:t>
      </w:r>
    </w:p>
    <w:p>
      <w:pPr>
        <w:pStyle w:val="BodyText"/>
        <w:spacing w:before="239"/>
        <w:ind w:left="705" w:right="644"/>
        <w:jc w:val="center"/>
      </w:pPr>
      <w:r>
        <w:rPr/>
        <w:drawing>
          <wp:anchor distT="0" distB="0" distL="0" distR="0" allowOverlap="1" layoutInCell="1" locked="0" behindDoc="1" simplePos="0" relativeHeight="487595008">
            <wp:simplePos x="0" y="0"/>
            <wp:positionH relativeFrom="page">
              <wp:posOffset>960119</wp:posOffset>
            </wp:positionH>
            <wp:positionV relativeFrom="paragraph">
              <wp:posOffset>344044</wp:posOffset>
            </wp:positionV>
            <wp:extent cx="5679566" cy="2831496"/>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9" cstate="print"/>
                    <a:stretch>
                      <a:fillRect/>
                    </a:stretch>
                  </pic:blipFill>
                  <pic:spPr>
                    <a:xfrm>
                      <a:off x="0" y="0"/>
                      <a:ext cx="5679566" cy="2831496"/>
                    </a:xfrm>
                    <a:prstGeom prst="rect">
                      <a:avLst/>
                    </a:prstGeom>
                  </pic:spPr>
                </pic:pic>
              </a:graphicData>
            </a:graphic>
          </wp:anchor>
        </w:drawing>
      </w:r>
      <w:r>
        <w:rPr>
          <w:color w:val="0D0E0E"/>
        </w:rPr>
        <w:t>Núcleo</w:t>
      </w:r>
      <w:r>
        <w:rPr>
          <w:color w:val="0D0E0E"/>
          <w:spacing w:val="-4"/>
        </w:rPr>
        <w:t> </w:t>
      </w:r>
      <w:r>
        <w:rPr>
          <w:color w:val="0D0E0E"/>
        </w:rPr>
        <w:t>inflação</w:t>
      </w:r>
      <w:r>
        <w:rPr>
          <w:color w:val="0D0E0E"/>
          <w:spacing w:val="-1"/>
        </w:rPr>
        <w:t> </w:t>
      </w:r>
      <w:r>
        <w:rPr>
          <w:color w:val="0D0E0E"/>
        </w:rPr>
        <w:t>–</w:t>
      </w:r>
      <w:r>
        <w:rPr>
          <w:color w:val="0D0E0E"/>
          <w:spacing w:val="-4"/>
        </w:rPr>
        <w:t> </w:t>
      </w:r>
      <w:r>
        <w:rPr>
          <w:color w:val="0D0E0E"/>
        </w:rPr>
        <w:t>Zona</w:t>
      </w:r>
      <w:r>
        <w:rPr>
          <w:color w:val="0D0E0E"/>
          <w:spacing w:val="-4"/>
        </w:rPr>
        <w:t> </w:t>
      </w:r>
      <w:r>
        <w:rPr>
          <w:color w:val="0D0E0E"/>
        </w:rPr>
        <w:t>do</w:t>
      </w:r>
      <w:r>
        <w:rPr>
          <w:color w:val="0D0E0E"/>
          <w:spacing w:val="-2"/>
        </w:rPr>
        <w:t> </w:t>
      </w:r>
      <w:r>
        <w:rPr>
          <w:color w:val="0D0E0E"/>
          <w:spacing w:val="-4"/>
        </w:rPr>
        <w:t>Euro:</w:t>
      </w:r>
    </w:p>
    <w:p>
      <w:pPr>
        <w:spacing w:before="0"/>
        <w:ind w:left="1317" w:right="0" w:firstLine="0"/>
        <w:jc w:val="left"/>
        <w:rPr>
          <w:i/>
          <w:sz w:val="20"/>
        </w:rPr>
      </w:pPr>
      <w:r>
        <w:rPr>
          <w:i/>
          <w:color w:val="0D0E0E"/>
          <w:spacing w:val="-2"/>
          <w:sz w:val="20"/>
        </w:rPr>
        <w:t>Fonte:</w:t>
      </w:r>
      <w:r>
        <w:rPr>
          <w:i/>
          <w:color w:val="0D0E0E"/>
          <w:spacing w:val="62"/>
          <w:sz w:val="20"/>
        </w:rPr>
        <w:t> </w:t>
      </w:r>
      <w:r>
        <w:rPr>
          <w:i/>
          <w:color w:val="0D0E0E"/>
          <w:spacing w:val="-2"/>
          <w:sz w:val="20"/>
        </w:rPr>
        <w:t>https://tradingeconomics.com/euro-area/core-inflation-</w:t>
      </w:r>
      <w:r>
        <w:rPr>
          <w:i/>
          <w:color w:val="0D0E0E"/>
          <w:spacing w:val="-4"/>
          <w:sz w:val="20"/>
        </w:rPr>
        <w:t>rate</w:t>
      </w:r>
    </w:p>
    <w:p>
      <w:pPr>
        <w:pStyle w:val="Heading3"/>
        <w:spacing w:before="225"/>
      </w:pPr>
      <w:r>
        <w:rPr>
          <w:spacing w:val="-2"/>
        </w:rPr>
        <w:t>Juros</w:t>
      </w:r>
    </w:p>
    <w:p>
      <w:pPr>
        <w:pStyle w:val="BodyText"/>
        <w:spacing w:before="239"/>
        <w:ind w:left="609" w:right="1253" w:firstLine="707"/>
        <w:jc w:val="both"/>
      </w:pPr>
      <w:r>
        <w:rPr>
          <w:color w:val="0D0E0E"/>
        </w:rPr>
        <w:t>Mantendo</w:t>
      </w:r>
      <w:r>
        <w:rPr>
          <w:color w:val="0D0E0E"/>
          <w:spacing w:val="-11"/>
        </w:rPr>
        <w:t> </w:t>
      </w:r>
      <w:r>
        <w:rPr>
          <w:color w:val="0D0E0E"/>
        </w:rPr>
        <w:t>o</w:t>
      </w:r>
      <w:r>
        <w:rPr>
          <w:color w:val="0D0E0E"/>
          <w:spacing w:val="-11"/>
        </w:rPr>
        <w:t> </w:t>
      </w:r>
      <w:r>
        <w:rPr>
          <w:color w:val="0D0E0E"/>
        </w:rPr>
        <w:t>discurso,</w:t>
      </w:r>
      <w:r>
        <w:rPr>
          <w:color w:val="0D0E0E"/>
          <w:spacing w:val="-11"/>
        </w:rPr>
        <w:t> </w:t>
      </w:r>
      <w:r>
        <w:rPr>
          <w:color w:val="0D0E0E"/>
        </w:rPr>
        <w:t>Christine</w:t>
      </w:r>
      <w:r>
        <w:rPr>
          <w:color w:val="0D0E0E"/>
          <w:spacing w:val="-11"/>
        </w:rPr>
        <w:t> </w:t>
      </w:r>
      <w:r>
        <w:rPr>
          <w:color w:val="0D0E0E"/>
        </w:rPr>
        <w:t>Lagarde,</w:t>
      </w:r>
      <w:r>
        <w:rPr>
          <w:color w:val="0D0E0E"/>
          <w:spacing w:val="-11"/>
        </w:rPr>
        <w:t> </w:t>
      </w:r>
      <w:r>
        <w:rPr>
          <w:color w:val="0D0E0E"/>
        </w:rPr>
        <w:t>presidente</w:t>
      </w:r>
      <w:r>
        <w:rPr>
          <w:color w:val="0D0E0E"/>
          <w:spacing w:val="-11"/>
        </w:rPr>
        <w:t> </w:t>
      </w:r>
      <w:r>
        <w:rPr>
          <w:color w:val="0D0E0E"/>
        </w:rPr>
        <w:t>do</w:t>
      </w:r>
      <w:r>
        <w:rPr>
          <w:color w:val="0D0E0E"/>
          <w:spacing w:val="-6"/>
        </w:rPr>
        <w:t> </w:t>
      </w:r>
      <w:r>
        <w:rPr>
          <w:color w:val="0D0E0E"/>
        </w:rPr>
        <w:t>Banco</w:t>
      </w:r>
      <w:r>
        <w:rPr>
          <w:color w:val="0D0E0E"/>
          <w:spacing w:val="-8"/>
        </w:rPr>
        <w:t> </w:t>
      </w:r>
      <w:r>
        <w:rPr>
          <w:color w:val="0D0E0E"/>
        </w:rPr>
        <w:t>Central</w:t>
      </w:r>
      <w:r>
        <w:rPr>
          <w:color w:val="0D0E0E"/>
          <w:spacing w:val="-11"/>
        </w:rPr>
        <w:t> </w:t>
      </w:r>
      <w:r>
        <w:rPr>
          <w:color w:val="0D0E0E"/>
        </w:rPr>
        <w:t>Europeu</w:t>
      </w:r>
      <w:r>
        <w:rPr>
          <w:color w:val="0D0E0E"/>
          <w:spacing w:val="-10"/>
        </w:rPr>
        <w:t> </w:t>
      </w:r>
      <w:r>
        <w:rPr>
          <w:color w:val="0D0E0E"/>
        </w:rPr>
        <w:t>(BCE), manteve</w:t>
      </w:r>
      <w:r>
        <w:rPr>
          <w:color w:val="0D0E0E"/>
          <w:spacing w:val="-4"/>
        </w:rPr>
        <w:t> </w:t>
      </w:r>
      <w:r>
        <w:rPr>
          <w:color w:val="0D0E0E"/>
        </w:rPr>
        <w:t>a</w:t>
      </w:r>
      <w:r>
        <w:rPr>
          <w:color w:val="0D0E0E"/>
          <w:spacing w:val="-4"/>
        </w:rPr>
        <w:t> </w:t>
      </w:r>
      <w:r>
        <w:rPr>
          <w:color w:val="0D0E0E"/>
        </w:rPr>
        <w:t>taxa</w:t>
      </w:r>
      <w:r>
        <w:rPr>
          <w:color w:val="0D0E0E"/>
          <w:spacing w:val="-4"/>
        </w:rPr>
        <w:t> </w:t>
      </w:r>
      <w:r>
        <w:rPr>
          <w:color w:val="0D0E0E"/>
        </w:rPr>
        <w:t>de</w:t>
      </w:r>
      <w:r>
        <w:rPr>
          <w:color w:val="0D0E0E"/>
          <w:spacing w:val="-4"/>
        </w:rPr>
        <w:t> </w:t>
      </w:r>
      <w:r>
        <w:rPr>
          <w:color w:val="0D0E0E"/>
        </w:rPr>
        <w:t>juros</w:t>
      </w:r>
      <w:r>
        <w:rPr>
          <w:color w:val="0D0E0E"/>
          <w:spacing w:val="-1"/>
        </w:rPr>
        <w:t> </w:t>
      </w:r>
      <w:r>
        <w:rPr>
          <w:color w:val="0D0E0E"/>
        </w:rPr>
        <w:t>inalterada pela</w:t>
      </w:r>
      <w:r>
        <w:rPr>
          <w:color w:val="0D0E0E"/>
          <w:spacing w:val="-3"/>
        </w:rPr>
        <w:t> </w:t>
      </w:r>
      <w:r>
        <w:rPr>
          <w:color w:val="0D0E0E"/>
        </w:rPr>
        <w:t>segunda</w:t>
      </w:r>
      <w:r>
        <w:rPr>
          <w:color w:val="0D0E0E"/>
          <w:spacing w:val="-2"/>
        </w:rPr>
        <w:t> </w:t>
      </w:r>
      <w:r>
        <w:rPr>
          <w:color w:val="0D0E0E"/>
        </w:rPr>
        <w:t>reunião</w:t>
      </w:r>
      <w:r>
        <w:rPr>
          <w:color w:val="0D0E0E"/>
          <w:spacing w:val="-1"/>
        </w:rPr>
        <w:t> </w:t>
      </w:r>
      <w:r>
        <w:rPr>
          <w:color w:val="0D0E0E"/>
        </w:rPr>
        <w:t>consecutiva na</w:t>
      </w:r>
      <w:r>
        <w:rPr>
          <w:color w:val="0D0E0E"/>
          <w:spacing w:val="-4"/>
        </w:rPr>
        <w:t> </w:t>
      </w:r>
      <w:r>
        <w:rPr>
          <w:color w:val="0D0E0E"/>
        </w:rPr>
        <w:t>janela</w:t>
      </w:r>
      <w:r>
        <w:rPr>
          <w:color w:val="0D0E0E"/>
          <w:spacing w:val="-3"/>
        </w:rPr>
        <w:t> </w:t>
      </w:r>
      <w:r>
        <w:rPr>
          <w:color w:val="0D0E0E"/>
        </w:rPr>
        <w:t>entre</w:t>
      </w:r>
      <w:r>
        <w:rPr>
          <w:color w:val="0D0E0E"/>
          <w:spacing w:val="-2"/>
        </w:rPr>
        <w:t> </w:t>
      </w:r>
      <w:r>
        <w:rPr>
          <w:color w:val="0D0E0E"/>
        </w:rPr>
        <w:t>4,25% e 4,50% mantendo a sinalização de setembro que esse patamar de juros seria mantido.</w:t>
      </w:r>
    </w:p>
    <w:p>
      <w:pPr>
        <w:pStyle w:val="BodyText"/>
        <w:spacing w:after="0"/>
        <w:jc w:val="both"/>
        <w:sectPr>
          <w:pgSz w:w="11920" w:h="16850"/>
          <w:pgMar w:top="1320" w:bottom="280" w:left="992" w:right="141"/>
        </w:sectPr>
      </w:pPr>
    </w:p>
    <w:p>
      <w:pPr>
        <w:pStyle w:val="BodyText"/>
        <w:spacing w:before="39"/>
        <w:ind w:left="705" w:right="644"/>
        <w:jc w:val="center"/>
      </w:pPr>
      <w:r>
        <w:rPr>
          <w:color w:val="0D0E0E"/>
        </w:rPr>
        <w:t>Taxa</w:t>
      </w:r>
      <w:r>
        <w:rPr>
          <w:color w:val="0D0E0E"/>
          <w:spacing w:val="-2"/>
        </w:rPr>
        <w:t> </w:t>
      </w:r>
      <w:r>
        <w:rPr>
          <w:color w:val="0D0E0E"/>
        </w:rPr>
        <w:t>de</w:t>
      </w:r>
      <w:r>
        <w:rPr>
          <w:color w:val="0D0E0E"/>
          <w:spacing w:val="-3"/>
        </w:rPr>
        <w:t> </w:t>
      </w:r>
      <w:r>
        <w:rPr>
          <w:color w:val="0D0E0E"/>
        </w:rPr>
        <w:t>Juros</w:t>
      </w:r>
      <w:r>
        <w:rPr>
          <w:color w:val="0D0E0E"/>
          <w:spacing w:val="1"/>
        </w:rPr>
        <w:t> </w:t>
      </w:r>
      <w:r>
        <w:rPr>
          <w:color w:val="0D0E0E"/>
        </w:rPr>
        <w:t>–</w:t>
      </w:r>
      <w:r>
        <w:rPr>
          <w:color w:val="0D0E0E"/>
          <w:spacing w:val="-2"/>
        </w:rPr>
        <w:t> </w:t>
      </w:r>
      <w:r>
        <w:rPr>
          <w:color w:val="0D0E0E"/>
        </w:rPr>
        <w:t>Zona</w:t>
      </w:r>
      <w:r>
        <w:rPr>
          <w:color w:val="0D0E0E"/>
          <w:spacing w:val="-3"/>
        </w:rPr>
        <w:t> </w:t>
      </w:r>
      <w:r>
        <w:rPr>
          <w:color w:val="0D0E0E"/>
        </w:rPr>
        <w:t>do</w:t>
      </w:r>
      <w:r>
        <w:rPr>
          <w:color w:val="0D0E0E"/>
          <w:spacing w:val="-2"/>
        </w:rPr>
        <w:t> Euro:</w:t>
      </w:r>
    </w:p>
    <w:p>
      <w:pPr>
        <w:pStyle w:val="BodyText"/>
        <w:spacing w:before="8"/>
        <w:rPr>
          <w:sz w:val="17"/>
        </w:rPr>
      </w:pPr>
      <w:r>
        <w:rPr>
          <w:sz w:val="17"/>
        </w:rPr>
        <w:drawing>
          <wp:anchor distT="0" distB="0" distL="0" distR="0" allowOverlap="1" layoutInCell="1" locked="0" behindDoc="1" simplePos="0" relativeHeight="487595520">
            <wp:simplePos x="0" y="0"/>
            <wp:positionH relativeFrom="page">
              <wp:posOffset>1074419</wp:posOffset>
            </wp:positionH>
            <wp:positionV relativeFrom="paragraph">
              <wp:posOffset>152546</wp:posOffset>
            </wp:positionV>
            <wp:extent cx="5658773" cy="2723959"/>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20" cstate="print"/>
                    <a:stretch>
                      <a:fillRect/>
                    </a:stretch>
                  </pic:blipFill>
                  <pic:spPr>
                    <a:xfrm>
                      <a:off x="0" y="0"/>
                      <a:ext cx="5658773" cy="2723959"/>
                    </a:xfrm>
                    <a:prstGeom prst="rect">
                      <a:avLst/>
                    </a:prstGeom>
                  </pic:spPr>
                </pic:pic>
              </a:graphicData>
            </a:graphic>
          </wp:anchor>
        </w:drawing>
      </w:r>
    </w:p>
    <w:p>
      <w:pPr>
        <w:spacing w:before="2"/>
        <w:ind w:left="1317" w:right="0" w:firstLine="0"/>
        <w:jc w:val="left"/>
        <w:rPr>
          <w:i/>
          <w:sz w:val="20"/>
        </w:rPr>
      </w:pPr>
      <w:r>
        <w:rPr>
          <w:i/>
          <w:color w:val="0D0E0E"/>
          <w:spacing w:val="-2"/>
          <w:sz w:val="20"/>
        </w:rPr>
        <w:t>Fonte:</w:t>
      </w:r>
      <w:r>
        <w:rPr>
          <w:i/>
          <w:color w:val="0D0E0E"/>
          <w:spacing w:val="53"/>
          <w:sz w:val="20"/>
        </w:rPr>
        <w:t> </w:t>
      </w:r>
      <w:r>
        <w:rPr>
          <w:i/>
          <w:color w:val="0D0E0E"/>
          <w:spacing w:val="-2"/>
          <w:sz w:val="20"/>
        </w:rPr>
        <w:t>https://tradingeconomics.com/euro-area/interest-</w:t>
      </w:r>
      <w:r>
        <w:rPr>
          <w:i/>
          <w:color w:val="0D0E0E"/>
          <w:spacing w:val="-4"/>
          <w:sz w:val="20"/>
        </w:rPr>
        <w:t>rate</w:t>
      </w:r>
    </w:p>
    <w:p>
      <w:pPr>
        <w:pStyle w:val="BodyText"/>
        <w:spacing w:before="239"/>
        <w:ind w:left="609" w:right="1257" w:firstLine="707"/>
        <w:jc w:val="both"/>
      </w:pPr>
      <w:r>
        <w:rPr>
          <w:color w:val="0D0E0E"/>
        </w:rPr>
        <w:t>A estrutura de juros na zona do Euro segue da seguinte forma: taxa de refinanciamento</w:t>
      </w:r>
      <w:r>
        <w:rPr>
          <w:color w:val="0D0E0E"/>
          <w:spacing w:val="-8"/>
        </w:rPr>
        <w:t> </w:t>
      </w:r>
      <w:r>
        <w:rPr>
          <w:color w:val="0D0E0E"/>
        </w:rPr>
        <w:t>em</w:t>
      </w:r>
      <w:r>
        <w:rPr>
          <w:color w:val="0D0E0E"/>
          <w:spacing w:val="-8"/>
        </w:rPr>
        <w:t> </w:t>
      </w:r>
      <w:r>
        <w:rPr>
          <w:color w:val="0D0E0E"/>
        </w:rPr>
        <w:t>4,50%,</w:t>
      </w:r>
      <w:r>
        <w:rPr>
          <w:color w:val="0D0E0E"/>
          <w:spacing w:val="-6"/>
        </w:rPr>
        <w:t> </w:t>
      </w:r>
      <w:r>
        <w:rPr>
          <w:color w:val="0D0E0E"/>
        </w:rPr>
        <w:t>a</w:t>
      </w:r>
      <w:r>
        <w:rPr>
          <w:color w:val="0D0E0E"/>
          <w:spacing w:val="-9"/>
        </w:rPr>
        <w:t> </w:t>
      </w:r>
      <w:r>
        <w:rPr>
          <w:color w:val="0D0E0E"/>
        </w:rPr>
        <w:t>taxa</w:t>
      </w:r>
      <w:r>
        <w:rPr>
          <w:color w:val="0D0E0E"/>
          <w:spacing w:val="-7"/>
        </w:rPr>
        <w:t> </w:t>
      </w:r>
      <w:r>
        <w:rPr>
          <w:color w:val="0D0E0E"/>
        </w:rPr>
        <w:t>de</w:t>
      </w:r>
      <w:r>
        <w:rPr>
          <w:color w:val="0D0E0E"/>
          <w:spacing w:val="-6"/>
        </w:rPr>
        <w:t> </w:t>
      </w:r>
      <w:r>
        <w:rPr>
          <w:color w:val="0D0E0E"/>
        </w:rPr>
        <w:t>depósitos</w:t>
      </w:r>
      <w:r>
        <w:rPr>
          <w:color w:val="0D0E0E"/>
          <w:spacing w:val="-6"/>
        </w:rPr>
        <w:t> </w:t>
      </w:r>
      <w:r>
        <w:rPr>
          <w:color w:val="0D0E0E"/>
        </w:rPr>
        <w:t>em</w:t>
      </w:r>
      <w:r>
        <w:rPr>
          <w:color w:val="0D0E0E"/>
          <w:spacing w:val="-6"/>
        </w:rPr>
        <w:t> </w:t>
      </w:r>
      <w:r>
        <w:rPr>
          <w:color w:val="0D0E0E"/>
        </w:rPr>
        <w:t>4,0%</w:t>
      </w:r>
      <w:r>
        <w:rPr>
          <w:color w:val="0D0E0E"/>
          <w:spacing w:val="-5"/>
        </w:rPr>
        <w:t> </w:t>
      </w:r>
      <w:r>
        <w:rPr>
          <w:color w:val="0D0E0E"/>
        </w:rPr>
        <w:t>e</w:t>
      </w:r>
      <w:r>
        <w:rPr>
          <w:color w:val="0D0E0E"/>
          <w:spacing w:val="-8"/>
        </w:rPr>
        <w:t> </w:t>
      </w:r>
      <w:r>
        <w:rPr>
          <w:color w:val="0D0E0E"/>
        </w:rPr>
        <w:t>a</w:t>
      </w:r>
      <w:r>
        <w:rPr>
          <w:color w:val="0D0E0E"/>
          <w:spacing w:val="-6"/>
        </w:rPr>
        <w:t> </w:t>
      </w:r>
      <w:r>
        <w:rPr>
          <w:color w:val="0D0E0E"/>
        </w:rPr>
        <w:t>taxa</w:t>
      </w:r>
      <w:r>
        <w:rPr>
          <w:color w:val="0D0E0E"/>
          <w:spacing w:val="-9"/>
        </w:rPr>
        <w:t> </w:t>
      </w:r>
      <w:r>
        <w:rPr>
          <w:color w:val="0D0E0E"/>
        </w:rPr>
        <w:t>de</w:t>
      </w:r>
      <w:r>
        <w:rPr>
          <w:color w:val="0D0E0E"/>
          <w:spacing w:val="-8"/>
        </w:rPr>
        <w:t> </w:t>
      </w:r>
      <w:r>
        <w:rPr>
          <w:color w:val="0D0E0E"/>
        </w:rPr>
        <w:t>empréstimos</w:t>
      </w:r>
      <w:r>
        <w:rPr>
          <w:color w:val="0D0E0E"/>
          <w:spacing w:val="-7"/>
        </w:rPr>
        <w:t> </w:t>
      </w:r>
      <w:r>
        <w:rPr>
          <w:color w:val="0D0E0E"/>
        </w:rPr>
        <w:t>marginais (lending rate) em 4,75%.</w:t>
      </w:r>
    </w:p>
    <w:p>
      <w:pPr>
        <w:pStyle w:val="BodyText"/>
      </w:pPr>
    </w:p>
    <w:p>
      <w:pPr>
        <w:pStyle w:val="BodyText"/>
        <w:spacing w:before="186"/>
      </w:pPr>
    </w:p>
    <w:p>
      <w:pPr>
        <w:pStyle w:val="Heading2"/>
        <w:spacing w:line="410" w:lineRule="auto"/>
        <w:ind w:right="5902"/>
      </w:pPr>
      <w:r>
        <w:rPr/>
        <w:t>INDICADORES</w:t>
      </w:r>
      <w:r>
        <w:rPr>
          <w:spacing w:val="-12"/>
        </w:rPr>
        <w:t> </w:t>
      </w:r>
      <w:r>
        <w:rPr/>
        <w:t>DE</w:t>
      </w:r>
      <w:r>
        <w:rPr>
          <w:spacing w:val="-14"/>
        </w:rPr>
        <w:t> </w:t>
      </w:r>
      <w:r>
        <w:rPr/>
        <w:t>ATIVIDADE </w:t>
      </w:r>
      <w:r>
        <w:rPr>
          <w:spacing w:val="-4"/>
        </w:rPr>
        <w:t>PIB</w:t>
      </w:r>
    </w:p>
    <w:p>
      <w:pPr>
        <w:pStyle w:val="BodyText"/>
        <w:ind w:left="609" w:right="1253" w:firstLine="707"/>
        <w:jc w:val="both"/>
      </w:pPr>
      <w:r>
        <w:rPr>
          <w:color w:val="0D0E0E"/>
        </w:rPr>
        <w:t>O destaque, como esperado, veio com a divulgação do PIB de 2023 da Alemanha, teve retração de -0,3% em 2023 em relação a 2022.</w:t>
      </w:r>
    </w:p>
    <w:p>
      <w:pPr>
        <w:pStyle w:val="BodyText"/>
        <w:spacing w:before="235"/>
        <w:ind w:left="609" w:right="1252" w:firstLine="707"/>
        <w:jc w:val="both"/>
      </w:pPr>
      <w:r>
        <w:rPr>
          <w:color w:val="0D0E0E"/>
        </w:rPr>
        <w:t>Essa queda do PIB se deve a alguns fatores já conhecidos como a taxa de juros elevada, baixas exportação e desempenho industrial, e inflação elevada. A expectativa do mercado era que essa contração do PIB fosse ainda maior, entre -0,5% e -0,7%.</w:t>
      </w:r>
    </w:p>
    <w:p>
      <w:pPr>
        <w:pStyle w:val="Heading2"/>
        <w:spacing w:before="240"/>
        <w:ind w:left="609"/>
      </w:pPr>
      <w:r>
        <w:rPr>
          <w:spacing w:val="-5"/>
        </w:rPr>
        <w:t>PMI</w:t>
      </w:r>
    </w:p>
    <w:p>
      <w:pPr>
        <w:pStyle w:val="BodyText"/>
        <w:spacing w:before="241"/>
        <w:ind w:left="609" w:right="1262" w:firstLine="707"/>
        <w:jc w:val="both"/>
      </w:pPr>
      <w:r>
        <w:rPr>
          <w:color w:val="0D0E0E"/>
        </w:rPr>
        <w:t>O PMI composto de dezembro 2023 replicou o resultado de 47,60 pontos de novembro, permanecendo pelo sétimo mês consecutivo em campo contracionista.</w:t>
      </w:r>
    </w:p>
    <w:p>
      <w:pPr>
        <w:pStyle w:val="BodyText"/>
        <w:spacing w:after="0"/>
        <w:jc w:val="both"/>
        <w:sectPr>
          <w:pgSz w:w="11920" w:h="16850"/>
          <w:pgMar w:top="1320" w:bottom="280" w:left="992" w:right="141"/>
        </w:sectPr>
      </w:pPr>
    </w:p>
    <w:p>
      <w:pPr>
        <w:pStyle w:val="BodyText"/>
        <w:spacing w:before="39"/>
        <w:ind w:left="703" w:right="644"/>
        <w:jc w:val="center"/>
      </w:pPr>
      <w:r>
        <w:rPr>
          <w:color w:val="0D0E0E"/>
        </w:rPr>
        <w:t>PMI</w:t>
      </w:r>
      <w:r>
        <w:rPr>
          <w:color w:val="0D0E0E"/>
          <w:spacing w:val="-1"/>
        </w:rPr>
        <w:t> </w:t>
      </w:r>
      <w:r>
        <w:rPr>
          <w:color w:val="0D0E0E"/>
        </w:rPr>
        <w:t>composto</w:t>
      </w:r>
      <w:r>
        <w:rPr>
          <w:color w:val="0D0E0E"/>
          <w:spacing w:val="-1"/>
        </w:rPr>
        <w:t> </w:t>
      </w:r>
      <w:r>
        <w:rPr>
          <w:color w:val="0D0E0E"/>
        </w:rPr>
        <w:t>–</w:t>
      </w:r>
      <w:r>
        <w:rPr>
          <w:color w:val="0D0E0E"/>
          <w:spacing w:val="-1"/>
        </w:rPr>
        <w:t> </w:t>
      </w:r>
      <w:r>
        <w:rPr>
          <w:color w:val="0D0E0E"/>
        </w:rPr>
        <w:t>Zona</w:t>
      </w:r>
      <w:r>
        <w:rPr>
          <w:color w:val="0D0E0E"/>
          <w:spacing w:val="-3"/>
        </w:rPr>
        <w:t> </w:t>
      </w:r>
      <w:r>
        <w:rPr>
          <w:color w:val="0D0E0E"/>
        </w:rPr>
        <w:t>do</w:t>
      </w:r>
      <w:r>
        <w:rPr>
          <w:color w:val="0D0E0E"/>
          <w:spacing w:val="-2"/>
        </w:rPr>
        <w:t> </w:t>
      </w:r>
      <w:r>
        <w:rPr>
          <w:color w:val="0D0E0E"/>
          <w:spacing w:val="-4"/>
        </w:rPr>
        <w:t>Euro:</w:t>
      </w:r>
    </w:p>
    <w:p>
      <w:pPr>
        <w:pStyle w:val="BodyText"/>
        <w:spacing w:before="1"/>
        <w:rPr>
          <w:sz w:val="7"/>
        </w:rPr>
      </w:pPr>
      <w:r>
        <w:rPr>
          <w:sz w:val="7"/>
        </w:rPr>
        <w:drawing>
          <wp:anchor distT="0" distB="0" distL="0" distR="0" allowOverlap="1" layoutInCell="1" locked="0" behindDoc="1" simplePos="0" relativeHeight="487596032">
            <wp:simplePos x="0" y="0"/>
            <wp:positionH relativeFrom="page">
              <wp:posOffset>1158239</wp:posOffset>
            </wp:positionH>
            <wp:positionV relativeFrom="paragraph">
              <wp:posOffset>70631</wp:posOffset>
            </wp:positionV>
            <wp:extent cx="5655959" cy="2754344"/>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21" cstate="print"/>
                    <a:stretch>
                      <a:fillRect/>
                    </a:stretch>
                  </pic:blipFill>
                  <pic:spPr>
                    <a:xfrm>
                      <a:off x="0" y="0"/>
                      <a:ext cx="5655959" cy="2754344"/>
                    </a:xfrm>
                    <a:prstGeom prst="rect">
                      <a:avLst/>
                    </a:prstGeom>
                  </pic:spPr>
                </pic:pic>
              </a:graphicData>
            </a:graphic>
          </wp:anchor>
        </w:drawing>
      </w:r>
    </w:p>
    <w:p>
      <w:pPr>
        <w:spacing w:before="14"/>
        <w:ind w:left="706" w:right="644" w:firstLine="0"/>
        <w:jc w:val="center"/>
        <w:rPr>
          <w:i/>
          <w:sz w:val="20"/>
        </w:rPr>
      </w:pPr>
      <w:r>
        <w:rPr>
          <w:i/>
          <w:color w:val="0D0E0E"/>
          <w:spacing w:val="-2"/>
          <w:sz w:val="20"/>
        </w:rPr>
        <w:t>Fonte:</w:t>
      </w:r>
      <w:r>
        <w:rPr>
          <w:i/>
          <w:color w:val="0D0E0E"/>
          <w:spacing w:val="54"/>
          <w:sz w:val="20"/>
        </w:rPr>
        <w:t> </w:t>
      </w:r>
      <w:r>
        <w:rPr>
          <w:i/>
          <w:color w:val="0D0E0E"/>
          <w:spacing w:val="-2"/>
          <w:sz w:val="20"/>
        </w:rPr>
        <w:t>https://tradingeconomics.com/euro-area/composite-</w:t>
      </w:r>
      <w:r>
        <w:rPr>
          <w:i/>
          <w:color w:val="0D0E0E"/>
          <w:spacing w:val="-5"/>
          <w:sz w:val="20"/>
        </w:rPr>
        <w:t>pmi</w:t>
      </w:r>
    </w:p>
    <w:p>
      <w:pPr>
        <w:pStyle w:val="BodyText"/>
        <w:spacing w:before="238"/>
        <w:ind w:left="609" w:right="1252" w:firstLine="707"/>
        <w:jc w:val="both"/>
      </w:pPr>
      <w:r>
        <w:rPr>
          <w:color w:val="0D0E0E"/>
        </w:rPr>
        <w:t>O setor manufatureiro registrou mais um mês consecutivo de contração, aos 44,40 pontos ante 44,20 pontos de novembro. Todo esse sentimento contracionista se deve principalmente pelo baixo número de pedidos de bens ligados ao setor.</w:t>
      </w:r>
    </w:p>
    <w:p>
      <w:pPr>
        <w:pStyle w:val="BodyText"/>
        <w:spacing w:before="240"/>
        <w:ind w:left="705" w:right="644"/>
        <w:jc w:val="center"/>
      </w:pPr>
      <w:r>
        <w:rPr>
          <w:color w:val="0D0E0E"/>
        </w:rPr>
        <w:t>PMI</w:t>
      </w:r>
      <w:r>
        <w:rPr>
          <w:color w:val="0D0E0E"/>
          <w:spacing w:val="-2"/>
        </w:rPr>
        <w:t> </w:t>
      </w:r>
      <w:r>
        <w:rPr>
          <w:color w:val="0D0E0E"/>
        </w:rPr>
        <w:t>industrial</w:t>
      </w:r>
      <w:r>
        <w:rPr>
          <w:color w:val="0D0E0E"/>
          <w:spacing w:val="-1"/>
        </w:rPr>
        <w:t> </w:t>
      </w:r>
      <w:r>
        <w:rPr>
          <w:color w:val="0D0E0E"/>
        </w:rPr>
        <w:t>– Zona</w:t>
      </w:r>
      <w:r>
        <w:rPr>
          <w:color w:val="0D0E0E"/>
          <w:spacing w:val="-3"/>
        </w:rPr>
        <w:t> </w:t>
      </w:r>
      <w:r>
        <w:rPr>
          <w:color w:val="0D0E0E"/>
        </w:rPr>
        <w:t>do</w:t>
      </w:r>
      <w:r>
        <w:rPr>
          <w:color w:val="0D0E0E"/>
          <w:spacing w:val="-5"/>
        </w:rPr>
        <w:t> </w:t>
      </w:r>
      <w:r>
        <w:rPr>
          <w:color w:val="0D0E0E"/>
          <w:spacing w:val="-4"/>
        </w:rPr>
        <w:t>Euro:</w:t>
      </w:r>
    </w:p>
    <w:p>
      <w:pPr>
        <w:pStyle w:val="BodyText"/>
        <w:spacing w:before="10"/>
        <w:rPr>
          <w:sz w:val="16"/>
        </w:rPr>
      </w:pPr>
      <w:r>
        <w:rPr>
          <w:sz w:val="16"/>
        </w:rPr>
        <w:drawing>
          <wp:anchor distT="0" distB="0" distL="0" distR="0" allowOverlap="1" layoutInCell="1" locked="0" behindDoc="1" simplePos="0" relativeHeight="487596544">
            <wp:simplePos x="0" y="0"/>
            <wp:positionH relativeFrom="page">
              <wp:posOffset>1089660</wp:posOffset>
            </wp:positionH>
            <wp:positionV relativeFrom="paragraph">
              <wp:posOffset>145690</wp:posOffset>
            </wp:positionV>
            <wp:extent cx="5663065" cy="2723483"/>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2" cstate="print"/>
                    <a:stretch>
                      <a:fillRect/>
                    </a:stretch>
                  </pic:blipFill>
                  <pic:spPr>
                    <a:xfrm>
                      <a:off x="0" y="0"/>
                      <a:ext cx="5663065" cy="2723483"/>
                    </a:xfrm>
                    <a:prstGeom prst="rect">
                      <a:avLst/>
                    </a:prstGeom>
                  </pic:spPr>
                </pic:pic>
              </a:graphicData>
            </a:graphic>
          </wp:anchor>
        </w:drawing>
      </w:r>
    </w:p>
    <w:p>
      <w:pPr>
        <w:spacing w:before="3"/>
        <w:ind w:left="1317" w:right="0" w:firstLine="0"/>
        <w:jc w:val="left"/>
        <w:rPr>
          <w:i/>
          <w:sz w:val="20"/>
        </w:rPr>
      </w:pPr>
      <w:r>
        <w:rPr>
          <w:i/>
          <w:color w:val="0D0E0E"/>
          <w:spacing w:val="-2"/>
          <w:sz w:val="20"/>
        </w:rPr>
        <w:t>Fonte:</w:t>
      </w:r>
      <w:r>
        <w:rPr>
          <w:i/>
          <w:color w:val="0D0E0E"/>
          <w:spacing w:val="52"/>
          <w:sz w:val="20"/>
        </w:rPr>
        <w:t> </w:t>
      </w:r>
      <w:r>
        <w:rPr>
          <w:i/>
          <w:color w:val="0D0E0E"/>
          <w:spacing w:val="-2"/>
          <w:sz w:val="20"/>
        </w:rPr>
        <w:t>https://tradingeconomics.com/euro-area/manufacturing-</w:t>
      </w:r>
      <w:r>
        <w:rPr>
          <w:i/>
          <w:color w:val="0D0E0E"/>
          <w:spacing w:val="-5"/>
          <w:sz w:val="20"/>
        </w:rPr>
        <w:t>pmi</w:t>
      </w:r>
    </w:p>
    <w:p>
      <w:pPr>
        <w:pStyle w:val="BodyText"/>
        <w:spacing w:before="239"/>
        <w:ind w:left="609" w:right="1255" w:firstLine="707"/>
        <w:jc w:val="both"/>
      </w:pPr>
      <w:r>
        <w:rPr>
          <w:color w:val="0D0E0E"/>
        </w:rPr>
        <w:t>E para finalizar, quanto ao setor de serviços, este por sua vez trouxe o 5º mês consecutivo</w:t>
      </w:r>
      <w:r>
        <w:rPr>
          <w:color w:val="0D0E0E"/>
          <w:spacing w:val="-5"/>
        </w:rPr>
        <w:t> </w:t>
      </w:r>
      <w:r>
        <w:rPr>
          <w:color w:val="0D0E0E"/>
        </w:rPr>
        <w:t>de</w:t>
      </w:r>
      <w:r>
        <w:rPr>
          <w:color w:val="0D0E0E"/>
          <w:spacing w:val="-6"/>
        </w:rPr>
        <w:t> </w:t>
      </w:r>
      <w:r>
        <w:rPr>
          <w:color w:val="0D0E0E"/>
        </w:rPr>
        <w:t>retração</w:t>
      </w:r>
      <w:r>
        <w:rPr>
          <w:color w:val="0D0E0E"/>
          <w:spacing w:val="-6"/>
        </w:rPr>
        <w:t> </w:t>
      </w:r>
      <w:r>
        <w:rPr>
          <w:color w:val="0D0E0E"/>
        </w:rPr>
        <w:t>de</w:t>
      </w:r>
      <w:r>
        <w:rPr>
          <w:color w:val="0D0E0E"/>
          <w:spacing w:val="-3"/>
        </w:rPr>
        <w:t> </w:t>
      </w:r>
      <w:r>
        <w:rPr>
          <w:color w:val="0D0E0E"/>
        </w:rPr>
        <w:t>PMI</w:t>
      </w:r>
      <w:r>
        <w:rPr>
          <w:color w:val="0D0E0E"/>
          <w:spacing w:val="-4"/>
        </w:rPr>
        <w:t> </w:t>
      </w:r>
      <w:r>
        <w:rPr>
          <w:color w:val="0D0E0E"/>
        </w:rPr>
        <w:t>de</w:t>
      </w:r>
      <w:r>
        <w:rPr>
          <w:color w:val="0D0E0E"/>
          <w:spacing w:val="-6"/>
        </w:rPr>
        <w:t> </w:t>
      </w:r>
      <w:r>
        <w:rPr>
          <w:color w:val="0D0E0E"/>
        </w:rPr>
        <w:t>serviços</w:t>
      </w:r>
      <w:r>
        <w:rPr>
          <w:color w:val="0D0E0E"/>
          <w:spacing w:val="-3"/>
        </w:rPr>
        <w:t> </w:t>
      </w:r>
      <w:r>
        <w:rPr>
          <w:color w:val="0D0E0E"/>
        </w:rPr>
        <w:t>aos</w:t>
      </w:r>
      <w:r>
        <w:rPr>
          <w:color w:val="0D0E0E"/>
          <w:spacing w:val="-4"/>
        </w:rPr>
        <w:t> </w:t>
      </w:r>
      <w:r>
        <w:rPr>
          <w:color w:val="0D0E0E"/>
        </w:rPr>
        <w:t>48,80</w:t>
      </w:r>
      <w:r>
        <w:rPr>
          <w:color w:val="0D0E0E"/>
          <w:spacing w:val="-6"/>
        </w:rPr>
        <w:t> </w:t>
      </w:r>
      <w:r>
        <w:rPr>
          <w:color w:val="0D0E0E"/>
        </w:rPr>
        <w:t>pontos</w:t>
      </w:r>
      <w:r>
        <w:rPr>
          <w:color w:val="0D0E0E"/>
          <w:spacing w:val="-4"/>
        </w:rPr>
        <w:t> </w:t>
      </w:r>
      <w:r>
        <w:rPr>
          <w:color w:val="0D0E0E"/>
        </w:rPr>
        <w:t>em</w:t>
      </w:r>
      <w:r>
        <w:rPr>
          <w:color w:val="0D0E0E"/>
          <w:spacing w:val="-4"/>
        </w:rPr>
        <w:t> </w:t>
      </w:r>
      <w:r>
        <w:rPr>
          <w:color w:val="0D0E0E"/>
        </w:rPr>
        <w:t>dezembro</w:t>
      </w:r>
      <w:r>
        <w:rPr>
          <w:color w:val="0D0E0E"/>
          <w:spacing w:val="-3"/>
        </w:rPr>
        <w:t> </w:t>
      </w:r>
      <w:r>
        <w:rPr>
          <w:color w:val="0D0E0E"/>
        </w:rPr>
        <w:t>versus</w:t>
      </w:r>
      <w:r>
        <w:rPr>
          <w:color w:val="0D0E0E"/>
          <w:spacing w:val="-4"/>
        </w:rPr>
        <w:t> </w:t>
      </w:r>
      <w:r>
        <w:rPr>
          <w:color w:val="0D0E0E"/>
        </w:rPr>
        <w:t>48,70</w:t>
      </w:r>
      <w:r>
        <w:rPr>
          <w:color w:val="0D0E0E"/>
          <w:spacing w:val="-6"/>
        </w:rPr>
        <w:t> </w:t>
      </w:r>
      <w:r>
        <w:rPr>
          <w:color w:val="0D0E0E"/>
        </w:rPr>
        <w:t>de </w:t>
      </w:r>
      <w:r>
        <w:rPr>
          <w:color w:val="0D0E0E"/>
          <w:spacing w:val="-2"/>
        </w:rPr>
        <w:t>novembro.</w:t>
      </w:r>
    </w:p>
    <w:p>
      <w:pPr>
        <w:pStyle w:val="BodyText"/>
        <w:spacing w:before="239"/>
        <w:ind w:left="609" w:right="1252" w:firstLine="707"/>
        <w:jc w:val="both"/>
      </w:pPr>
      <w:r>
        <w:rPr>
          <w:color w:val="0D0E0E"/>
        </w:rPr>
        <w:t>A fotografia</w:t>
      </w:r>
      <w:r>
        <w:rPr>
          <w:color w:val="0D0E0E"/>
          <w:spacing w:val="-1"/>
        </w:rPr>
        <w:t> </w:t>
      </w:r>
      <w:r>
        <w:rPr>
          <w:color w:val="0D0E0E"/>
        </w:rPr>
        <w:t>do PMI</w:t>
      </w:r>
      <w:r>
        <w:rPr>
          <w:color w:val="0D0E0E"/>
          <w:spacing w:val="-1"/>
        </w:rPr>
        <w:t> </w:t>
      </w:r>
      <w:r>
        <w:rPr>
          <w:color w:val="0D0E0E"/>
        </w:rPr>
        <w:t>da</w:t>
      </w:r>
      <w:r>
        <w:rPr>
          <w:color w:val="0D0E0E"/>
          <w:spacing w:val="-1"/>
        </w:rPr>
        <w:t> </w:t>
      </w:r>
      <w:r>
        <w:rPr>
          <w:color w:val="0D0E0E"/>
        </w:rPr>
        <w:t>Europa</w:t>
      </w:r>
      <w:r>
        <w:rPr>
          <w:color w:val="0D0E0E"/>
          <w:spacing w:val="-1"/>
        </w:rPr>
        <w:t> </w:t>
      </w:r>
      <w:r>
        <w:rPr>
          <w:color w:val="0D0E0E"/>
        </w:rPr>
        <w:t>reforça</w:t>
      </w:r>
      <w:r>
        <w:rPr>
          <w:color w:val="0D0E0E"/>
          <w:spacing w:val="-1"/>
        </w:rPr>
        <w:t> </w:t>
      </w:r>
      <w:r>
        <w:rPr>
          <w:color w:val="0D0E0E"/>
        </w:rPr>
        <w:t>a</w:t>
      </w:r>
      <w:r>
        <w:rPr>
          <w:color w:val="0D0E0E"/>
          <w:spacing w:val="-1"/>
        </w:rPr>
        <w:t> </w:t>
      </w:r>
      <w:r>
        <w:rPr>
          <w:color w:val="0D0E0E"/>
        </w:rPr>
        <w:t>dificultosa fase que o velho continente vem passando</w:t>
      </w:r>
      <w:r>
        <w:rPr>
          <w:color w:val="0D0E0E"/>
          <w:spacing w:val="-2"/>
        </w:rPr>
        <w:t> </w:t>
      </w:r>
      <w:r>
        <w:rPr>
          <w:color w:val="0D0E0E"/>
        </w:rPr>
        <w:t>nos</w:t>
      </w:r>
      <w:r>
        <w:rPr>
          <w:color w:val="0D0E0E"/>
          <w:spacing w:val="-4"/>
        </w:rPr>
        <w:t> </w:t>
      </w:r>
      <w:r>
        <w:rPr>
          <w:color w:val="0D0E0E"/>
        </w:rPr>
        <w:t>últimos</w:t>
      </w:r>
      <w:r>
        <w:rPr>
          <w:color w:val="0D0E0E"/>
          <w:spacing w:val="-2"/>
        </w:rPr>
        <w:t> </w:t>
      </w:r>
      <w:r>
        <w:rPr>
          <w:color w:val="0D0E0E"/>
        </w:rPr>
        <w:t>meses,</w:t>
      </w:r>
      <w:r>
        <w:rPr>
          <w:color w:val="0D0E0E"/>
          <w:spacing w:val="-3"/>
        </w:rPr>
        <w:t> </w:t>
      </w:r>
      <w:r>
        <w:rPr>
          <w:color w:val="0D0E0E"/>
        </w:rPr>
        <w:t>e</w:t>
      </w:r>
      <w:r>
        <w:rPr>
          <w:color w:val="0D0E0E"/>
          <w:spacing w:val="-2"/>
        </w:rPr>
        <w:t> </w:t>
      </w:r>
      <w:r>
        <w:rPr>
          <w:color w:val="0D0E0E"/>
        </w:rPr>
        <w:t>serve</w:t>
      </w:r>
      <w:r>
        <w:rPr>
          <w:color w:val="0D0E0E"/>
          <w:spacing w:val="-3"/>
        </w:rPr>
        <w:t> </w:t>
      </w:r>
      <w:r>
        <w:rPr>
          <w:color w:val="0D0E0E"/>
        </w:rPr>
        <w:t>como</w:t>
      </w:r>
      <w:r>
        <w:rPr>
          <w:color w:val="0D0E0E"/>
          <w:spacing w:val="-2"/>
        </w:rPr>
        <w:t> </w:t>
      </w:r>
      <w:r>
        <w:rPr>
          <w:color w:val="0D0E0E"/>
        </w:rPr>
        <w:t>indicador</w:t>
      </w:r>
      <w:r>
        <w:rPr>
          <w:color w:val="0D0E0E"/>
          <w:spacing w:val="-2"/>
        </w:rPr>
        <w:t> </w:t>
      </w:r>
      <w:r>
        <w:rPr>
          <w:color w:val="0D0E0E"/>
        </w:rPr>
        <w:t>antecedente</w:t>
      </w:r>
      <w:r>
        <w:rPr>
          <w:color w:val="0D0E0E"/>
          <w:spacing w:val="-2"/>
        </w:rPr>
        <w:t> </w:t>
      </w:r>
      <w:r>
        <w:rPr>
          <w:color w:val="0D0E0E"/>
        </w:rPr>
        <w:t>para</w:t>
      </w:r>
      <w:r>
        <w:rPr>
          <w:color w:val="0D0E0E"/>
          <w:spacing w:val="-2"/>
        </w:rPr>
        <w:t> </w:t>
      </w:r>
      <w:r>
        <w:rPr>
          <w:color w:val="0D0E0E"/>
        </w:rPr>
        <w:t>os</w:t>
      </w:r>
      <w:r>
        <w:rPr>
          <w:color w:val="0D0E0E"/>
          <w:spacing w:val="-3"/>
        </w:rPr>
        <w:t> </w:t>
      </w:r>
      <w:r>
        <w:rPr>
          <w:color w:val="0D0E0E"/>
        </w:rPr>
        <w:t>próximos</w:t>
      </w:r>
      <w:r>
        <w:rPr>
          <w:color w:val="0D0E0E"/>
          <w:spacing w:val="-5"/>
        </w:rPr>
        <w:t> </w:t>
      </w:r>
      <w:r>
        <w:rPr>
          <w:color w:val="0D0E0E"/>
        </w:rPr>
        <w:t>meses, em que o continente deve passar por ainda mais dificuldades quanto ao futuro econômico num</w:t>
      </w:r>
      <w:r>
        <w:rPr>
          <w:color w:val="0D0E0E"/>
          <w:spacing w:val="-1"/>
        </w:rPr>
        <w:t> </w:t>
      </w:r>
      <w:r>
        <w:rPr>
          <w:color w:val="0D0E0E"/>
        </w:rPr>
        <w:t>horizonte próximo em que a</w:t>
      </w:r>
      <w:r>
        <w:rPr>
          <w:color w:val="0D0E0E"/>
          <w:spacing w:val="-1"/>
        </w:rPr>
        <w:t> </w:t>
      </w:r>
      <w:r>
        <w:rPr>
          <w:color w:val="0D0E0E"/>
        </w:rPr>
        <w:t>inflação ainda</w:t>
      </w:r>
      <w:r>
        <w:rPr>
          <w:color w:val="0D0E0E"/>
          <w:spacing w:val="-3"/>
        </w:rPr>
        <w:t> </w:t>
      </w:r>
      <w:r>
        <w:rPr>
          <w:color w:val="0D0E0E"/>
        </w:rPr>
        <w:t>segue fora</w:t>
      </w:r>
      <w:r>
        <w:rPr>
          <w:color w:val="0D0E0E"/>
          <w:spacing w:val="-1"/>
        </w:rPr>
        <w:t> </w:t>
      </w:r>
      <w:r>
        <w:rPr>
          <w:color w:val="0D0E0E"/>
        </w:rPr>
        <w:t>do patamar desejado e as</w:t>
      </w:r>
      <w:r>
        <w:rPr>
          <w:color w:val="0D0E0E"/>
          <w:spacing w:val="-1"/>
        </w:rPr>
        <w:t> </w:t>
      </w:r>
      <w:r>
        <w:rPr>
          <w:color w:val="0D0E0E"/>
        </w:rPr>
        <w:t>taxas de juros se mantém inalteradas seja no presente, quanto nos discursos de movimento </w:t>
      </w:r>
      <w:r>
        <w:rPr>
          <w:color w:val="0D0E0E"/>
          <w:spacing w:val="-2"/>
        </w:rPr>
        <w:t>futuro.</w:t>
      </w:r>
    </w:p>
    <w:p>
      <w:pPr>
        <w:pStyle w:val="BodyText"/>
        <w:spacing w:after="0"/>
        <w:jc w:val="both"/>
        <w:sectPr>
          <w:pgSz w:w="11920" w:h="16850"/>
          <w:pgMar w:top="1320" w:bottom="280" w:left="992" w:right="141"/>
        </w:sectPr>
      </w:pPr>
    </w:p>
    <w:p>
      <w:pPr>
        <w:pStyle w:val="BodyText"/>
        <w:spacing w:before="39"/>
        <w:ind w:left="705" w:right="644"/>
        <w:jc w:val="center"/>
      </w:pPr>
      <w:r>
        <w:rPr>
          <w:color w:val="0D0E0E"/>
        </w:rPr>
        <w:t>PMI</w:t>
      </w:r>
      <w:r>
        <w:rPr>
          <w:color w:val="0D0E0E"/>
          <w:spacing w:val="-1"/>
        </w:rPr>
        <w:t> </w:t>
      </w:r>
      <w:r>
        <w:rPr>
          <w:color w:val="0D0E0E"/>
        </w:rPr>
        <w:t>serviços</w:t>
      </w:r>
      <w:r>
        <w:rPr>
          <w:color w:val="0D0E0E"/>
          <w:spacing w:val="-2"/>
        </w:rPr>
        <w:t> </w:t>
      </w:r>
      <w:r>
        <w:rPr>
          <w:color w:val="0D0E0E"/>
        </w:rPr>
        <w:t>– Zona</w:t>
      </w:r>
      <w:r>
        <w:rPr>
          <w:color w:val="0D0E0E"/>
          <w:spacing w:val="-3"/>
        </w:rPr>
        <w:t> </w:t>
      </w:r>
      <w:r>
        <w:rPr>
          <w:color w:val="0D0E0E"/>
        </w:rPr>
        <w:t>do</w:t>
      </w:r>
      <w:r>
        <w:rPr>
          <w:color w:val="0D0E0E"/>
          <w:spacing w:val="-1"/>
        </w:rPr>
        <w:t> </w:t>
      </w:r>
      <w:r>
        <w:rPr>
          <w:color w:val="0D0E0E"/>
          <w:spacing w:val="-2"/>
        </w:rPr>
        <w:t>Euro:</w:t>
      </w:r>
    </w:p>
    <w:p>
      <w:pPr>
        <w:pStyle w:val="BodyText"/>
        <w:spacing w:before="1"/>
        <w:rPr>
          <w:sz w:val="10"/>
        </w:rPr>
      </w:pPr>
      <w:r>
        <w:rPr>
          <w:sz w:val="10"/>
        </w:rPr>
        <w:drawing>
          <wp:anchor distT="0" distB="0" distL="0" distR="0" allowOverlap="1" layoutInCell="1" locked="0" behindDoc="1" simplePos="0" relativeHeight="487597056">
            <wp:simplePos x="0" y="0"/>
            <wp:positionH relativeFrom="page">
              <wp:posOffset>998219</wp:posOffset>
            </wp:positionH>
            <wp:positionV relativeFrom="paragraph">
              <wp:posOffset>93491</wp:posOffset>
            </wp:positionV>
            <wp:extent cx="5686099" cy="2754344"/>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23" cstate="print"/>
                    <a:stretch>
                      <a:fillRect/>
                    </a:stretch>
                  </pic:blipFill>
                  <pic:spPr>
                    <a:xfrm>
                      <a:off x="0" y="0"/>
                      <a:ext cx="5686099" cy="2754344"/>
                    </a:xfrm>
                    <a:prstGeom prst="rect">
                      <a:avLst/>
                    </a:prstGeom>
                  </pic:spPr>
                </pic:pic>
              </a:graphicData>
            </a:graphic>
          </wp:anchor>
        </w:drawing>
      </w:r>
    </w:p>
    <w:p>
      <w:pPr>
        <w:spacing w:before="0"/>
        <w:ind w:left="702" w:right="644" w:firstLine="0"/>
        <w:jc w:val="center"/>
        <w:rPr>
          <w:i/>
          <w:sz w:val="20"/>
        </w:rPr>
      </w:pPr>
      <w:r>
        <w:rPr>
          <w:i/>
          <w:color w:val="0D0E0E"/>
          <w:spacing w:val="-2"/>
          <w:sz w:val="20"/>
        </w:rPr>
        <w:t>Fonte:</w:t>
      </w:r>
      <w:r>
        <w:rPr>
          <w:i/>
          <w:color w:val="0D0E0E"/>
          <w:spacing w:val="50"/>
          <w:sz w:val="20"/>
        </w:rPr>
        <w:t> </w:t>
      </w:r>
      <w:r>
        <w:rPr>
          <w:i/>
          <w:color w:val="0D0E0E"/>
          <w:spacing w:val="-2"/>
          <w:sz w:val="20"/>
        </w:rPr>
        <w:t>https://tradingeconomics.com/euro-area/services-</w:t>
      </w:r>
      <w:r>
        <w:rPr>
          <w:i/>
          <w:color w:val="0D0E0E"/>
          <w:spacing w:val="-5"/>
          <w:sz w:val="20"/>
        </w:rPr>
        <w:t>pmi</w:t>
      </w:r>
    </w:p>
    <w:p>
      <w:pPr>
        <w:spacing w:after="0"/>
        <w:jc w:val="center"/>
        <w:rPr>
          <w:i/>
          <w:sz w:val="20"/>
        </w:rPr>
        <w:sectPr>
          <w:pgSz w:w="11920" w:h="16850"/>
          <w:pgMar w:top="1320" w:bottom="280" w:left="992" w:right="141"/>
        </w:sectPr>
      </w:pPr>
    </w:p>
    <w:p>
      <w:pPr>
        <w:pStyle w:val="Heading1"/>
      </w:pPr>
      <w:r>
        <w:rPr>
          <w:spacing w:val="-4"/>
        </w:rPr>
        <w:t>Ásia</w:t>
      </w:r>
    </w:p>
    <w:p>
      <w:pPr>
        <w:pStyle w:val="Heading3"/>
        <w:spacing w:before="187"/>
      </w:pPr>
      <w:r>
        <w:rPr>
          <w:spacing w:val="-2"/>
        </w:rPr>
        <w:t>Inflação</w:t>
      </w:r>
    </w:p>
    <w:p>
      <w:pPr>
        <w:pStyle w:val="BodyText"/>
        <w:spacing w:before="239"/>
        <w:ind w:left="609" w:right="1251" w:firstLine="707"/>
        <w:jc w:val="both"/>
      </w:pPr>
      <w:r>
        <w:rPr>
          <w:color w:val="0D0E0E"/>
        </w:rPr>
        <w:t>A gigante asiática, China, na contramão do resto do mundo, vem enfrentando curiosamente outro problema monetário relacionado aos preços de seus</w:t>
      </w:r>
      <w:r>
        <w:rPr>
          <w:color w:val="0D0E0E"/>
          <w:spacing w:val="-2"/>
        </w:rPr>
        <w:t> </w:t>
      </w:r>
      <w:r>
        <w:rPr>
          <w:color w:val="0D0E0E"/>
        </w:rPr>
        <w:t>bens e serviços: a </w:t>
      </w:r>
      <w:r>
        <w:rPr>
          <w:color w:val="0D0E0E"/>
          <w:spacing w:val="-2"/>
        </w:rPr>
        <w:t>deflação.</w:t>
      </w:r>
    </w:p>
    <w:p>
      <w:pPr>
        <w:pStyle w:val="BodyText"/>
        <w:spacing w:before="242"/>
        <w:ind w:left="609" w:right="1263" w:firstLine="707"/>
        <w:jc w:val="both"/>
      </w:pPr>
      <w:r>
        <w:rPr>
          <w:color w:val="0D0E0E"/>
        </w:rPr>
        <w:t>Enquanto a inflação dos preços, fenômeno monetário que desvaloriza a moeda e infla o preço dos bens e serviços dispostos na economia, a deflação dos preços, que é a valorização monetária e diminuição dos preços dos bens e serviços, pode ser tão maléfica quanto a inflação, porém resultando em um problema diferente.</w:t>
      </w:r>
    </w:p>
    <w:p>
      <w:pPr>
        <w:pStyle w:val="BodyText"/>
        <w:spacing w:before="240"/>
        <w:ind w:left="609" w:right="1255" w:firstLine="707"/>
        <w:jc w:val="both"/>
      </w:pPr>
      <w:r>
        <w:rPr>
          <w:color w:val="0D0E0E"/>
        </w:rPr>
        <w:t>O risco da deflação está ligado a “espiral deflacionária”, e possível “recessão econômica”, pois uma vez que os agentes econômicos veem que os preços dos bens estão caindo, estes por sua vez, tendem a postergar o consumo de bens com a expectativa que estes preços caiam ainda mais no futuro.</w:t>
      </w:r>
    </w:p>
    <w:p>
      <w:pPr>
        <w:pStyle w:val="BodyText"/>
        <w:spacing w:before="239"/>
        <w:ind w:left="609" w:right="1260" w:firstLine="707"/>
        <w:jc w:val="both"/>
      </w:pPr>
      <w:r>
        <w:rPr>
          <w:color w:val="0D0E0E"/>
        </w:rPr>
        <w:t>Essa constante espera para consumo, extrapolada para a maior parte dos bens e serviços econômicos possui o potencial de gerar uma forte desaceleração econômica a ponto de se tornar uma recessão.</w:t>
      </w:r>
    </w:p>
    <w:p>
      <w:pPr>
        <w:pStyle w:val="BodyText"/>
        <w:spacing w:before="239"/>
        <w:ind w:left="609" w:right="1262" w:firstLine="707"/>
        <w:jc w:val="both"/>
      </w:pPr>
      <w:r>
        <w:rPr>
          <w:color w:val="0D0E0E"/>
        </w:rPr>
        <w:t>Atualmente, esta é a preocupação que o Banco Popular da China (PBoC, sigla em inglês) possui atualmente.</w:t>
      </w:r>
    </w:p>
    <w:p>
      <w:pPr>
        <w:pStyle w:val="BodyText"/>
        <w:spacing w:before="242"/>
        <w:ind w:left="609" w:right="1250" w:firstLine="707"/>
        <w:jc w:val="both"/>
      </w:pPr>
      <w:r>
        <w:rPr>
          <w:color w:val="0D0E0E"/>
        </w:rPr>
        <w:t>Em</w:t>
      </w:r>
      <w:r>
        <w:rPr>
          <w:color w:val="0D0E0E"/>
          <w:spacing w:val="-8"/>
        </w:rPr>
        <w:t> </w:t>
      </w:r>
      <w:r>
        <w:rPr>
          <w:color w:val="0D0E0E"/>
        </w:rPr>
        <w:t>dezembro,</w:t>
      </w:r>
      <w:r>
        <w:rPr>
          <w:color w:val="0D0E0E"/>
          <w:spacing w:val="-11"/>
        </w:rPr>
        <w:t> </w:t>
      </w:r>
      <w:r>
        <w:rPr>
          <w:color w:val="0D0E0E"/>
        </w:rPr>
        <w:t>o</w:t>
      </w:r>
      <w:r>
        <w:rPr>
          <w:color w:val="0D0E0E"/>
          <w:spacing w:val="-11"/>
        </w:rPr>
        <w:t> </w:t>
      </w:r>
      <w:r>
        <w:rPr>
          <w:color w:val="0D0E0E"/>
        </w:rPr>
        <w:t>CPI</w:t>
      </w:r>
      <w:r>
        <w:rPr>
          <w:color w:val="0D0E0E"/>
          <w:spacing w:val="-11"/>
        </w:rPr>
        <w:t> </w:t>
      </w:r>
      <w:r>
        <w:rPr>
          <w:color w:val="0D0E0E"/>
        </w:rPr>
        <w:t>chinês</w:t>
      </w:r>
      <w:r>
        <w:rPr>
          <w:color w:val="0D0E0E"/>
          <w:spacing w:val="-9"/>
        </w:rPr>
        <w:t> </w:t>
      </w:r>
      <w:r>
        <w:rPr>
          <w:color w:val="0D0E0E"/>
        </w:rPr>
        <w:t>registrou</w:t>
      </w:r>
      <w:r>
        <w:rPr>
          <w:color w:val="0D0E0E"/>
          <w:spacing w:val="-12"/>
        </w:rPr>
        <w:t> </w:t>
      </w:r>
      <w:r>
        <w:rPr>
          <w:color w:val="0D0E0E"/>
        </w:rPr>
        <w:t>uma</w:t>
      </w:r>
      <w:r>
        <w:rPr>
          <w:color w:val="0D0E0E"/>
          <w:spacing w:val="-11"/>
        </w:rPr>
        <w:t> </w:t>
      </w:r>
      <w:r>
        <w:rPr>
          <w:color w:val="0D0E0E"/>
        </w:rPr>
        <w:t>queda</w:t>
      </w:r>
      <w:r>
        <w:rPr>
          <w:color w:val="0D0E0E"/>
          <w:spacing w:val="-11"/>
        </w:rPr>
        <w:t> </w:t>
      </w:r>
      <w:r>
        <w:rPr>
          <w:color w:val="0D0E0E"/>
        </w:rPr>
        <w:t>de</w:t>
      </w:r>
      <w:r>
        <w:rPr>
          <w:color w:val="0D0E0E"/>
          <w:spacing w:val="-3"/>
        </w:rPr>
        <w:t> </w:t>
      </w:r>
      <w:r>
        <w:rPr>
          <w:color w:val="0D0E0E"/>
        </w:rPr>
        <w:t>-0,3%</w:t>
      </w:r>
      <w:r>
        <w:rPr>
          <w:color w:val="0D0E0E"/>
          <w:spacing w:val="-10"/>
        </w:rPr>
        <w:t> </w:t>
      </w:r>
      <w:r>
        <w:rPr>
          <w:color w:val="0D0E0E"/>
        </w:rPr>
        <w:t>na</w:t>
      </w:r>
      <w:r>
        <w:rPr>
          <w:color w:val="0D0E0E"/>
          <w:spacing w:val="-11"/>
        </w:rPr>
        <w:t> </w:t>
      </w:r>
      <w:r>
        <w:rPr>
          <w:color w:val="0D0E0E"/>
        </w:rPr>
        <w:t>janela</w:t>
      </w:r>
      <w:r>
        <w:rPr>
          <w:color w:val="0D0E0E"/>
          <w:spacing w:val="-9"/>
        </w:rPr>
        <w:t> </w:t>
      </w:r>
      <w:r>
        <w:rPr>
          <w:color w:val="0D0E0E"/>
        </w:rPr>
        <w:t>anual,</w:t>
      </w:r>
      <w:r>
        <w:rPr>
          <w:color w:val="0D0E0E"/>
          <w:spacing w:val="-11"/>
        </w:rPr>
        <w:t> </w:t>
      </w:r>
      <w:r>
        <w:rPr>
          <w:color w:val="0D0E0E"/>
        </w:rPr>
        <w:t>ante</w:t>
      </w:r>
      <w:r>
        <w:rPr>
          <w:color w:val="0D0E0E"/>
          <w:spacing w:val="-8"/>
        </w:rPr>
        <w:t> </w:t>
      </w:r>
      <w:r>
        <w:rPr>
          <w:color w:val="0D0E0E"/>
        </w:rPr>
        <w:t>-0,5% do mês de novembro, -0,2% de outubro, entre outras baixíssimas variações dos meses </w:t>
      </w:r>
      <w:r>
        <w:rPr>
          <w:color w:val="0D0E0E"/>
          <w:spacing w:val="-2"/>
        </w:rPr>
        <w:t>anteriores.</w:t>
      </w:r>
    </w:p>
    <w:p>
      <w:pPr>
        <w:pStyle w:val="BodyText"/>
        <w:spacing w:before="240"/>
        <w:ind w:left="704" w:right="644"/>
        <w:jc w:val="center"/>
      </w:pPr>
      <w:r>
        <w:rPr>
          <w:color w:val="0D0E0E"/>
        </w:rPr>
        <w:t>CPI</w:t>
      </w:r>
      <w:r>
        <w:rPr>
          <w:color w:val="0D0E0E"/>
          <w:spacing w:val="-2"/>
        </w:rPr>
        <w:t> </w:t>
      </w:r>
      <w:r>
        <w:rPr>
          <w:color w:val="0D0E0E"/>
        </w:rPr>
        <w:t>–</w:t>
      </w:r>
      <w:r>
        <w:rPr>
          <w:color w:val="0D0E0E"/>
          <w:spacing w:val="1"/>
        </w:rPr>
        <w:t> </w:t>
      </w:r>
      <w:r>
        <w:rPr>
          <w:color w:val="0D0E0E"/>
          <w:spacing w:val="-2"/>
        </w:rPr>
        <w:t>China:</w:t>
      </w:r>
    </w:p>
    <w:p>
      <w:pPr>
        <w:pStyle w:val="BodyText"/>
        <w:spacing w:before="6"/>
        <w:rPr>
          <w:sz w:val="4"/>
        </w:rPr>
      </w:pPr>
      <w:r>
        <w:rPr>
          <w:sz w:val="4"/>
        </w:rPr>
        <w:drawing>
          <wp:anchor distT="0" distB="0" distL="0" distR="0" allowOverlap="1" layoutInCell="1" locked="0" behindDoc="1" simplePos="0" relativeHeight="487597568">
            <wp:simplePos x="0" y="0"/>
            <wp:positionH relativeFrom="page">
              <wp:posOffset>1150619</wp:posOffset>
            </wp:positionH>
            <wp:positionV relativeFrom="paragraph">
              <wp:posOffset>50311</wp:posOffset>
            </wp:positionV>
            <wp:extent cx="5663028" cy="2777490"/>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24" cstate="print"/>
                    <a:stretch>
                      <a:fillRect/>
                    </a:stretch>
                  </pic:blipFill>
                  <pic:spPr>
                    <a:xfrm>
                      <a:off x="0" y="0"/>
                      <a:ext cx="5663028" cy="2777490"/>
                    </a:xfrm>
                    <a:prstGeom prst="rect">
                      <a:avLst/>
                    </a:prstGeom>
                  </pic:spPr>
                </pic:pic>
              </a:graphicData>
            </a:graphic>
          </wp:anchor>
        </w:drawing>
      </w:r>
    </w:p>
    <w:p>
      <w:pPr>
        <w:spacing w:before="9"/>
        <w:ind w:left="1317" w:right="0" w:firstLine="0"/>
        <w:jc w:val="left"/>
        <w:rPr>
          <w:i/>
          <w:sz w:val="20"/>
        </w:rPr>
      </w:pPr>
      <w:r>
        <w:rPr>
          <w:i/>
          <w:color w:val="0D0E0E"/>
          <w:spacing w:val="-2"/>
          <w:sz w:val="20"/>
        </w:rPr>
        <w:t>Fonte:</w:t>
      </w:r>
      <w:r>
        <w:rPr>
          <w:i/>
          <w:color w:val="0D0E0E"/>
          <w:spacing w:val="52"/>
          <w:sz w:val="20"/>
        </w:rPr>
        <w:t> </w:t>
      </w:r>
      <w:r>
        <w:rPr>
          <w:i/>
          <w:color w:val="0D0E0E"/>
          <w:spacing w:val="-2"/>
          <w:sz w:val="20"/>
        </w:rPr>
        <w:t>https://tradingeconomics.com/china/inflation-</w:t>
      </w:r>
      <w:r>
        <w:rPr>
          <w:i/>
          <w:color w:val="0D0E0E"/>
          <w:spacing w:val="-5"/>
          <w:sz w:val="20"/>
        </w:rPr>
        <w:t>cpi</w:t>
      </w:r>
    </w:p>
    <w:p>
      <w:pPr>
        <w:pStyle w:val="Heading3"/>
        <w:spacing w:before="239"/>
      </w:pPr>
      <w:r>
        <w:rPr>
          <w:spacing w:val="-2"/>
        </w:rPr>
        <w:t>Juros</w:t>
      </w:r>
    </w:p>
    <w:p>
      <w:pPr>
        <w:pStyle w:val="BodyText"/>
        <w:spacing w:before="238"/>
        <w:ind w:left="1317"/>
      </w:pPr>
      <w:r>
        <w:rPr>
          <w:color w:val="0D0E0E"/>
        </w:rPr>
        <w:t>Até</w:t>
      </w:r>
      <w:r>
        <w:rPr>
          <w:color w:val="0D0E0E"/>
          <w:spacing w:val="-6"/>
        </w:rPr>
        <w:t> </w:t>
      </w:r>
      <w:r>
        <w:rPr>
          <w:color w:val="0D0E0E"/>
        </w:rPr>
        <w:t>o</w:t>
      </w:r>
      <w:r>
        <w:rPr>
          <w:color w:val="0D0E0E"/>
          <w:spacing w:val="-1"/>
        </w:rPr>
        <w:t> </w:t>
      </w:r>
      <w:r>
        <w:rPr>
          <w:color w:val="0D0E0E"/>
        </w:rPr>
        <w:t>momento, a</w:t>
      </w:r>
      <w:r>
        <w:rPr>
          <w:color w:val="0D0E0E"/>
          <w:spacing w:val="-4"/>
        </w:rPr>
        <w:t> </w:t>
      </w:r>
      <w:r>
        <w:rPr>
          <w:color w:val="0D0E0E"/>
        </w:rPr>
        <w:t>estrutura</w:t>
      </w:r>
      <w:r>
        <w:rPr>
          <w:color w:val="0D0E0E"/>
          <w:spacing w:val="-3"/>
        </w:rPr>
        <w:t> </w:t>
      </w:r>
      <w:r>
        <w:rPr>
          <w:color w:val="0D0E0E"/>
        </w:rPr>
        <w:t>de</w:t>
      </w:r>
      <w:r>
        <w:rPr>
          <w:color w:val="0D0E0E"/>
          <w:spacing w:val="-2"/>
        </w:rPr>
        <w:t> </w:t>
      </w:r>
      <w:r>
        <w:rPr>
          <w:color w:val="0D0E0E"/>
        </w:rPr>
        <w:t>juros</w:t>
      </w:r>
      <w:r>
        <w:rPr>
          <w:color w:val="0D0E0E"/>
          <w:spacing w:val="-4"/>
        </w:rPr>
        <w:t> </w:t>
      </w:r>
      <w:r>
        <w:rPr>
          <w:color w:val="0D0E0E"/>
        </w:rPr>
        <w:t>da</w:t>
      </w:r>
      <w:r>
        <w:rPr>
          <w:color w:val="0D0E0E"/>
          <w:spacing w:val="-2"/>
        </w:rPr>
        <w:t> </w:t>
      </w:r>
      <w:r>
        <w:rPr>
          <w:color w:val="0D0E0E"/>
        </w:rPr>
        <w:t>China</w:t>
      </w:r>
      <w:r>
        <w:rPr>
          <w:color w:val="0D0E0E"/>
          <w:spacing w:val="-3"/>
        </w:rPr>
        <w:t> </w:t>
      </w:r>
      <w:r>
        <w:rPr>
          <w:color w:val="0D0E0E"/>
        </w:rPr>
        <w:t>segue</w:t>
      </w:r>
      <w:r>
        <w:rPr>
          <w:color w:val="0D0E0E"/>
          <w:spacing w:val="3"/>
        </w:rPr>
        <w:t> </w:t>
      </w:r>
      <w:r>
        <w:rPr>
          <w:color w:val="0D0E0E"/>
        </w:rPr>
        <w:t>inalterada</w:t>
      </w:r>
      <w:r>
        <w:rPr>
          <w:color w:val="0D0E0E"/>
          <w:spacing w:val="-4"/>
        </w:rPr>
        <w:t> </w:t>
      </w:r>
      <w:r>
        <w:rPr>
          <w:color w:val="0D0E0E"/>
        </w:rPr>
        <w:t>em</w:t>
      </w:r>
      <w:r>
        <w:rPr>
          <w:color w:val="0D0E0E"/>
          <w:spacing w:val="-2"/>
        </w:rPr>
        <w:t> </w:t>
      </w:r>
      <w:r>
        <w:rPr>
          <w:color w:val="0D0E0E"/>
        </w:rPr>
        <w:t>toda</w:t>
      </w:r>
      <w:r>
        <w:rPr>
          <w:color w:val="0D0E0E"/>
          <w:spacing w:val="-2"/>
        </w:rPr>
        <w:t> </w:t>
      </w:r>
      <w:r>
        <w:rPr>
          <w:color w:val="0D0E0E"/>
        </w:rPr>
        <w:t>sua</w:t>
      </w:r>
      <w:r>
        <w:rPr>
          <w:color w:val="0D0E0E"/>
          <w:spacing w:val="-2"/>
        </w:rPr>
        <w:t> curva.</w:t>
      </w:r>
    </w:p>
    <w:p>
      <w:pPr>
        <w:pStyle w:val="BodyText"/>
        <w:spacing w:after="0"/>
        <w:sectPr>
          <w:pgSz w:w="11920" w:h="16850"/>
          <w:pgMar w:top="1340" w:bottom="280" w:left="992" w:right="141"/>
        </w:sectPr>
      </w:pPr>
    </w:p>
    <w:p>
      <w:pPr>
        <w:pStyle w:val="BodyText"/>
        <w:spacing w:before="39"/>
        <w:ind w:left="706" w:right="644"/>
        <w:jc w:val="center"/>
      </w:pPr>
      <w:r>
        <w:rPr>
          <w:color w:val="0D0E0E"/>
        </w:rPr>
        <w:t>Taxa</w:t>
      </w:r>
      <w:r>
        <w:rPr>
          <w:color w:val="0D0E0E"/>
          <w:spacing w:val="-2"/>
        </w:rPr>
        <w:t> </w:t>
      </w:r>
      <w:r>
        <w:rPr>
          <w:color w:val="0D0E0E"/>
        </w:rPr>
        <w:t>de</w:t>
      </w:r>
      <w:r>
        <w:rPr>
          <w:color w:val="0D0E0E"/>
          <w:spacing w:val="-3"/>
        </w:rPr>
        <w:t> </w:t>
      </w:r>
      <w:r>
        <w:rPr>
          <w:color w:val="0D0E0E"/>
        </w:rPr>
        <w:t>Juros</w:t>
      </w:r>
      <w:r>
        <w:rPr>
          <w:color w:val="0D0E0E"/>
          <w:spacing w:val="-1"/>
        </w:rPr>
        <w:t> </w:t>
      </w:r>
      <w:r>
        <w:rPr>
          <w:color w:val="0D0E0E"/>
        </w:rPr>
        <w:t>(1</w:t>
      </w:r>
      <w:r>
        <w:rPr>
          <w:color w:val="0D0E0E"/>
          <w:spacing w:val="-1"/>
        </w:rPr>
        <w:t> </w:t>
      </w:r>
      <w:r>
        <w:rPr>
          <w:color w:val="0D0E0E"/>
        </w:rPr>
        <w:t>ano)</w:t>
      </w:r>
      <w:r>
        <w:rPr>
          <w:color w:val="0D0E0E"/>
          <w:spacing w:val="1"/>
        </w:rPr>
        <w:t> </w:t>
      </w:r>
      <w:r>
        <w:rPr>
          <w:color w:val="0D0E0E"/>
        </w:rPr>
        <w:t>–</w:t>
      </w:r>
      <w:r>
        <w:rPr>
          <w:color w:val="0D0E0E"/>
          <w:spacing w:val="-2"/>
        </w:rPr>
        <w:t> China:</w:t>
      </w:r>
    </w:p>
    <w:p>
      <w:pPr>
        <w:pStyle w:val="BodyText"/>
        <w:spacing w:before="11"/>
        <w:rPr>
          <w:sz w:val="16"/>
        </w:rPr>
      </w:pPr>
      <w:r>
        <w:rPr>
          <w:sz w:val="16"/>
        </w:rPr>
        <w:drawing>
          <wp:anchor distT="0" distB="0" distL="0" distR="0" allowOverlap="1" layoutInCell="1" locked="0" behindDoc="1" simplePos="0" relativeHeight="487598080">
            <wp:simplePos x="0" y="0"/>
            <wp:positionH relativeFrom="page">
              <wp:posOffset>1013460</wp:posOffset>
            </wp:positionH>
            <wp:positionV relativeFrom="paragraph">
              <wp:posOffset>146831</wp:posOffset>
            </wp:positionV>
            <wp:extent cx="5685410" cy="275082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25" cstate="print"/>
                    <a:stretch>
                      <a:fillRect/>
                    </a:stretch>
                  </pic:blipFill>
                  <pic:spPr>
                    <a:xfrm>
                      <a:off x="0" y="0"/>
                      <a:ext cx="5685410" cy="2750820"/>
                    </a:xfrm>
                    <a:prstGeom prst="rect">
                      <a:avLst/>
                    </a:prstGeom>
                  </pic:spPr>
                </pic:pic>
              </a:graphicData>
            </a:graphic>
          </wp:anchor>
        </w:drawing>
      </w:r>
    </w:p>
    <w:p>
      <w:pPr>
        <w:spacing w:before="0"/>
        <w:ind w:left="2748" w:right="0" w:firstLine="0"/>
        <w:jc w:val="left"/>
        <w:rPr>
          <w:i/>
          <w:sz w:val="20"/>
        </w:rPr>
      </w:pPr>
      <w:r>
        <w:rPr>
          <w:i/>
          <w:color w:val="0D0E0E"/>
          <w:spacing w:val="-2"/>
          <w:sz w:val="20"/>
        </w:rPr>
        <w:t>Fonte:</w:t>
      </w:r>
      <w:r>
        <w:rPr>
          <w:i/>
          <w:color w:val="0D0E0E"/>
          <w:spacing w:val="51"/>
          <w:sz w:val="20"/>
        </w:rPr>
        <w:t> </w:t>
      </w:r>
      <w:r>
        <w:rPr>
          <w:i/>
          <w:color w:val="0D0E0E"/>
          <w:spacing w:val="-2"/>
          <w:sz w:val="20"/>
        </w:rPr>
        <w:t>https://tradingeconomics.com/china/interest-</w:t>
      </w:r>
      <w:r>
        <w:rPr>
          <w:i/>
          <w:color w:val="0D0E0E"/>
          <w:spacing w:val="-4"/>
          <w:sz w:val="20"/>
        </w:rPr>
        <w:t>rate</w:t>
      </w:r>
    </w:p>
    <w:p>
      <w:pPr>
        <w:pStyle w:val="BodyText"/>
        <w:rPr>
          <w:i/>
          <w:sz w:val="20"/>
        </w:rPr>
      </w:pPr>
    </w:p>
    <w:p>
      <w:pPr>
        <w:pStyle w:val="BodyText"/>
        <w:rPr>
          <w:i/>
          <w:sz w:val="20"/>
        </w:rPr>
      </w:pPr>
    </w:p>
    <w:p>
      <w:pPr>
        <w:pStyle w:val="BodyText"/>
        <w:spacing w:before="77"/>
        <w:rPr>
          <w:i/>
          <w:sz w:val="20"/>
        </w:rPr>
      </w:pPr>
    </w:p>
    <w:p>
      <w:pPr>
        <w:pStyle w:val="Heading2"/>
        <w:spacing w:line="410" w:lineRule="auto" w:before="1"/>
        <w:ind w:right="5902"/>
      </w:pPr>
      <w:r>
        <w:rPr/>
        <w:t>INDICADORES</w:t>
      </w:r>
      <w:r>
        <w:rPr>
          <w:spacing w:val="-12"/>
        </w:rPr>
        <w:t> </w:t>
      </w:r>
      <w:r>
        <w:rPr/>
        <w:t>DE</w:t>
      </w:r>
      <w:r>
        <w:rPr>
          <w:spacing w:val="-14"/>
        </w:rPr>
        <w:t> </w:t>
      </w:r>
      <w:r>
        <w:rPr/>
        <w:t>ATIVIDADE </w:t>
      </w:r>
      <w:r>
        <w:rPr>
          <w:spacing w:val="-4"/>
        </w:rPr>
        <w:t>PIB</w:t>
      </w:r>
    </w:p>
    <w:p>
      <w:pPr>
        <w:pStyle w:val="BodyText"/>
        <w:ind w:left="609" w:right="1251" w:firstLine="707"/>
        <w:jc w:val="both"/>
      </w:pPr>
      <w:r>
        <w:rPr>
          <w:color w:val="0D0E0E"/>
        </w:rPr>
        <w:t>Segundo o primeiro-ministro chinês, Li Qiang, em 2023 a gigante asiática cresceu 5,2%, 0,2% superior à meta de 5%. O Escritório Nacional de Estatística (NSB, em inglês). O resultado oficial ainda será divulgado na 2ª quinzena de janeiro de 2024.</w:t>
      </w:r>
    </w:p>
    <w:p>
      <w:pPr>
        <w:pStyle w:val="Heading2"/>
        <w:spacing w:before="234"/>
        <w:ind w:left="609"/>
      </w:pPr>
      <w:r>
        <w:rPr>
          <w:spacing w:val="-5"/>
        </w:rPr>
        <w:t>PMI</w:t>
      </w:r>
    </w:p>
    <w:p>
      <w:pPr>
        <w:pStyle w:val="BodyText"/>
        <w:spacing w:before="242"/>
        <w:ind w:left="609" w:right="1254" w:firstLine="707"/>
        <w:jc w:val="both"/>
      </w:pPr>
      <w:r>
        <w:rPr>
          <w:color w:val="0D0E0E"/>
        </w:rPr>
        <w:t>Avançando no campo otimista, o PMI de serviços chinês trouxe uma medição de 52,90 pontos para dezembro frente 51,50 pontos de novembro superando as expectativas do mercado.</w:t>
      </w:r>
    </w:p>
    <w:p>
      <w:pPr>
        <w:pStyle w:val="BodyText"/>
        <w:spacing w:before="239"/>
        <w:ind w:left="609" w:right="1261" w:firstLine="707"/>
        <w:jc w:val="both"/>
      </w:pPr>
      <w:r>
        <w:rPr>
          <w:color w:val="0D0E0E"/>
        </w:rPr>
        <w:t>O número ganhou força principalmente pelo número de surgimento de novos negócios, além de encomendas e exportações voltando a crescer no setor.</w:t>
      </w:r>
    </w:p>
    <w:p>
      <w:pPr>
        <w:pStyle w:val="BodyText"/>
        <w:spacing w:after="0"/>
        <w:jc w:val="both"/>
        <w:sectPr>
          <w:pgSz w:w="11920" w:h="16850"/>
          <w:pgMar w:top="1320" w:bottom="280" w:left="992" w:right="141"/>
        </w:sectPr>
      </w:pPr>
    </w:p>
    <w:p>
      <w:pPr>
        <w:pStyle w:val="BodyText"/>
        <w:spacing w:before="39"/>
        <w:ind w:left="706" w:right="644"/>
        <w:jc w:val="center"/>
      </w:pPr>
      <w:r>
        <w:rPr>
          <w:color w:val="0D0E0E"/>
        </w:rPr>
        <w:t>PMI</w:t>
      </w:r>
      <w:r>
        <w:rPr>
          <w:color w:val="0D0E0E"/>
          <w:spacing w:val="-1"/>
        </w:rPr>
        <w:t> </w:t>
      </w:r>
      <w:r>
        <w:rPr>
          <w:color w:val="0D0E0E"/>
        </w:rPr>
        <w:t>serviços</w:t>
      </w:r>
      <w:r>
        <w:rPr>
          <w:color w:val="0D0E0E"/>
          <w:spacing w:val="-1"/>
        </w:rPr>
        <w:t> </w:t>
      </w:r>
      <w:r>
        <w:rPr>
          <w:color w:val="0D0E0E"/>
        </w:rPr>
        <w:t>–</w:t>
      </w:r>
      <w:r>
        <w:rPr>
          <w:color w:val="0D0E0E"/>
          <w:spacing w:val="1"/>
        </w:rPr>
        <w:t> </w:t>
      </w:r>
      <w:r>
        <w:rPr>
          <w:color w:val="0D0E0E"/>
          <w:spacing w:val="-2"/>
        </w:rPr>
        <w:t>China:</w:t>
      </w:r>
    </w:p>
    <w:p>
      <w:pPr>
        <w:pStyle w:val="BodyText"/>
        <w:spacing w:before="11"/>
        <w:rPr>
          <w:sz w:val="5"/>
        </w:rPr>
      </w:pPr>
      <w:r>
        <w:rPr>
          <w:sz w:val="5"/>
        </w:rPr>
        <w:drawing>
          <wp:anchor distT="0" distB="0" distL="0" distR="0" allowOverlap="1" layoutInCell="1" locked="0" behindDoc="1" simplePos="0" relativeHeight="487598592">
            <wp:simplePos x="0" y="0"/>
            <wp:positionH relativeFrom="page">
              <wp:posOffset>1089660</wp:posOffset>
            </wp:positionH>
            <wp:positionV relativeFrom="paragraph">
              <wp:posOffset>61106</wp:posOffset>
            </wp:positionV>
            <wp:extent cx="5678345" cy="2762059"/>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26" cstate="print"/>
                    <a:stretch>
                      <a:fillRect/>
                    </a:stretch>
                  </pic:blipFill>
                  <pic:spPr>
                    <a:xfrm>
                      <a:off x="0" y="0"/>
                      <a:ext cx="5678345" cy="2762059"/>
                    </a:xfrm>
                    <a:prstGeom prst="rect">
                      <a:avLst/>
                    </a:prstGeom>
                  </pic:spPr>
                </pic:pic>
              </a:graphicData>
            </a:graphic>
          </wp:anchor>
        </w:drawing>
      </w:r>
    </w:p>
    <w:p>
      <w:pPr>
        <w:spacing w:before="0"/>
        <w:ind w:left="2025" w:right="0" w:firstLine="0"/>
        <w:jc w:val="left"/>
        <w:rPr>
          <w:i/>
          <w:sz w:val="20"/>
        </w:rPr>
      </w:pPr>
      <w:r>
        <w:rPr>
          <w:i/>
          <w:color w:val="0D0E0E"/>
          <w:spacing w:val="-2"/>
          <w:sz w:val="20"/>
        </w:rPr>
        <w:t>Fonte:</w:t>
      </w:r>
      <w:r>
        <w:rPr>
          <w:i/>
          <w:color w:val="0D0E0E"/>
          <w:spacing w:val="48"/>
          <w:sz w:val="20"/>
        </w:rPr>
        <w:t> </w:t>
      </w:r>
      <w:r>
        <w:rPr>
          <w:i/>
          <w:color w:val="0D0E0E"/>
          <w:spacing w:val="-2"/>
          <w:sz w:val="20"/>
        </w:rPr>
        <w:t>https://tradingeconomics.com/china/services-</w:t>
      </w:r>
      <w:r>
        <w:rPr>
          <w:i/>
          <w:color w:val="0D0E0E"/>
          <w:spacing w:val="-5"/>
          <w:sz w:val="20"/>
        </w:rPr>
        <w:t>pmi</w:t>
      </w:r>
    </w:p>
    <w:p>
      <w:pPr>
        <w:pStyle w:val="BodyText"/>
        <w:spacing w:before="224"/>
        <w:ind w:left="609" w:right="1260" w:firstLine="707"/>
        <w:jc w:val="both"/>
      </w:pPr>
      <w:r>
        <w:rPr>
          <w:color w:val="0D0E0E"/>
        </w:rPr>
        <w:t>E embalando com essa expectativa de melhora, o setor industrial apresentou um tímido avanço, porém valioso, para o PMI manufatureiro.</w:t>
      </w:r>
    </w:p>
    <w:p>
      <w:pPr>
        <w:pStyle w:val="BodyText"/>
        <w:spacing w:before="239"/>
        <w:ind w:left="609" w:right="1261" w:firstLine="707"/>
        <w:jc w:val="both"/>
      </w:pPr>
      <w:r>
        <w:rPr>
          <w:color w:val="0D0E0E"/>
        </w:rPr>
        <w:t>Em dezembro, o indicador registrou 50,80 pontos ante 50,70 de novembro, superando a projeção de 50,40 pontos do mercado, além de ser a pontuação mais elevada desde agosto do mesmo ano.</w:t>
      </w:r>
    </w:p>
    <w:p>
      <w:pPr>
        <w:pStyle w:val="BodyText"/>
        <w:spacing w:before="242"/>
        <w:ind w:left="609" w:right="1264" w:firstLine="707"/>
        <w:jc w:val="both"/>
      </w:pPr>
      <w:r>
        <w:rPr>
          <w:color w:val="0D0E0E"/>
        </w:rPr>
        <w:t>Os principais</w:t>
      </w:r>
      <w:r>
        <w:rPr>
          <w:color w:val="0D0E0E"/>
          <w:spacing w:val="-2"/>
        </w:rPr>
        <w:t> </w:t>
      </w:r>
      <w:r>
        <w:rPr>
          <w:color w:val="0D0E0E"/>
        </w:rPr>
        <w:t>fatores</w:t>
      </w:r>
      <w:r>
        <w:rPr>
          <w:color w:val="0D0E0E"/>
          <w:spacing w:val="-2"/>
        </w:rPr>
        <w:t> </w:t>
      </w:r>
      <w:r>
        <w:rPr>
          <w:color w:val="0D0E0E"/>
        </w:rPr>
        <w:t>que</w:t>
      </w:r>
      <w:r>
        <w:rPr>
          <w:color w:val="0D0E0E"/>
          <w:spacing w:val="-1"/>
        </w:rPr>
        <w:t> </w:t>
      </w:r>
      <w:r>
        <w:rPr>
          <w:color w:val="0D0E0E"/>
        </w:rPr>
        <w:t>impulsionaram</w:t>
      </w:r>
      <w:r>
        <w:rPr>
          <w:color w:val="0D0E0E"/>
          <w:spacing w:val="-1"/>
        </w:rPr>
        <w:t> </w:t>
      </w:r>
      <w:r>
        <w:rPr>
          <w:color w:val="0D0E0E"/>
        </w:rPr>
        <w:t>essa</w:t>
      </w:r>
      <w:r>
        <w:rPr>
          <w:color w:val="0D0E0E"/>
          <w:spacing w:val="-2"/>
        </w:rPr>
        <w:t> </w:t>
      </w:r>
      <w:r>
        <w:rPr>
          <w:color w:val="0D0E0E"/>
        </w:rPr>
        <w:t>melhora</w:t>
      </w:r>
      <w:r>
        <w:rPr>
          <w:color w:val="0D0E0E"/>
          <w:spacing w:val="-2"/>
        </w:rPr>
        <w:t> </w:t>
      </w:r>
      <w:r>
        <w:rPr>
          <w:color w:val="0D0E0E"/>
        </w:rPr>
        <w:t>na</w:t>
      </w:r>
      <w:r>
        <w:rPr>
          <w:color w:val="0D0E0E"/>
          <w:spacing w:val="-4"/>
        </w:rPr>
        <w:t> </w:t>
      </w:r>
      <w:r>
        <w:rPr>
          <w:color w:val="0D0E0E"/>
        </w:rPr>
        <w:t>projeção</w:t>
      </w:r>
      <w:r>
        <w:rPr>
          <w:color w:val="0D0E0E"/>
          <w:spacing w:val="-1"/>
        </w:rPr>
        <w:t> </w:t>
      </w:r>
      <w:r>
        <w:rPr>
          <w:color w:val="0D0E0E"/>
        </w:rPr>
        <w:t>são</w:t>
      </w:r>
      <w:r>
        <w:rPr>
          <w:color w:val="0D0E0E"/>
          <w:spacing w:val="-1"/>
        </w:rPr>
        <w:t> </w:t>
      </w:r>
      <w:r>
        <w:rPr>
          <w:color w:val="0D0E0E"/>
        </w:rPr>
        <w:t>o</w:t>
      </w:r>
      <w:r>
        <w:rPr>
          <w:color w:val="0D0E0E"/>
          <w:spacing w:val="-4"/>
        </w:rPr>
        <w:t> </w:t>
      </w:r>
      <w:r>
        <w:rPr>
          <w:color w:val="0D0E0E"/>
        </w:rPr>
        <w:t>número</w:t>
      </w:r>
      <w:r>
        <w:rPr>
          <w:color w:val="0D0E0E"/>
          <w:spacing w:val="-1"/>
        </w:rPr>
        <w:t> </w:t>
      </w:r>
      <w:r>
        <w:rPr>
          <w:color w:val="0D0E0E"/>
        </w:rPr>
        <w:t>de pedidos que cresceram a um ritmo elevado que não se via desde fevereiro.</w:t>
      </w:r>
    </w:p>
    <w:p>
      <w:pPr>
        <w:pStyle w:val="BodyText"/>
        <w:spacing w:before="240"/>
        <w:ind w:left="706" w:right="644"/>
        <w:jc w:val="center"/>
      </w:pPr>
      <w:r>
        <w:rPr/>
        <w:drawing>
          <wp:anchor distT="0" distB="0" distL="0" distR="0" allowOverlap="1" layoutInCell="1" locked="0" behindDoc="1" simplePos="0" relativeHeight="487599104">
            <wp:simplePos x="0" y="0"/>
            <wp:positionH relativeFrom="page">
              <wp:posOffset>1089660</wp:posOffset>
            </wp:positionH>
            <wp:positionV relativeFrom="paragraph">
              <wp:posOffset>366000</wp:posOffset>
            </wp:positionV>
            <wp:extent cx="5657849" cy="2724150"/>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27" cstate="print"/>
                    <a:stretch>
                      <a:fillRect/>
                    </a:stretch>
                  </pic:blipFill>
                  <pic:spPr>
                    <a:xfrm>
                      <a:off x="0" y="0"/>
                      <a:ext cx="5657849" cy="2724150"/>
                    </a:xfrm>
                    <a:prstGeom prst="rect">
                      <a:avLst/>
                    </a:prstGeom>
                  </pic:spPr>
                </pic:pic>
              </a:graphicData>
            </a:graphic>
          </wp:anchor>
        </w:drawing>
      </w:r>
      <w:r>
        <w:rPr>
          <w:color w:val="0D0E0E"/>
        </w:rPr>
        <w:t>PMI</w:t>
      </w:r>
      <w:r>
        <w:rPr>
          <w:color w:val="0D0E0E"/>
          <w:spacing w:val="-2"/>
        </w:rPr>
        <w:t> </w:t>
      </w:r>
      <w:r>
        <w:rPr>
          <w:color w:val="0D0E0E"/>
        </w:rPr>
        <w:t>industrial</w:t>
      </w:r>
      <w:r>
        <w:rPr>
          <w:color w:val="0D0E0E"/>
          <w:spacing w:val="-1"/>
        </w:rPr>
        <w:t> </w:t>
      </w:r>
      <w:r>
        <w:rPr>
          <w:color w:val="0D0E0E"/>
        </w:rPr>
        <w:t>– </w:t>
      </w:r>
      <w:r>
        <w:rPr>
          <w:color w:val="0D0E0E"/>
          <w:spacing w:val="-2"/>
        </w:rPr>
        <w:t>China:</w:t>
      </w:r>
    </w:p>
    <w:p>
      <w:pPr>
        <w:spacing w:before="4"/>
        <w:ind w:left="1317" w:right="0" w:firstLine="0"/>
        <w:jc w:val="left"/>
        <w:rPr>
          <w:i/>
          <w:sz w:val="20"/>
        </w:rPr>
      </w:pPr>
      <w:r>
        <w:rPr>
          <w:i/>
          <w:color w:val="0D0E0E"/>
          <w:spacing w:val="-2"/>
          <w:sz w:val="20"/>
        </w:rPr>
        <w:t>Fonte:</w:t>
      </w:r>
      <w:r>
        <w:rPr>
          <w:i/>
          <w:color w:val="0D0E0E"/>
          <w:spacing w:val="50"/>
          <w:sz w:val="20"/>
        </w:rPr>
        <w:t> </w:t>
      </w:r>
      <w:r>
        <w:rPr>
          <w:i/>
          <w:color w:val="0D0E0E"/>
          <w:spacing w:val="-2"/>
          <w:sz w:val="20"/>
        </w:rPr>
        <w:t>https://tradingeconomics.com/china/manufacturing-</w:t>
      </w:r>
      <w:r>
        <w:rPr>
          <w:i/>
          <w:color w:val="0D0E0E"/>
          <w:spacing w:val="-5"/>
          <w:sz w:val="20"/>
        </w:rPr>
        <w:t>pmi</w:t>
      </w:r>
    </w:p>
    <w:p>
      <w:pPr>
        <w:pStyle w:val="BodyText"/>
        <w:spacing w:line="242" w:lineRule="auto" w:before="236"/>
        <w:ind w:left="609" w:right="1263" w:firstLine="707"/>
        <w:jc w:val="both"/>
      </w:pPr>
      <w:r>
        <w:rPr>
          <w:color w:val="0D0E0E"/>
        </w:rPr>
        <w:t>A síntese dos dois indicadores representada pelo PMI composto apresentou uma pontuação que não se via desde junho, aos 52,60 pontos versus 51,60 de novembro.</w:t>
      </w:r>
    </w:p>
    <w:p>
      <w:pPr>
        <w:pStyle w:val="BodyText"/>
        <w:spacing w:after="0" w:line="242" w:lineRule="auto"/>
        <w:jc w:val="both"/>
        <w:sectPr>
          <w:pgSz w:w="11920" w:h="16850"/>
          <w:pgMar w:top="1320" w:bottom="280" w:left="992" w:right="141"/>
        </w:sectPr>
      </w:pPr>
    </w:p>
    <w:p>
      <w:pPr>
        <w:pStyle w:val="BodyText"/>
        <w:spacing w:before="39"/>
        <w:ind w:left="706" w:right="644"/>
        <w:jc w:val="center"/>
      </w:pPr>
      <w:r>
        <w:rPr/>
        <w:drawing>
          <wp:anchor distT="0" distB="0" distL="0" distR="0" allowOverlap="1" layoutInCell="1" locked="0" behindDoc="1" simplePos="0" relativeHeight="487599616">
            <wp:simplePos x="0" y="0"/>
            <wp:positionH relativeFrom="page">
              <wp:posOffset>1082039</wp:posOffset>
            </wp:positionH>
            <wp:positionV relativeFrom="paragraph">
              <wp:posOffset>249681</wp:posOffset>
            </wp:positionV>
            <wp:extent cx="5600700" cy="2781300"/>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8" cstate="print"/>
                    <a:stretch>
                      <a:fillRect/>
                    </a:stretch>
                  </pic:blipFill>
                  <pic:spPr>
                    <a:xfrm>
                      <a:off x="0" y="0"/>
                      <a:ext cx="5600700" cy="2781300"/>
                    </a:xfrm>
                    <a:prstGeom prst="rect">
                      <a:avLst/>
                    </a:prstGeom>
                  </pic:spPr>
                </pic:pic>
              </a:graphicData>
            </a:graphic>
          </wp:anchor>
        </w:drawing>
      </w:r>
      <w:r>
        <w:rPr>
          <w:color w:val="0D0E0E"/>
        </w:rPr>
        <w:t>PMI composto</w:t>
      </w:r>
      <w:r>
        <w:rPr>
          <w:color w:val="0D0E0E"/>
          <w:spacing w:val="-1"/>
        </w:rPr>
        <w:t> </w:t>
      </w:r>
      <w:r>
        <w:rPr>
          <w:color w:val="0D0E0E"/>
        </w:rPr>
        <w:t>–</w:t>
      </w:r>
      <w:r>
        <w:rPr>
          <w:color w:val="0D0E0E"/>
          <w:spacing w:val="1"/>
        </w:rPr>
        <w:t> </w:t>
      </w:r>
      <w:r>
        <w:rPr>
          <w:color w:val="0D0E0E"/>
          <w:spacing w:val="-2"/>
        </w:rPr>
        <w:t>China:</w:t>
      </w:r>
    </w:p>
    <w:p>
      <w:pPr>
        <w:spacing w:before="2"/>
        <w:ind w:left="1317" w:right="0" w:firstLine="0"/>
        <w:jc w:val="left"/>
        <w:rPr>
          <w:i/>
          <w:sz w:val="20"/>
        </w:rPr>
      </w:pPr>
      <w:r>
        <w:rPr>
          <w:i/>
          <w:color w:val="0D0E0E"/>
          <w:spacing w:val="-2"/>
          <w:sz w:val="20"/>
        </w:rPr>
        <w:t>Fonte:</w:t>
      </w:r>
      <w:r>
        <w:rPr>
          <w:i/>
          <w:color w:val="0D0E0E"/>
          <w:spacing w:val="54"/>
          <w:sz w:val="20"/>
        </w:rPr>
        <w:t> </w:t>
      </w:r>
      <w:r>
        <w:rPr>
          <w:i/>
          <w:color w:val="0D0E0E"/>
          <w:spacing w:val="-2"/>
          <w:sz w:val="20"/>
        </w:rPr>
        <w:t>https://tradingeconomics.com/china/composite-</w:t>
      </w:r>
      <w:r>
        <w:rPr>
          <w:i/>
          <w:color w:val="0D0E0E"/>
          <w:spacing w:val="-5"/>
          <w:sz w:val="20"/>
        </w:rPr>
        <w:t>pmi</w:t>
      </w:r>
    </w:p>
    <w:p>
      <w:pPr>
        <w:spacing w:after="0"/>
        <w:jc w:val="left"/>
        <w:rPr>
          <w:i/>
          <w:sz w:val="20"/>
        </w:rPr>
        <w:sectPr>
          <w:pgSz w:w="11920" w:h="16850"/>
          <w:pgMar w:top="1320" w:bottom="280" w:left="992" w:right="141"/>
        </w:sectPr>
      </w:pPr>
    </w:p>
    <w:p>
      <w:pPr>
        <w:pStyle w:val="Heading1"/>
      </w:pPr>
      <w:r>
        <w:rPr>
          <w:spacing w:val="-2"/>
        </w:rPr>
        <w:t>Brasil</w:t>
      </w:r>
    </w:p>
    <w:p>
      <w:pPr>
        <w:pStyle w:val="Heading3"/>
        <w:spacing w:before="240"/>
      </w:pPr>
      <w:r>
        <w:rPr>
          <w:spacing w:val="-2"/>
        </w:rPr>
        <w:t>Juros</w:t>
      </w:r>
    </w:p>
    <w:p>
      <w:pPr>
        <w:pStyle w:val="BodyText"/>
        <w:spacing w:before="239"/>
        <w:ind w:left="609" w:right="1253" w:firstLine="707"/>
        <w:jc w:val="both"/>
      </w:pPr>
      <w:r>
        <w:rPr>
          <w:color w:val="0D0E0E"/>
        </w:rPr>
        <w:t>Seguindo</w:t>
      </w:r>
      <w:r>
        <w:rPr>
          <w:color w:val="0D0E0E"/>
          <w:spacing w:val="-1"/>
        </w:rPr>
        <w:t> </w:t>
      </w:r>
      <w:r>
        <w:rPr>
          <w:color w:val="0D0E0E"/>
        </w:rPr>
        <w:t>o</w:t>
      </w:r>
      <w:r>
        <w:rPr>
          <w:color w:val="0D0E0E"/>
          <w:spacing w:val="-3"/>
        </w:rPr>
        <w:t> </w:t>
      </w:r>
      <w:r>
        <w:rPr>
          <w:color w:val="0D0E0E"/>
        </w:rPr>
        <w:t>que</w:t>
      </w:r>
      <w:r>
        <w:rPr>
          <w:color w:val="0D0E0E"/>
          <w:spacing w:val="-3"/>
        </w:rPr>
        <w:t> </w:t>
      </w:r>
      <w:r>
        <w:rPr>
          <w:color w:val="0D0E0E"/>
        </w:rPr>
        <w:t>havia</w:t>
      </w:r>
      <w:r>
        <w:rPr>
          <w:color w:val="0D0E0E"/>
          <w:spacing w:val="-2"/>
        </w:rPr>
        <w:t> </w:t>
      </w:r>
      <w:r>
        <w:rPr>
          <w:color w:val="0D0E0E"/>
        </w:rPr>
        <w:t>sido</w:t>
      </w:r>
      <w:r>
        <w:rPr>
          <w:color w:val="0D0E0E"/>
          <w:spacing w:val="-1"/>
        </w:rPr>
        <w:t> </w:t>
      </w:r>
      <w:r>
        <w:rPr>
          <w:color w:val="0D0E0E"/>
        </w:rPr>
        <w:t>alinhado</w:t>
      </w:r>
      <w:r>
        <w:rPr>
          <w:color w:val="0D0E0E"/>
          <w:spacing w:val="-3"/>
        </w:rPr>
        <w:t> </w:t>
      </w:r>
      <w:r>
        <w:rPr>
          <w:color w:val="0D0E0E"/>
        </w:rPr>
        <w:t>pelo Banco</w:t>
      </w:r>
      <w:r>
        <w:rPr>
          <w:color w:val="0D0E0E"/>
          <w:spacing w:val="-4"/>
        </w:rPr>
        <w:t> </w:t>
      </w:r>
      <w:r>
        <w:rPr>
          <w:color w:val="0D0E0E"/>
        </w:rPr>
        <w:t>Central</w:t>
      </w:r>
      <w:r>
        <w:rPr>
          <w:color w:val="0D0E0E"/>
          <w:spacing w:val="-4"/>
        </w:rPr>
        <w:t> </w:t>
      </w:r>
      <w:r>
        <w:rPr>
          <w:color w:val="0D0E0E"/>
        </w:rPr>
        <w:t>(Bacen),</w:t>
      </w:r>
      <w:r>
        <w:rPr>
          <w:color w:val="0D0E0E"/>
          <w:spacing w:val="-1"/>
        </w:rPr>
        <w:t> </w:t>
      </w:r>
      <w:r>
        <w:rPr>
          <w:color w:val="0D0E0E"/>
        </w:rPr>
        <w:t>o</w:t>
      </w:r>
      <w:r>
        <w:rPr>
          <w:color w:val="0D0E0E"/>
          <w:spacing w:val="-1"/>
        </w:rPr>
        <w:t> </w:t>
      </w:r>
      <w:r>
        <w:rPr>
          <w:color w:val="0D0E0E"/>
        </w:rPr>
        <w:t>Comitê</w:t>
      </w:r>
      <w:r>
        <w:rPr>
          <w:color w:val="0D0E0E"/>
          <w:spacing w:val="-3"/>
        </w:rPr>
        <w:t> </w:t>
      </w:r>
      <w:r>
        <w:rPr>
          <w:color w:val="0D0E0E"/>
        </w:rPr>
        <w:t>de</w:t>
      </w:r>
      <w:r>
        <w:rPr>
          <w:color w:val="0D0E0E"/>
          <w:spacing w:val="-1"/>
        </w:rPr>
        <w:t> </w:t>
      </w:r>
      <w:r>
        <w:rPr>
          <w:color w:val="0D0E0E"/>
        </w:rPr>
        <w:t>Política Monetária</w:t>
      </w:r>
      <w:r>
        <w:rPr>
          <w:color w:val="0D0E0E"/>
          <w:spacing w:val="-8"/>
        </w:rPr>
        <w:t> </w:t>
      </w:r>
      <w:r>
        <w:rPr>
          <w:color w:val="0D0E0E"/>
        </w:rPr>
        <w:t>(COPOM)</w:t>
      </w:r>
      <w:r>
        <w:rPr>
          <w:color w:val="0D0E0E"/>
          <w:spacing w:val="-10"/>
        </w:rPr>
        <w:t> </w:t>
      </w:r>
      <w:r>
        <w:rPr>
          <w:color w:val="0D0E0E"/>
        </w:rPr>
        <w:t>realizou</w:t>
      </w:r>
      <w:r>
        <w:rPr>
          <w:color w:val="0D0E0E"/>
          <w:spacing w:val="-7"/>
        </w:rPr>
        <w:t> </w:t>
      </w:r>
      <w:r>
        <w:rPr>
          <w:color w:val="0D0E0E"/>
        </w:rPr>
        <w:t>outro</w:t>
      </w:r>
      <w:r>
        <w:rPr>
          <w:color w:val="0D0E0E"/>
          <w:spacing w:val="-8"/>
        </w:rPr>
        <w:t> </w:t>
      </w:r>
      <w:r>
        <w:rPr>
          <w:color w:val="0D0E0E"/>
        </w:rPr>
        <w:t>corte</w:t>
      </w:r>
      <w:r>
        <w:rPr>
          <w:color w:val="0D0E0E"/>
          <w:spacing w:val="-11"/>
        </w:rPr>
        <w:t> </w:t>
      </w:r>
      <w:r>
        <w:rPr>
          <w:color w:val="0D0E0E"/>
        </w:rPr>
        <w:t>de</w:t>
      </w:r>
      <w:r>
        <w:rPr>
          <w:color w:val="0D0E0E"/>
          <w:spacing w:val="-8"/>
        </w:rPr>
        <w:t> </w:t>
      </w:r>
      <w:r>
        <w:rPr>
          <w:color w:val="0D0E0E"/>
        </w:rPr>
        <w:t>0,5</w:t>
      </w:r>
      <w:r>
        <w:rPr>
          <w:color w:val="0D0E0E"/>
          <w:spacing w:val="-10"/>
        </w:rPr>
        <w:t> </w:t>
      </w:r>
      <w:r>
        <w:rPr>
          <w:color w:val="0D0E0E"/>
        </w:rPr>
        <w:t>p.p</w:t>
      </w:r>
      <w:r>
        <w:rPr>
          <w:color w:val="0D0E0E"/>
          <w:spacing w:val="-8"/>
        </w:rPr>
        <w:t> </w:t>
      </w:r>
      <w:r>
        <w:rPr>
          <w:color w:val="0D0E0E"/>
        </w:rPr>
        <w:t>na</w:t>
      </w:r>
      <w:r>
        <w:rPr>
          <w:color w:val="0D0E0E"/>
          <w:spacing w:val="-9"/>
        </w:rPr>
        <w:t> </w:t>
      </w:r>
      <w:r>
        <w:rPr>
          <w:color w:val="0D0E0E"/>
        </w:rPr>
        <w:t>Taxa</w:t>
      </w:r>
      <w:r>
        <w:rPr>
          <w:color w:val="0D0E0E"/>
          <w:spacing w:val="-9"/>
        </w:rPr>
        <w:t> </w:t>
      </w:r>
      <w:r>
        <w:rPr>
          <w:color w:val="0D0E0E"/>
        </w:rPr>
        <w:t>Selic,</w:t>
      </w:r>
      <w:r>
        <w:rPr>
          <w:color w:val="0D0E0E"/>
          <w:spacing w:val="-3"/>
        </w:rPr>
        <w:t> </w:t>
      </w:r>
      <w:r>
        <w:rPr>
          <w:color w:val="0D0E0E"/>
        </w:rPr>
        <w:t>chegando</w:t>
      </w:r>
      <w:r>
        <w:rPr>
          <w:color w:val="0D0E0E"/>
          <w:spacing w:val="-6"/>
        </w:rPr>
        <w:t> </w:t>
      </w:r>
      <w:r>
        <w:rPr>
          <w:color w:val="0D0E0E"/>
        </w:rPr>
        <w:t>ao</w:t>
      </w:r>
      <w:r>
        <w:rPr>
          <w:color w:val="0D0E0E"/>
          <w:spacing w:val="-10"/>
        </w:rPr>
        <w:t> </w:t>
      </w:r>
      <w:r>
        <w:rPr>
          <w:color w:val="0D0E0E"/>
        </w:rPr>
        <w:t>final</w:t>
      </w:r>
      <w:r>
        <w:rPr>
          <w:color w:val="0D0E0E"/>
          <w:spacing w:val="-11"/>
        </w:rPr>
        <w:t> </w:t>
      </w:r>
      <w:r>
        <w:rPr>
          <w:color w:val="0D0E0E"/>
        </w:rPr>
        <w:t>de</w:t>
      </w:r>
      <w:r>
        <w:rPr>
          <w:color w:val="0D0E0E"/>
          <w:spacing w:val="-8"/>
        </w:rPr>
        <w:t> </w:t>
      </w:r>
      <w:r>
        <w:rPr>
          <w:color w:val="0D0E0E"/>
        </w:rPr>
        <w:t>2023 aos 11,75% ao ano.</w:t>
      </w:r>
    </w:p>
    <w:p>
      <w:pPr>
        <w:pStyle w:val="BodyText"/>
        <w:spacing w:before="241"/>
        <w:ind w:left="609" w:right="1254" w:firstLine="707"/>
        <w:jc w:val="both"/>
      </w:pPr>
      <w:r>
        <w:rPr>
          <w:color w:val="0D0E0E"/>
        </w:rPr>
        <w:t>Em comunicado junto à decisão, a instituição presidida por Roberto Campos Neto apresentou um discurso mais “dovish” e otimista para o país frente aos desafios internos que estão sendo, sob ótica da instituição, cumpridos com êxito e frente à melhora de perspectiva inflacionária no Brasil e ao redor do mundo.</w:t>
      </w:r>
    </w:p>
    <w:p>
      <w:pPr>
        <w:pStyle w:val="BodyText"/>
        <w:spacing w:before="240"/>
        <w:ind w:left="609" w:right="1253" w:firstLine="707"/>
        <w:jc w:val="both"/>
      </w:pPr>
      <w:r>
        <w:rPr>
          <w:color w:val="0D0E0E"/>
        </w:rPr>
        <w:t>A decisão do percentual de corte foi unânime em todo o comitê, além de terem enfatizado que cortes de mesma magnitude devem ocorrer nas próximas reuniões.</w:t>
      </w:r>
    </w:p>
    <w:p>
      <w:pPr>
        <w:pStyle w:val="BodyText"/>
      </w:pPr>
    </w:p>
    <w:p>
      <w:pPr>
        <w:pStyle w:val="BodyText"/>
        <w:spacing w:before="237"/>
      </w:pPr>
    </w:p>
    <w:p>
      <w:pPr>
        <w:pStyle w:val="Heading3"/>
        <w:spacing w:before="1"/>
      </w:pPr>
      <w:r>
        <w:rPr>
          <w:spacing w:val="-2"/>
        </w:rPr>
        <w:t>Inflação</w:t>
      </w:r>
    </w:p>
    <w:p>
      <w:pPr>
        <w:pStyle w:val="BodyText"/>
        <w:spacing w:before="238"/>
        <w:ind w:left="609" w:right="1261" w:firstLine="707"/>
        <w:jc w:val="both"/>
      </w:pPr>
      <w:r>
        <w:rPr>
          <w:color w:val="0D0E0E"/>
        </w:rPr>
        <w:t>Dentro</w:t>
      </w:r>
      <w:r>
        <w:rPr>
          <w:color w:val="0D0E0E"/>
          <w:spacing w:val="-1"/>
        </w:rPr>
        <w:t> </w:t>
      </w:r>
      <w:r>
        <w:rPr>
          <w:color w:val="0D0E0E"/>
        </w:rPr>
        <w:t>da</w:t>
      </w:r>
      <w:r>
        <w:rPr>
          <w:color w:val="0D0E0E"/>
          <w:spacing w:val="-2"/>
        </w:rPr>
        <w:t> </w:t>
      </w:r>
      <w:r>
        <w:rPr>
          <w:color w:val="0D0E0E"/>
        </w:rPr>
        <w:t>meta, o</w:t>
      </w:r>
      <w:r>
        <w:rPr>
          <w:color w:val="0D0E0E"/>
          <w:spacing w:val="-1"/>
        </w:rPr>
        <w:t> </w:t>
      </w:r>
      <w:r>
        <w:rPr>
          <w:color w:val="0D0E0E"/>
        </w:rPr>
        <w:t>IPCA</w:t>
      </w:r>
      <w:r>
        <w:rPr>
          <w:color w:val="0D0E0E"/>
          <w:spacing w:val="-2"/>
        </w:rPr>
        <w:t> </w:t>
      </w:r>
      <w:r>
        <w:rPr>
          <w:color w:val="0D0E0E"/>
        </w:rPr>
        <w:t>de</w:t>
      </w:r>
      <w:r>
        <w:rPr>
          <w:color w:val="0D0E0E"/>
          <w:spacing w:val="-1"/>
        </w:rPr>
        <w:t> </w:t>
      </w:r>
      <w:r>
        <w:rPr>
          <w:color w:val="0D0E0E"/>
        </w:rPr>
        <w:t>2023 fechou em</w:t>
      </w:r>
      <w:r>
        <w:rPr>
          <w:color w:val="0D0E0E"/>
          <w:spacing w:val="-1"/>
        </w:rPr>
        <w:t> </w:t>
      </w:r>
      <w:r>
        <w:rPr>
          <w:color w:val="0D0E0E"/>
        </w:rPr>
        <w:t>4,62% no mês</w:t>
      </w:r>
      <w:r>
        <w:rPr>
          <w:color w:val="0D0E0E"/>
          <w:spacing w:val="-2"/>
        </w:rPr>
        <w:t> </w:t>
      </w:r>
      <w:r>
        <w:rPr>
          <w:color w:val="0D0E0E"/>
        </w:rPr>
        <w:t>de</w:t>
      </w:r>
      <w:r>
        <w:rPr>
          <w:color w:val="0D0E0E"/>
          <w:spacing w:val="-1"/>
        </w:rPr>
        <w:t> </w:t>
      </w:r>
      <w:r>
        <w:rPr>
          <w:color w:val="0D0E0E"/>
        </w:rPr>
        <w:t>dezembro.</w:t>
      </w:r>
      <w:r>
        <w:rPr>
          <w:color w:val="0D0E0E"/>
          <w:spacing w:val="-2"/>
        </w:rPr>
        <w:t> </w:t>
      </w:r>
      <w:r>
        <w:rPr>
          <w:color w:val="0D0E0E"/>
        </w:rPr>
        <w:t>No mês, os preços aceleraram 0,56% segundo divulgação do IBGE versus 0,28% de novembro.</w:t>
      </w:r>
    </w:p>
    <w:p>
      <w:pPr>
        <w:pStyle w:val="BodyText"/>
        <w:spacing w:before="240"/>
        <w:ind w:left="609" w:right="1250" w:firstLine="707"/>
        <w:jc w:val="both"/>
      </w:pPr>
      <w:r>
        <w:rPr>
          <w:color w:val="0D0E0E"/>
        </w:rPr>
        <w:t>O</w:t>
      </w:r>
      <w:r>
        <w:rPr>
          <w:color w:val="0D0E0E"/>
          <w:spacing w:val="-4"/>
        </w:rPr>
        <w:t> </w:t>
      </w:r>
      <w:r>
        <w:rPr>
          <w:color w:val="0D0E0E"/>
        </w:rPr>
        <w:t>trabalho</w:t>
      </w:r>
      <w:r>
        <w:rPr>
          <w:color w:val="0D0E0E"/>
          <w:spacing w:val="-6"/>
        </w:rPr>
        <w:t> </w:t>
      </w:r>
      <w:r>
        <w:rPr>
          <w:color w:val="0D0E0E"/>
        </w:rPr>
        <w:t>do</w:t>
      </w:r>
      <w:r>
        <w:rPr>
          <w:color w:val="0D0E0E"/>
          <w:spacing w:val="-6"/>
        </w:rPr>
        <w:t> </w:t>
      </w:r>
      <w:r>
        <w:rPr>
          <w:color w:val="0D0E0E"/>
        </w:rPr>
        <w:t>Banco</w:t>
      </w:r>
      <w:r>
        <w:rPr>
          <w:color w:val="0D0E0E"/>
          <w:spacing w:val="-6"/>
        </w:rPr>
        <w:t> </w:t>
      </w:r>
      <w:r>
        <w:rPr>
          <w:color w:val="0D0E0E"/>
        </w:rPr>
        <w:t>Central</w:t>
      </w:r>
      <w:r>
        <w:rPr>
          <w:color w:val="0D0E0E"/>
          <w:spacing w:val="-6"/>
        </w:rPr>
        <w:t> </w:t>
      </w:r>
      <w:r>
        <w:rPr>
          <w:color w:val="0D0E0E"/>
        </w:rPr>
        <w:t>em</w:t>
      </w:r>
      <w:r>
        <w:rPr>
          <w:color w:val="0D0E0E"/>
          <w:spacing w:val="-6"/>
        </w:rPr>
        <w:t> </w:t>
      </w:r>
      <w:r>
        <w:rPr>
          <w:color w:val="0D0E0E"/>
        </w:rPr>
        <w:t>relação</w:t>
      </w:r>
      <w:r>
        <w:rPr>
          <w:color w:val="0D0E0E"/>
          <w:spacing w:val="-2"/>
        </w:rPr>
        <w:t> </w:t>
      </w:r>
      <w:r>
        <w:rPr>
          <w:color w:val="0D0E0E"/>
        </w:rPr>
        <w:t>aos</w:t>
      </w:r>
      <w:r>
        <w:rPr>
          <w:color w:val="0D0E0E"/>
          <w:spacing w:val="-7"/>
        </w:rPr>
        <w:t> </w:t>
      </w:r>
      <w:r>
        <w:rPr>
          <w:color w:val="0D0E0E"/>
        </w:rPr>
        <w:t>juros,</w:t>
      </w:r>
      <w:r>
        <w:rPr>
          <w:color w:val="0D0E0E"/>
          <w:spacing w:val="-6"/>
        </w:rPr>
        <w:t> </w:t>
      </w:r>
      <w:r>
        <w:rPr>
          <w:color w:val="0D0E0E"/>
        </w:rPr>
        <w:t>surtiu</w:t>
      </w:r>
      <w:r>
        <w:rPr>
          <w:color w:val="0D0E0E"/>
          <w:spacing w:val="-5"/>
        </w:rPr>
        <w:t> </w:t>
      </w:r>
      <w:r>
        <w:rPr>
          <w:color w:val="0D0E0E"/>
        </w:rPr>
        <w:t>o</w:t>
      </w:r>
      <w:r>
        <w:rPr>
          <w:color w:val="0D0E0E"/>
          <w:spacing w:val="-6"/>
        </w:rPr>
        <w:t> </w:t>
      </w:r>
      <w:r>
        <w:rPr>
          <w:color w:val="0D0E0E"/>
        </w:rPr>
        <w:t>efeito</w:t>
      </w:r>
      <w:r>
        <w:rPr>
          <w:color w:val="0D0E0E"/>
          <w:spacing w:val="-6"/>
        </w:rPr>
        <w:t> </w:t>
      </w:r>
      <w:r>
        <w:rPr>
          <w:color w:val="0D0E0E"/>
        </w:rPr>
        <w:t>desejado,</w:t>
      </w:r>
      <w:r>
        <w:rPr>
          <w:color w:val="0D0E0E"/>
          <w:spacing w:val="-6"/>
        </w:rPr>
        <w:t> </w:t>
      </w:r>
      <w:r>
        <w:rPr>
          <w:color w:val="0D0E0E"/>
        </w:rPr>
        <w:t>trazendo a</w:t>
      </w:r>
      <w:r>
        <w:rPr>
          <w:color w:val="0D0E0E"/>
          <w:spacing w:val="-6"/>
        </w:rPr>
        <w:t> </w:t>
      </w:r>
      <w:r>
        <w:rPr>
          <w:color w:val="0D0E0E"/>
        </w:rPr>
        <w:t>inflação</w:t>
      </w:r>
      <w:r>
        <w:rPr>
          <w:color w:val="0D0E0E"/>
          <w:spacing w:val="-10"/>
        </w:rPr>
        <w:t> </w:t>
      </w:r>
      <w:r>
        <w:rPr>
          <w:color w:val="0D0E0E"/>
        </w:rPr>
        <w:t>para</w:t>
      </w:r>
      <w:r>
        <w:rPr>
          <w:color w:val="0D0E0E"/>
          <w:spacing w:val="-7"/>
        </w:rPr>
        <w:t> </w:t>
      </w:r>
      <w:r>
        <w:rPr>
          <w:color w:val="0D0E0E"/>
        </w:rPr>
        <w:t>dentro</w:t>
      </w:r>
      <w:r>
        <w:rPr>
          <w:color w:val="0D0E0E"/>
          <w:spacing w:val="-7"/>
        </w:rPr>
        <w:t> </w:t>
      </w:r>
      <w:r>
        <w:rPr>
          <w:color w:val="0D0E0E"/>
        </w:rPr>
        <w:t>da</w:t>
      </w:r>
      <w:r>
        <w:rPr>
          <w:color w:val="0D0E0E"/>
          <w:spacing w:val="-8"/>
        </w:rPr>
        <w:t> </w:t>
      </w:r>
      <w:r>
        <w:rPr>
          <w:color w:val="0D0E0E"/>
        </w:rPr>
        <w:t>meta</w:t>
      </w:r>
      <w:r>
        <w:rPr>
          <w:color w:val="0D0E0E"/>
          <w:spacing w:val="-8"/>
        </w:rPr>
        <w:t> </w:t>
      </w:r>
      <w:r>
        <w:rPr>
          <w:color w:val="0D0E0E"/>
        </w:rPr>
        <w:t>estabelecida</w:t>
      </w:r>
      <w:r>
        <w:rPr>
          <w:color w:val="0D0E0E"/>
          <w:spacing w:val="-8"/>
        </w:rPr>
        <w:t> </w:t>
      </w:r>
      <w:r>
        <w:rPr>
          <w:color w:val="0D0E0E"/>
        </w:rPr>
        <w:t>pelo</w:t>
      </w:r>
      <w:r>
        <w:rPr>
          <w:color w:val="0D0E0E"/>
          <w:spacing w:val="-7"/>
        </w:rPr>
        <w:t> </w:t>
      </w:r>
      <w:r>
        <w:rPr>
          <w:color w:val="0D0E0E"/>
        </w:rPr>
        <w:t>CMN</w:t>
      </w:r>
      <w:r>
        <w:rPr>
          <w:color w:val="0D0E0E"/>
          <w:spacing w:val="-7"/>
        </w:rPr>
        <w:t> </w:t>
      </w:r>
      <w:r>
        <w:rPr>
          <w:color w:val="0D0E0E"/>
        </w:rPr>
        <w:t>pela</w:t>
      </w:r>
      <w:r>
        <w:rPr>
          <w:color w:val="0D0E0E"/>
          <w:spacing w:val="-9"/>
        </w:rPr>
        <w:t> </w:t>
      </w:r>
      <w:r>
        <w:rPr>
          <w:color w:val="0D0E0E"/>
        </w:rPr>
        <w:t>primeira</w:t>
      </w:r>
      <w:r>
        <w:rPr>
          <w:color w:val="0D0E0E"/>
          <w:spacing w:val="-7"/>
        </w:rPr>
        <w:t> </w:t>
      </w:r>
      <w:r>
        <w:rPr>
          <w:color w:val="0D0E0E"/>
        </w:rPr>
        <w:t>vez</w:t>
      </w:r>
      <w:r>
        <w:rPr>
          <w:color w:val="0D0E0E"/>
          <w:spacing w:val="-7"/>
        </w:rPr>
        <w:t> </w:t>
      </w:r>
      <w:r>
        <w:rPr>
          <w:color w:val="0D0E0E"/>
        </w:rPr>
        <w:t>desde</w:t>
      </w:r>
      <w:r>
        <w:rPr>
          <w:color w:val="0D0E0E"/>
          <w:spacing w:val="-7"/>
        </w:rPr>
        <w:t> </w:t>
      </w:r>
      <w:r>
        <w:rPr>
          <w:color w:val="0D0E0E"/>
        </w:rPr>
        <w:t>2020,</w:t>
      </w:r>
      <w:r>
        <w:rPr>
          <w:color w:val="0D0E0E"/>
          <w:spacing w:val="-8"/>
        </w:rPr>
        <w:t> </w:t>
      </w:r>
      <w:r>
        <w:rPr>
          <w:color w:val="0D0E0E"/>
        </w:rPr>
        <w:t>ano</w:t>
      </w:r>
      <w:r>
        <w:rPr>
          <w:color w:val="0D0E0E"/>
          <w:spacing w:val="-7"/>
        </w:rPr>
        <w:t> </w:t>
      </w:r>
      <w:r>
        <w:rPr>
          <w:color w:val="0D0E0E"/>
        </w:rPr>
        <w:t>de </w:t>
      </w:r>
      <w:r>
        <w:rPr>
          <w:color w:val="0D0E0E"/>
          <w:spacing w:val="-2"/>
        </w:rPr>
        <w:t>pandemia.</w:t>
      </w:r>
    </w:p>
    <w:p>
      <w:pPr>
        <w:pStyle w:val="BodyText"/>
        <w:spacing w:before="240"/>
        <w:ind w:left="1317"/>
      </w:pPr>
      <w:r>
        <w:rPr>
          <w:color w:val="0D0E0E"/>
        </w:rPr>
        <w:t>A</w:t>
      </w:r>
      <w:r>
        <w:rPr>
          <w:color w:val="0D0E0E"/>
          <w:spacing w:val="12"/>
        </w:rPr>
        <w:t> </w:t>
      </w:r>
      <w:r>
        <w:rPr>
          <w:color w:val="0D0E0E"/>
        </w:rPr>
        <w:t>projeção</w:t>
      </w:r>
      <w:r>
        <w:rPr>
          <w:color w:val="0D0E0E"/>
          <w:spacing w:val="13"/>
        </w:rPr>
        <w:t> </w:t>
      </w:r>
      <w:r>
        <w:rPr>
          <w:color w:val="0D0E0E"/>
        </w:rPr>
        <w:t>do</w:t>
      </w:r>
      <w:r>
        <w:rPr>
          <w:color w:val="0D0E0E"/>
          <w:spacing w:val="12"/>
        </w:rPr>
        <w:t> </w:t>
      </w:r>
      <w:r>
        <w:rPr>
          <w:color w:val="0D0E0E"/>
        </w:rPr>
        <w:t>mercado</w:t>
      </w:r>
      <w:r>
        <w:rPr>
          <w:color w:val="0D0E0E"/>
          <w:spacing w:val="11"/>
        </w:rPr>
        <w:t> </w:t>
      </w:r>
      <w:r>
        <w:rPr>
          <w:color w:val="0D0E0E"/>
        </w:rPr>
        <w:t>era</w:t>
      </w:r>
      <w:r>
        <w:rPr>
          <w:color w:val="0D0E0E"/>
          <w:spacing w:val="13"/>
        </w:rPr>
        <w:t> </w:t>
      </w:r>
      <w:r>
        <w:rPr>
          <w:color w:val="0D0E0E"/>
        </w:rPr>
        <w:t>de</w:t>
      </w:r>
      <w:r>
        <w:rPr>
          <w:color w:val="0D0E0E"/>
          <w:spacing w:val="12"/>
        </w:rPr>
        <w:t> </w:t>
      </w:r>
      <w:r>
        <w:rPr>
          <w:color w:val="0D0E0E"/>
        </w:rPr>
        <w:t>0,49%</w:t>
      </w:r>
      <w:r>
        <w:rPr>
          <w:color w:val="0D0E0E"/>
          <w:spacing w:val="11"/>
        </w:rPr>
        <w:t> </w:t>
      </w:r>
      <w:r>
        <w:rPr>
          <w:color w:val="0D0E0E"/>
        </w:rPr>
        <w:t>para</w:t>
      </w:r>
      <w:r>
        <w:rPr>
          <w:color w:val="0D0E0E"/>
          <w:spacing w:val="11"/>
        </w:rPr>
        <w:t> </w:t>
      </w:r>
      <w:r>
        <w:rPr>
          <w:color w:val="0D0E0E"/>
        </w:rPr>
        <w:t>o</w:t>
      </w:r>
      <w:r>
        <w:rPr>
          <w:color w:val="0D0E0E"/>
          <w:spacing w:val="12"/>
        </w:rPr>
        <w:t> </w:t>
      </w:r>
      <w:r>
        <w:rPr>
          <w:color w:val="0D0E0E"/>
        </w:rPr>
        <w:t>mês,</w:t>
      </w:r>
      <w:r>
        <w:rPr>
          <w:color w:val="0D0E0E"/>
          <w:spacing w:val="12"/>
        </w:rPr>
        <w:t> </w:t>
      </w:r>
      <w:r>
        <w:rPr>
          <w:color w:val="0D0E0E"/>
        </w:rPr>
        <w:t>sintetizando</w:t>
      </w:r>
      <w:r>
        <w:rPr>
          <w:color w:val="0D0E0E"/>
          <w:spacing w:val="13"/>
        </w:rPr>
        <w:t> </w:t>
      </w:r>
      <w:r>
        <w:rPr>
          <w:color w:val="0D0E0E"/>
        </w:rPr>
        <w:t>em</w:t>
      </w:r>
      <w:r>
        <w:rPr>
          <w:color w:val="0D0E0E"/>
          <w:spacing w:val="10"/>
        </w:rPr>
        <w:t> </w:t>
      </w:r>
      <w:r>
        <w:rPr>
          <w:color w:val="0D0E0E"/>
        </w:rPr>
        <w:t>4,55%</w:t>
      </w:r>
      <w:r>
        <w:rPr>
          <w:color w:val="0D0E0E"/>
          <w:spacing w:val="14"/>
        </w:rPr>
        <w:t> </w:t>
      </w:r>
      <w:r>
        <w:rPr>
          <w:color w:val="0D0E0E"/>
        </w:rPr>
        <w:t>na</w:t>
      </w:r>
      <w:r>
        <w:rPr>
          <w:color w:val="0D0E0E"/>
          <w:spacing w:val="10"/>
        </w:rPr>
        <w:t> </w:t>
      </w:r>
      <w:r>
        <w:rPr>
          <w:color w:val="0D0E0E"/>
          <w:spacing w:val="-2"/>
        </w:rPr>
        <w:t>janela</w:t>
      </w:r>
    </w:p>
    <w:p>
      <w:pPr>
        <w:pStyle w:val="BodyText"/>
        <w:ind w:left="609"/>
      </w:pPr>
      <w:r>
        <w:rPr>
          <w:color w:val="0D0E0E"/>
          <w:spacing w:val="-2"/>
        </w:rPr>
        <w:t>anual.</w:t>
      </w:r>
    </w:p>
    <w:p>
      <w:pPr>
        <w:pStyle w:val="BodyText"/>
        <w:spacing w:before="240"/>
        <w:ind w:left="704" w:right="644"/>
        <w:jc w:val="center"/>
      </w:pPr>
      <w:r>
        <w:rPr>
          <w:color w:val="0D0E0E"/>
        </w:rPr>
        <w:t>IPCA mensal</w:t>
      </w:r>
      <w:r>
        <w:rPr>
          <w:color w:val="0D0E0E"/>
          <w:spacing w:val="-1"/>
        </w:rPr>
        <w:t> </w:t>
      </w:r>
      <w:r>
        <w:rPr>
          <w:color w:val="0D0E0E"/>
        </w:rPr>
        <w:t>–</w:t>
      </w:r>
      <w:r>
        <w:rPr>
          <w:color w:val="0D0E0E"/>
          <w:spacing w:val="1"/>
        </w:rPr>
        <w:t> </w:t>
      </w:r>
      <w:r>
        <w:rPr>
          <w:color w:val="0D0E0E"/>
          <w:spacing w:val="-2"/>
        </w:rPr>
        <w:t>Brasil:</w:t>
      </w:r>
    </w:p>
    <w:p>
      <w:pPr>
        <w:pStyle w:val="BodyText"/>
        <w:spacing w:before="1"/>
        <w:rPr>
          <w:sz w:val="9"/>
        </w:rPr>
      </w:pPr>
      <w:r>
        <w:rPr>
          <w:sz w:val="9"/>
        </w:rPr>
        <w:drawing>
          <wp:anchor distT="0" distB="0" distL="0" distR="0" allowOverlap="1" layoutInCell="1" locked="0" behindDoc="1" simplePos="0" relativeHeight="487600128">
            <wp:simplePos x="0" y="0"/>
            <wp:positionH relativeFrom="page">
              <wp:posOffset>1021080</wp:posOffset>
            </wp:positionH>
            <wp:positionV relativeFrom="paragraph">
              <wp:posOffset>85726</wp:posOffset>
            </wp:positionV>
            <wp:extent cx="5663740" cy="2808351"/>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29" cstate="print"/>
                    <a:stretch>
                      <a:fillRect/>
                    </a:stretch>
                  </pic:blipFill>
                  <pic:spPr>
                    <a:xfrm>
                      <a:off x="0" y="0"/>
                      <a:ext cx="5663740" cy="2808351"/>
                    </a:xfrm>
                    <a:prstGeom prst="rect">
                      <a:avLst/>
                    </a:prstGeom>
                  </pic:spPr>
                </pic:pic>
              </a:graphicData>
            </a:graphic>
          </wp:anchor>
        </w:drawing>
      </w:r>
    </w:p>
    <w:p>
      <w:pPr>
        <w:spacing w:before="0"/>
        <w:ind w:left="1317" w:right="0" w:firstLine="0"/>
        <w:jc w:val="left"/>
        <w:rPr>
          <w:i/>
          <w:sz w:val="20"/>
        </w:rPr>
      </w:pPr>
      <w:r>
        <w:rPr>
          <w:i/>
          <w:color w:val="0D0E0E"/>
          <w:spacing w:val="-2"/>
          <w:sz w:val="20"/>
        </w:rPr>
        <w:t>Fonte:</w:t>
      </w:r>
      <w:r>
        <w:rPr>
          <w:i/>
          <w:color w:val="0D0E0E"/>
          <w:spacing w:val="61"/>
          <w:sz w:val="20"/>
        </w:rPr>
        <w:t> </w:t>
      </w:r>
      <w:r>
        <w:rPr>
          <w:i/>
          <w:color w:val="0D0E0E"/>
          <w:spacing w:val="-2"/>
          <w:sz w:val="20"/>
        </w:rPr>
        <w:t>https://tradingeconomics.com/brazil/inflation-rate-</w:t>
      </w:r>
      <w:r>
        <w:rPr>
          <w:i/>
          <w:color w:val="0D0E0E"/>
          <w:spacing w:val="-5"/>
          <w:sz w:val="20"/>
        </w:rPr>
        <w:t>mom</w:t>
      </w:r>
    </w:p>
    <w:p>
      <w:pPr>
        <w:spacing w:after="0"/>
        <w:jc w:val="left"/>
        <w:rPr>
          <w:i/>
          <w:sz w:val="20"/>
        </w:rPr>
        <w:sectPr>
          <w:pgSz w:w="11920" w:h="16850"/>
          <w:pgMar w:top="1340" w:bottom="280" w:left="992" w:right="141"/>
        </w:sectPr>
      </w:pPr>
    </w:p>
    <w:p>
      <w:pPr>
        <w:pStyle w:val="BodyText"/>
        <w:spacing w:before="39"/>
        <w:ind w:left="707" w:right="644"/>
        <w:jc w:val="center"/>
      </w:pPr>
      <w:r>
        <w:rPr>
          <w:color w:val="0D0E0E"/>
        </w:rPr>
        <w:t>IPCA anual</w:t>
      </w:r>
      <w:r>
        <w:rPr>
          <w:color w:val="0D0E0E"/>
          <w:spacing w:val="-1"/>
        </w:rPr>
        <w:t> </w:t>
      </w:r>
      <w:r>
        <w:rPr>
          <w:color w:val="0D0E0E"/>
        </w:rPr>
        <w:t>–</w:t>
      </w:r>
      <w:r>
        <w:rPr>
          <w:color w:val="0D0E0E"/>
          <w:spacing w:val="1"/>
        </w:rPr>
        <w:t> </w:t>
      </w:r>
      <w:r>
        <w:rPr>
          <w:color w:val="0D0E0E"/>
          <w:spacing w:val="-2"/>
        </w:rPr>
        <w:t>Brasil:</w:t>
      </w:r>
    </w:p>
    <w:p>
      <w:pPr>
        <w:pStyle w:val="BodyText"/>
        <w:spacing w:before="1"/>
        <w:rPr>
          <w:sz w:val="8"/>
        </w:rPr>
      </w:pPr>
      <w:r>
        <w:rPr>
          <w:sz w:val="8"/>
        </w:rPr>
        <w:drawing>
          <wp:anchor distT="0" distB="0" distL="0" distR="0" allowOverlap="1" layoutInCell="1" locked="0" behindDoc="1" simplePos="0" relativeHeight="487600640">
            <wp:simplePos x="0" y="0"/>
            <wp:positionH relativeFrom="page">
              <wp:posOffset>998219</wp:posOffset>
            </wp:positionH>
            <wp:positionV relativeFrom="paragraph">
              <wp:posOffset>78251</wp:posOffset>
            </wp:positionV>
            <wp:extent cx="5632097" cy="2777490"/>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30" cstate="print"/>
                    <a:stretch>
                      <a:fillRect/>
                    </a:stretch>
                  </pic:blipFill>
                  <pic:spPr>
                    <a:xfrm>
                      <a:off x="0" y="0"/>
                      <a:ext cx="5632097" cy="2777490"/>
                    </a:xfrm>
                    <a:prstGeom prst="rect">
                      <a:avLst/>
                    </a:prstGeom>
                  </pic:spPr>
                </pic:pic>
              </a:graphicData>
            </a:graphic>
          </wp:anchor>
        </w:drawing>
      </w:r>
    </w:p>
    <w:p>
      <w:pPr>
        <w:spacing w:before="23"/>
        <w:ind w:left="1317" w:right="0" w:firstLine="0"/>
        <w:jc w:val="left"/>
        <w:rPr>
          <w:i/>
          <w:sz w:val="20"/>
        </w:rPr>
      </w:pPr>
      <w:r>
        <w:rPr>
          <w:i/>
          <w:color w:val="0D0E0E"/>
          <w:spacing w:val="-2"/>
          <w:sz w:val="20"/>
        </w:rPr>
        <w:t>Fonte:</w:t>
      </w:r>
      <w:r>
        <w:rPr>
          <w:i/>
          <w:color w:val="0D0E0E"/>
          <w:spacing w:val="53"/>
          <w:sz w:val="20"/>
        </w:rPr>
        <w:t> </w:t>
      </w:r>
      <w:r>
        <w:rPr>
          <w:i/>
          <w:color w:val="0D0E0E"/>
          <w:spacing w:val="-2"/>
          <w:sz w:val="20"/>
        </w:rPr>
        <w:t>https://tradingeconomics.com/brazil/inflation-</w:t>
      </w:r>
      <w:r>
        <w:rPr>
          <w:i/>
          <w:color w:val="0D0E0E"/>
          <w:spacing w:val="-5"/>
          <w:sz w:val="20"/>
        </w:rPr>
        <w:t>cpi</w:t>
      </w:r>
    </w:p>
    <w:p>
      <w:pPr>
        <w:pStyle w:val="BodyText"/>
        <w:spacing w:before="238"/>
        <w:ind w:left="609" w:right="1252" w:firstLine="707"/>
        <w:jc w:val="both"/>
      </w:pPr>
      <w:r>
        <w:rPr>
          <w:color w:val="0D0E0E"/>
        </w:rPr>
        <w:t>Como divulgado pelo IBGE, todos os grupos do cesto tiveram altas no mês. O destaque</w:t>
      </w:r>
      <w:r>
        <w:rPr>
          <w:color w:val="0D0E0E"/>
          <w:spacing w:val="-6"/>
        </w:rPr>
        <w:t> </w:t>
      </w:r>
      <w:r>
        <w:rPr>
          <w:color w:val="0D0E0E"/>
        </w:rPr>
        <w:t>foi</w:t>
      </w:r>
      <w:r>
        <w:rPr>
          <w:color w:val="0D0E0E"/>
          <w:spacing w:val="-6"/>
        </w:rPr>
        <w:t> </w:t>
      </w:r>
      <w:r>
        <w:rPr>
          <w:color w:val="0D0E0E"/>
        </w:rPr>
        <w:t>para</w:t>
      </w:r>
      <w:r>
        <w:rPr>
          <w:color w:val="0D0E0E"/>
          <w:spacing w:val="-1"/>
        </w:rPr>
        <w:t> </w:t>
      </w:r>
      <w:r>
        <w:rPr>
          <w:color w:val="0D0E0E"/>
        </w:rPr>
        <w:t>Alimentos</w:t>
      </w:r>
      <w:r>
        <w:rPr>
          <w:color w:val="0D0E0E"/>
          <w:spacing w:val="-3"/>
        </w:rPr>
        <w:t> </w:t>
      </w:r>
      <w:r>
        <w:rPr>
          <w:color w:val="0D0E0E"/>
        </w:rPr>
        <w:t>e</w:t>
      </w:r>
      <w:r>
        <w:rPr>
          <w:color w:val="0D0E0E"/>
          <w:spacing w:val="-3"/>
        </w:rPr>
        <w:t> </w:t>
      </w:r>
      <w:r>
        <w:rPr>
          <w:color w:val="0D0E0E"/>
        </w:rPr>
        <w:t>Bebidas</w:t>
      </w:r>
      <w:r>
        <w:rPr>
          <w:color w:val="0D0E0E"/>
          <w:spacing w:val="-4"/>
        </w:rPr>
        <w:t> </w:t>
      </w:r>
      <w:r>
        <w:rPr>
          <w:color w:val="0D0E0E"/>
        </w:rPr>
        <w:t>(1,11%).</w:t>
      </w:r>
      <w:r>
        <w:rPr>
          <w:color w:val="0D0E0E"/>
          <w:spacing w:val="-4"/>
        </w:rPr>
        <w:t> </w:t>
      </w:r>
      <w:r>
        <w:rPr>
          <w:color w:val="0D0E0E"/>
        </w:rPr>
        <w:t>Ao</w:t>
      </w:r>
      <w:r>
        <w:rPr>
          <w:color w:val="0D0E0E"/>
          <w:spacing w:val="-3"/>
        </w:rPr>
        <w:t> </w:t>
      </w:r>
      <w:r>
        <w:rPr>
          <w:color w:val="0D0E0E"/>
        </w:rPr>
        <w:t>decompor</w:t>
      </w:r>
      <w:r>
        <w:rPr>
          <w:color w:val="0D0E0E"/>
          <w:spacing w:val="-3"/>
        </w:rPr>
        <w:t> </w:t>
      </w:r>
      <w:r>
        <w:rPr>
          <w:color w:val="0D0E0E"/>
        </w:rPr>
        <w:t>o</w:t>
      </w:r>
      <w:r>
        <w:rPr>
          <w:color w:val="0D0E0E"/>
          <w:spacing w:val="-3"/>
        </w:rPr>
        <w:t> </w:t>
      </w:r>
      <w:r>
        <w:rPr>
          <w:color w:val="0D0E0E"/>
        </w:rPr>
        <w:t>grupo,</w:t>
      </w:r>
      <w:r>
        <w:rPr>
          <w:color w:val="0D0E0E"/>
          <w:spacing w:val="-3"/>
        </w:rPr>
        <w:t> </w:t>
      </w:r>
      <w:r>
        <w:rPr>
          <w:color w:val="0D0E0E"/>
        </w:rPr>
        <w:t>a</w:t>
      </w:r>
      <w:r>
        <w:rPr>
          <w:color w:val="0D0E0E"/>
          <w:spacing w:val="-4"/>
        </w:rPr>
        <w:t> </w:t>
      </w:r>
      <w:r>
        <w:rPr>
          <w:color w:val="0D0E0E"/>
        </w:rPr>
        <w:t>batata-inglesa</w:t>
      </w:r>
      <w:r>
        <w:rPr>
          <w:color w:val="0D0E0E"/>
          <w:spacing w:val="-6"/>
        </w:rPr>
        <w:t> </w:t>
      </w:r>
      <w:r>
        <w:rPr>
          <w:color w:val="0D0E0E"/>
        </w:rPr>
        <w:t>foi</w:t>
      </w:r>
      <w:r>
        <w:rPr>
          <w:color w:val="0D0E0E"/>
          <w:spacing w:val="-3"/>
        </w:rPr>
        <w:t> </w:t>
      </w:r>
      <w:r>
        <w:rPr>
          <w:color w:val="0D0E0E"/>
        </w:rPr>
        <w:t>a que mais subiu de preço (19,09%), seguido pelo feijão, arroz e frutas (13,79%), (5,81%) e (3,37%) respectivamente.</w:t>
      </w:r>
    </w:p>
    <w:p>
      <w:pPr>
        <w:pStyle w:val="BodyText"/>
      </w:pPr>
    </w:p>
    <w:p>
      <w:pPr>
        <w:pStyle w:val="BodyText"/>
        <w:spacing w:before="235"/>
      </w:pPr>
    </w:p>
    <w:p>
      <w:pPr>
        <w:pStyle w:val="Heading2"/>
      </w:pPr>
      <w:r>
        <w:rPr/>
        <w:t>INDICADORES</w:t>
      </w:r>
      <w:r>
        <w:rPr>
          <w:spacing w:val="-5"/>
        </w:rPr>
        <w:t> </w:t>
      </w:r>
      <w:r>
        <w:rPr/>
        <w:t>DE</w:t>
      </w:r>
      <w:r>
        <w:rPr>
          <w:spacing w:val="-5"/>
        </w:rPr>
        <w:t> </w:t>
      </w:r>
      <w:r>
        <w:rPr>
          <w:spacing w:val="-2"/>
        </w:rPr>
        <w:t>ATIVIDADE</w:t>
      </w:r>
    </w:p>
    <w:p>
      <w:pPr>
        <w:spacing w:before="242"/>
        <w:ind w:left="609" w:right="0" w:firstLine="0"/>
        <w:jc w:val="left"/>
        <w:rPr>
          <w:sz w:val="28"/>
        </w:rPr>
      </w:pPr>
      <w:r>
        <w:rPr>
          <w:spacing w:val="-5"/>
          <w:sz w:val="28"/>
        </w:rPr>
        <w:t>PMI</w:t>
      </w:r>
    </w:p>
    <w:p>
      <w:pPr>
        <w:pStyle w:val="BodyText"/>
        <w:spacing w:before="238"/>
        <w:ind w:left="609" w:right="1258" w:firstLine="707"/>
        <w:jc w:val="both"/>
      </w:pPr>
      <w:r>
        <w:rPr>
          <w:color w:val="0D0E0E"/>
        </w:rPr>
        <w:t>Em moderada queda, porém ainda em campo expansionista, o PMI de serviços brasileiro fechou dezembro em 50,50 pontos ante 51,20 pontos de novembro. O reflexo dessa</w:t>
      </w:r>
      <w:r>
        <w:rPr>
          <w:color w:val="0D0E0E"/>
          <w:spacing w:val="-9"/>
        </w:rPr>
        <w:t> </w:t>
      </w:r>
      <w:r>
        <w:rPr>
          <w:color w:val="0D0E0E"/>
        </w:rPr>
        <w:t>deterioração</w:t>
      </w:r>
      <w:r>
        <w:rPr>
          <w:color w:val="0D0E0E"/>
          <w:spacing w:val="-9"/>
        </w:rPr>
        <w:t> </w:t>
      </w:r>
      <w:r>
        <w:rPr>
          <w:color w:val="0D0E0E"/>
        </w:rPr>
        <w:t>se</w:t>
      </w:r>
      <w:r>
        <w:rPr>
          <w:color w:val="0D0E0E"/>
          <w:spacing w:val="-11"/>
        </w:rPr>
        <w:t> </w:t>
      </w:r>
      <w:r>
        <w:rPr>
          <w:color w:val="0D0E0E"/>
        </w:rPr>
        <w:t>deve,</w:t>
      </w:r>
      <w:r>
        <w:rPr>
          <w:color w:val="0D0E0E"/>
          <w:spacing w:val="-9"/>
        </w:rPr>
        <w:t> </w:t>
      </w:r>
      <w:r>
        <w:rPr>
          <w:color w:val="0D0E0E"/>
        </w:rPr>
        <w:t>entre</w:t>
      </w:r>
      <w:r>
        <w:rPr>
          <w:color w:val="0D0E0E"/>
          <w:spacing w:val="-9"/>
        </w:rPr>
        <w:t> </w:t>
      </w:r>
      <w:r>
        <w:rPr>
          <w:color w:val="0D0E0E"/>
        </w:rPr>
        <w:t>outros</w:t>
      </w:r>
      <w:r>
        <w:rPr>
          <w:color w:val="0D0E0E"/>
          <w:spacing w:val="-9"/>
        </w:rPr>
        <w:t> </w:t>
      </w:r>
      <w:r>
        <w:rPr>
          <w:color w:val="0D0E0E"/>
        </w:rPr>
        <w:t>fatores,</w:t>
      </w:r>
      <w:r>
        <w:rPr>
          <w:color w:val="0D0E0E"/>
          <w:spacing w:val="-11"/>
        </w:rPr>
        <w:t> </w:t>
      </w:r>
      <w:r>
        <w:rPr>
          <w:color w:val="0D0E0E"/>
        </w:rPr>
        <w:t>pelo</w:t>
      </w:r>
      <w:r>
        <w:rPr>
          <w:color w:val="0D0E0E"/>
          <w:spacing w:val="-9"/>
        </w:rPr>
        <w:t> </w:t>
      </w:r>
      <w:r>
        <w:rPr>
          <w:color w:val="0D0E0E"/>
        </w:rPr>
        <w:t>aumento</w:t>
      </w:r>
      <w:r>
        <w:rPr>
          <w:color w:val="0D0E0E"/>
          <w:spacing w:val="-11"/>
        </w:rPr>
        <w:t> </w:t>
      </w:r>
      <w:r>
        <w:rPr>
          <w:color w:val="0D0E0E"/>
        </w:rPr>
        <w:t>dos</w:t>
      </w:r>
      <w:r>
        <w:rPr>
          <w:color w:val="0D0E0E"/>
          <w:spacing w:val="-11"/>
        </w:rPr>
        <w:t> </w:t>
      </w:r>
      <w:r>
        <w:rPr>
          <w:color w:val="0D0E0E"/>
        </w:rPr>
        <w:t>encargos</w:t>
      </w:r>
      <w:r>
        <w:rPr>
          <w:color w:val="0D0E0E"/>
          <w:spacing w:val="-9"/>
        </w:rPr>
        <w:t> </w:t>
      </w:r>
      <w:r>
        <w:rPr>
          <w:color w:val="0D0E0E"/>
        </w:rPr>
        <w:t>das</w:t>
      </w:r>
      <w:r>
        <w:rPr>
          <w:color w:val="0D0E0E"/>
          <w:spacing w:val="-9"/>
        </w:rPr>
        <w:t> </w:t>
      </w:r>
      <w:r>
        <w:rPr>
          <w:color w:val="0D0E0E"/>
        </w:rPr>
        <w:t>empresas.</w:t>
      </w:r>
    </w:p>
    <w:p>
      <w:pPr>
        <w:pStyle w:val="BodyText"/>
        <w:spacing w:before="240"/>
        <w:ind w:left="704" w:right="644"/>
        <w:jc w:val="center"/>
      </w:pPr>
      <w:r>
        <w:rPr>
          <w:color w:val="0D0E0E"/>
        </w:rPr>
        <w:t>PMI</w:t>
      </w:r>
      <w:r>
        <w:rPr>
          <w:color w:val="0D0E0E"/>
          <w:spacing w:val="-1"/>
        </w:rPr>
        <w:t> </w:t>
      </w:r>
      <w:r>
        <w:rPr>
          <w:color w:val="0D0E0E"/>
        </w:rPr>
        <w:t>serviços</w:t>
      </w:r>
      <w:r>
        <w:rPr>
          <w:color w:val="0D0E0E"/>
          <w:spacing w:val="-1"/>
        </w:rPr>
        <w:t> </w:t>
      </w:r>
      <w:r>
        <w:rPr>
          <w:color w:val="0D0E0E"/>
        </w:rPr>
        <w:t>–</w:t>
      </w:r>
      <w:r>
        <w:rPr>
          <w:color w:val="0D0E0E"/>
          <w:spacing w:val="1"/>
        </w:rPr>
        <w:t> </w:t>
      </w:r>
      <w:r>
        <w:rPr>
          <w:color w:val="0D0E0E"/>
          <w:spacing w:val="-2"/>
        </w:rPr>
        <w:t>Brasil:</w:t>
      </w:r>
    </w:p>
    <w:p>
      <w:pPr>
        <w:pStyle w:val="BodyText"/>
        <w:spacing w:before="1"/>
        <w:rPr>
          <w:sz w:val="7"/>
        </w:rPr>
      </w:pPr>
      <w:r>
        <w:rPr>
          <w:sz w:val="7"/>
        </w:rPr>
        <w:drawing>
          <wp:anchor distT="0" distB="0" distL="0" distR="0" allowOverlap="1" layoutInCell="1" locked="0" behindDoc="1" simplePos="0" relativeHeight="487601152">
            <wp:simplePos x="0" y="0"/>
            <wp:positionH relativeFrom="page">
              <wp:posOffset>1051560</wp:posOffset>
            </wp:positionH>
            <wp:positionV relativeFrom="paragraph">
              <wp:posOffset>70407</wp:posOffset>
            </wp:positionV>
            <wp:extent cx="5656159" cy="2762059"/>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31" cstate="print"/>
                    <a:stretch>
                      <a:fillRect/>
                    </a:stretch>
                  </pic:blipFill>
                  <pic:spPr>
                    <a:xfrm>
                      <a:off x="0" y="0"/>
                      <a:ext cx="5656159" cy="2762059"/>
                    </a:xfrm>
                    <a:prstGeom prst="rect">
                      <a:avLst/>
                    </a:prstGeom>
                  </pic:spPr>
                </pic:pic>
              </a:graphicData>
            </a:graphic>
          </wp:anchor>
        </w:drawing>
      </w:r>
    </w:p>
    <w:p>
      <w:pPr>
        <w:spacing w:before="6"/>
        <w:ind w:left="1317" w:right="0" w:firstLine="0"/>
        <w:jc w:val="left"/>
        <w:rPr>
          <w:i/>
          <w:sz w:val="20"/>
        </w:rPr>
      </w:pPr>
      <w:r>
        <w:rPr>
          <w:i/>
          <w:color w:val="0D0E0E"/>
          <w:spacing w:val="-2"/>
          <w:sz w:val="20"/>
        </w:rPr>
        <w:t>Fonte:</w:t>
      </w:r>
      <w:r>
        <w:rPr>
          <w:i/>
          <w:color w:val="0D0E0E"/>
          <w:spacing w:val="49"/>
          <w:sz w:val="20"/>
        </w:rPr>
        <w:t> </w:t>
      </w:r>
      <w:r>
        <w:rPr>
          <w:i/>
          <w:color w:val="0D0E0E"/>
          <w:spacing w:val="-2"/>
          <w:sz w:val="20"/>
        </w:rPr>
        <w:t>https://tradingeconomics.com/brazil/services-</w:t>
      </w:r>
      <w:r>
        <w:rPr>
          <w:i/>
          <w:color w:val="0D0E0E"/>
          <w:spacing w:val="-5"/>
          <w:sz w:val="20"/>
        </w:rPr>
        <w:t>pmi</w:t>
      </w:r>
    </w:p>
    <w:p>
      <w:pPr>
        <w:spacing w:after="0"/>
        <w:jc w:val="left"/>
        <w:rPr>
          <w:i/>
          <w:sz w:val="20"/>
        </w:rPr>
        <w:sectPr>
          <w:pgSz w:w="11920" w:h="16850"/>
          <w:pgMar w:top="1320" w:bottom="280" w:left="992" w:right="141"/>
        </w:sectPr>
      </w:pPr>
    </w:p>
    <w:p>
      <w:pPr>
        <w:pStyle w:val="BodyText"/>
        <w:spacing w:before="39"/>
        <w:ind w:left="609" w:right="1251" w:firstLine="707"/>
        <w:jc w:val="both"/>
      </w:pPr>
      <w:r>
        <w:rPr>
          <w:color w:val="0D0E0E"/>
        </w:rPr>
        <w:t>Na outra via, o setor industrial permanece em campo contracionista pelo 4º mês consecutivo aos 48,40 pontos em dezembro versus 49,40 pontos de novembro. Essa deterioração se deve à pressão do aumento de custos em que o setor mantém os esforços para manterem os preços em patamares mais baixos e competitivos.</w:t>
      </w:r>
    </w:p>
    <w:p>
      <w:pPr>
        <w:pStyle w:val="BodyText"/>
        <w:spacing w:before="240"/>
        <w:ind w:left="704" w:right="644"/>
        <w:jc w:val="center"/>
      </w:pPr>
      <w:r>
        <w:rPr/>
        <w:drawing>
          <wp:anchor distT="0" distB="0" distL="0" distR="0" allowOverlap="1" layoutInCell="1" locked="0" behindDoc="1" simplePos="0" relativeHeight="487601664">
            <wp:simplePos x="0" y="0"/>
            <wp:positionH relativeFrom="page">
              <wp:posOffset>1043939</wp:posOffset>
            </wp:positionH>
            <wp:positionV relativeFrom="paragraph">
              <wp:posOffset>370919</wp:posOffset>
            </wp:positionV>
            <wp:extent cx="5655757" cy="2746629"/>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32" cstate="print"/>
                    <a:stretch>
                      <a:fillRect/>
                    </a:stretch>
                  </pic:blipFill>
                  <pic:spPr>
                    <a:xfrm>
                      <a:off x="0" y="0"/>
                      <a:ext cx="5655757" cy="2746629"/>
                    </a:xfrm>
                    <a:prstGeom prst="rect">
                      <a:avLst/>
                    </a:prstGeom>
                  </pic:spPr>
                </pic:pic>
              </a:graphicData>
            </a:graphic>
          </wp:anchor>
        </w:drawing>
      </w:r>
      <w:r>
        <w:rPr>
          <w:color w:val="0D0E0E"/>
        </w:rPr>
        <w:t>PMI</w:t>
      </w:r>
      <w:r>
        <w:rPr>
          <w:color w:val="0D0E0E"/>
          <w:spacing w:val="-2"/>
        </w:rPr>
        <w:t> </w:t>
      </w:r>
      <w:r>
        <w:rPr>
          <w:color w:val="0D0E0E"/>
        </w:rPr>
        <w:t>industrial</w:t>
      </w:r>
      <w:r>
        <w:rPr>
          <w:color w:val="0D0E0E"/>
          <w:spacing w:val="-1"/>
        </w:rPr>
        <w:t> </w:t>
      </w:r>
      <w:r>
        <w:rPr>
          <w:color w:val="0D0E0E"/>
        </w:rPr>
        <w:t>– </w:t>
      </w:r>
      <w:r>
        <w:rPr>
          <w:color w:val="0D0E0E"/>
          <w:spacing w:val="-2"/>
        </w:rPr>
        <w:t>Brasil:</w:t>
      </w:r>
    </w:p>
    <w:p>
      <w:pPr>
        <w:spacing w:before="3"/>
        <w:ind w:left="1317" w:right="0" w:firstLine="0"/>
        <w:jc w:val="left"/>
        <w:rPr>
          <w:i/>
          <w:sz w:val="20"/>
        </w:rPr>
      </w:pPr>
      <w:r>
        <w:rPr>
          <w:i/>
          <w:color w:val="0D0E0E"/>
          <w:spacing w:val="-2"/>
          <w:sz w:val="20"/>
        </w:rPr>
        <w:t>Fonte:</w:t>
      </w:r>
      <w:r>
        <w:rPr>
          <w:i/>
          <w:color w:val="0D0E0E"/>
          <w:spacing w:val="51"/>
          <w:sz w:val="20"/>
        </w:rPr>
        <w:t> </w:t>
      </w:r>
      <w:r>
        <w:rPr>
          <w:i/>
          <w:color w:val="0D0E0E"/>
          <w:spacing w:val="-2"/>
          <w:sz w:val="20"/>
        </w:rPr>
        <w:t>https://tradingeconomics.com/brazil/manufacturing-</w:t>
      </w:r>
      <w:r>
        <w:rPr>
          <w:i/>
          <w:color w:val="0D0E0E"/>
          <w:spacing w:val="-5"/>
          <w:sz w:val="20"/>
        </w:rPr>
        <w:t>pmi</w:t>
      </w:r>
    </w:p>
    <w:p>
      <w:pPr>
        <w:pStyle w:val="BodyText"/>
        <w:spacing w:before="239"/>
        <w:ind w:left="609" w:right="1255" w:firstLine="707"/>
        <w:jc w:val="both"/>
      </w:pPr>
      <w:r>
        <w:rPr>
          <w:color w:val="0D0E0E"/>
        </w:rPr>
        <w:t>Em síntese, o PMI composto registrou queda para 50 pontos em dezembro frente 50,70 pontos de novembro, menor patamar em 4 meses.</w:t>
      </w:r>
    </w:p>
    <w:p>
      <w:pPr>
        <w:pStyle w:val="BodyText"/>
        <w:spacing w:before="240"/>
        <w:ind w:left="707" w:right="644"/>
        <w:jc w:val="center"/>
      </w:pPr>
      <w:r>
        <w:rPr/>
        <w:drawing>
          <wp:anchor distT="0" distB="0" distL="0" distR="0" allowOverlap="1" layoutInCell="1" locked="0" behindDoc="1" simplePos="0" relativeHeight="487602176">
            <wp:simplePos x="0" y="0"/>
            <wp:positionH relativeFrom="page">
              <wp:posOffset>990600</wp:posOffset>
            </wp:positionH>
            <wp:positionV relativeFrom="paragraph">
              <wp:posOffset>368758</wp:posOffset>
            </wp:positionV>
            <wp:extent cx="5623623" cy="2712720"/>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33" cstate="print"/>
                    <a:stretch>
                      <a:fillRect/>
                    </a:stretch>
                  </pic:blipFill>
                  <pic:spPr>
                    <a:xfrm>
                      <a:off x="0" y="0"/>
                      <a:ext cx="5623623" cy="2712720"/>
                    </a:xfrm>
                    <a:prstGeom prst="rect">
                      <a:avLst/>
                    </a:prstGeom>
                  </pic:spPr>
                </pic:pic>
              </a:graphicData>
            </a:graphic>
          </wp:anchor>
        </w:drawing>
      </w:r>
      <w:r>
        <w:rPr>
          <w:color w:val="0D0E0E"/>
        </w:rPr>
        <w:t>PMI composto –</w:t>
      </w:r>
      <w:r>
        <w:rPr>
          <w:color w:val="0D0E0E"/>
          <w:spacing w:val="1"/>
        </w:rPr>
        <w:t> </w:t>
      </w:r>
      <w:r>
        <w:rPr>
          <w:color w:val="0D0E0E"/>
          <w:spacing w:val="-2"/>
        </w:rPr>
        <w:t>Brasil:</w:t>
      </w:r>
    </w:p>
    <w:p>
      <w:pPr>
        <w:spacing w:before="29"/>
        <w:ind w:left="1317" w:right="0" w:firstLine="0"/>
        <w:jc w:val="left"/>
        <w:rPr>
          <w:i/>
          <w:sz w:val="20"/>
        </w:rPr>
      </w:pPr>
      <w:r>
        <w:rPr>
          <w:i/>
          <w:color w:val="0D0E0E"/>
          <w:spacing w:val="-2"/>
          <w:sz w:val="20"/>
        </w:rPr>
        <w:t>Fonte:</w:t>
      </w:r>
      <w:r>
        <w:rPr>
          <w:i/>
          <w:color w:val="0D0E0E"/>
          <w:spacing w:val="55"/>
          <w:sz w:val="20"/>
        </w:rPr>
        <w:t> </w:t>
      </w:r>
      <w:r>
        <w:rPr>
          <w:i/>
          <w:color w:val="0D0E0E"/>
          <w:spacing w:val="-2"/>
          <w:sz w:val="20"/>
        </w:rPr>
        <w:t>https://tradingeconomics.com/brazil/composite-</w:t>
      </w:r>
      <w:r>
        <w:rPr>
          <w:i/>
          <w:color w:val="0D0E0E"/>
          <w:spacing w:val="-5"/>
          <w:sz w:val="20"/>
        </w:rPr>
        <w:t>pmi</w:t>
      </w:r>
    </w:p>
    <w:p>
      <w:pPr>
        <w:pStyle w:val="BodyText"/>
        <w:rPr>
          <w:i/>
          <w:sz w:val="20"/>
        </w:rPr>
      </w:pPr>
    </w:p>
    <w:p>
      <w:pPr>
        <w:pStyle w:val="BodyText"/>
        <w:rPr>
          <w:i/>
          <w:sz w:val="20"/>
        </w:rPr>
      </w:pPr>
    </w:p>
    <w:p>
      <w:pPr>
        <w:pStyle w:val="BodyText"/>
        <w:spacing w:before="39"/>
        <w:rPr>
          <w:i/>
          <w:sz w:val="20"/>
        </w:rPr>
      </w:pPr>
    </w:p>
    <w:p>
      <w:pPr>
        <w:pStyle w:val="Heading3"/>
        <w:spacing w:before="1"/>
      </w:pPr>
      <w:r>
        <w:rPr>
          <w:spacing w:val="-2"/>
        </w:rPr>
        <w:t>Câmbio</w:t>
      </w:r>
    </w:p>
    <w:p>
      <w:pPr>
        <w:pStyle w:val="BodyText"/>
        <w:spacing w:before="238"/>
        <w:ind w:left="609" w:right="1253" w:firstLine="707"/>
        <w:jc w:val="both"/>
      </w:pPr>
      <w:r>
        <w:rPr>
          <w:color w:val="0D0E0E"/>
        </w:rPr>
        <w:t>Conforme</w:t>
      </w:r>
      <w:r>
        <w:rPr>
          <w:color w:val="0D0E0E"/>
          <w:spacing w:val="-7"/>
        </w:rPr>
        <w:t> </w:t>
      </w:r>
      <w:r>
        <w:rPr>
          <w:color w:val="0D0E0E"/>
        </w:rPr>
        <w:t>as</w:t>
      </w:r>
      <w:r>
        <w:rPr>
          <w:color w:val="0D0E0E"/>
          <w:spacing w:val="-10"/>
        </w:rPr>
        <w:t> </w:t>
      </w:r>
      <w:r>
        <w:rPr>
          <w:color w:val="0D0E0E"/>
        </w:rPr>
        <w:t>incertezas</w:t>
      </w:r>
      <w:r>
        <w:rPr>
          <w:color w:val="0D0E0E"/>
          <w:spacing w:val="-7"/>
        </w:rPr>
        <w:t> </w:t>
      </w:r>
      <w:r>
        <w:rPr>
          <w:color w:val="0D0E0E"/>
        </w:rPr>
        <w:t>do</w:t>
      </w:r>
      <w:r>
        <w:rPr>
          <w:color w:val="0D0E0E"/>
          <w:spacing w:val="-7"/>
        </w:rPr>
        <w:t> </w:t>
      </w:r>
      <w:r>
        <w:rPr>
          <w:color w:val="0D0E0E"/>
        </w:rPr>
        <w:t>rumo</w:t>
      </w:r>
      <w:r>
        <w:rPr>
          <w:color w:val="0D0E0E"/>
          <w:spacing w:val="-9"/>
        </w:rPr>
        <w:t> </w:t>
      </w:r>
      <w:r>
        <w:rPr>
          <w:color w:val="0D0E0E"/>
        </w:rPr>
        <w:t>fiscal</w:t>
      </w:r>
      <w:r>
        <w:rPr>
          <w:color w:val="0D0E0E"/>
          <w:spacing w:val="-9"/>
        </w:rPr>
        <w:t> </w:t>
      </w:r>
      <w:r>
        <w:rPr>
          <w:color w:val="0D0E0E"/>
        </w:rPr>
        <w:t>foram</w:t>
      </w:r>
      <w:r>
        <w:rPr>
          <w:color w:val="0D0E0E"/>
          <w:spacing w:val="-9"/>
        </w:rPr>
        <w:t> </w:t>
      </w:r>
      <w:r>
        <w:rPr>
          <w:color w:val="0D0E0E"/>
        </w:rPr>
        <w:t>gradativamente</w:t>
      </w:r>
      <w:r>
        <w:rPr>
          <w:color w:val="0D0E0E"/>
          <w:spacing w:val="-8"/>
        </w:rPr>
        <w:t> </w:t>
      </w:r>
      <w:r>
        <w:rPr>
          <w:color w:val="0D0E0E"/>
        </w:rPr>
        <w:t>se</w:t>
      </w:r>
      <w:r>
        <w:rPr>
          <w:color w:val="0D0E0E"/>
          <w:spacing w:val="-7"/>
        </w:rPr>
        <w:t> </w:t>
      </w:r>
      <w:r>
        <w:rPr>
          <w:color w:val="0D0E0E"/>
        </w:rPr>
        <w:t>acalmando</w:t>
      </w:r>
      <w:r>
        <w:rPr>
          <w:color w:val="0D0E0E"/>
          <w:spacing w:val="-7"/>
        </w:rPr>
        <w:t> </w:t>
      </w:r>
      <w:r>
        <w:rPr>
          <w:color w:val="0D0E0E"/>
        </w:rPr>
        <w:t>ao</w:t>
      </w:r>
      <w:r>
        <w:rPr>
          <w:color w:val="0D0E0E"/>
          <w:spacing w:val="-9"/>
        </w:rPr>
        <w:t> </w:t>
      </w:r>
      <w:r>
        <w:rPr>
          <w:color w:val="0D0E0E"/>
        </w:rPr>
        <w:t>longo de</w:t>
      </w:r>
      <w:r>
        <w:rPr>
          <w:color w:val="0D0E0E"/>
          <w:spacing w:val="-6"/>
        </w:rPr>
        <w:t> </w:t>
      </w:r>
      <w:r>
        <w:rPr>
          <w:color w:val="0D0E0E"/>
        </w:rPr>
        <w:t>2023,</w:t>
      </w:r>
      <w:r>
        <w:rPr>
          <w:color w:val="0D0E0E"/>
          <w:spacing w:val="-9"/>
        </w:rPr>
        <w:t> </w:t>
      </w:r>
      <w:r>
        <w:rPr>
          <w:color w:val="0D0E0E"/>
        </w:rPr>
        <w:t>e</w:t>
      </w:r>
      <w:r>
        <w:rPr>
          <w:color w:val="0D0E0E"/>
          <w:spacing w:val="-8"/>
        </w:rPr>
        <w:t> </w:t>
      </w:r>
      <w:r>
        <w:rPr>
          <w:color w:val="0D0E0E"/>
        </w:rPr>
        <w:t>sob</w:t>
      </w:r>
      <w:r>
        <w:rPr>
          <w:color w:val="0D0E0E"/>
          <w:spacing w:val="-7"/>
        </w:rPr>
        <w:t> </w:t>
      </w:r>
      <w:r>
        <w:rPr>
          <w:color w:val="0D0E0E"/>
        </w:rPr>
        <w:t>o</w:t>
      </w:r>
      <w:r>
        <w:rPr>
          <w:color w:val="0D0E0E"/>
          <w:spacing w:val="-8"/>
        </w:rPr>
        <w:t> </w:t>
      </w:r>
      <w:r>
        <w:rPr>
          <w:color w:val="0D0E0E"/>
        </w:rPr>
        <w:t>benefício</w:t>
      </w:r>
      <w:r>
        <w:rPr>
          <w:color w:val="0D0E0E"/>
          <w:spacing w:val="-6"/>
        </w:rPr>
        <w:t> </w:t>
      </w:r>
      <w:r>
        <w:rPr>
          <w:color w:val="0D0E0E"/>
        </w:rPr>
        <w:t>do</w:t>
      </w:r>
      <w:r>
        <w:rPr>
          <w:color w:val="0D0E0E"/>
          <w:spacing w:val="-8"/>
        </w:rPr>
        <w:t> </w:t>
      </w:r>
      <w:r>
        <w:rPr>
          <w:color w:val="0D0E0E"/>
        </w:rPr>
        <w:t>diferencial</w:t>
      </w:r>
      <w:r>
        <w:rPr>
          <w:color w:val="0D0E0E"/>
          <w:spacing w:val="-8"/>
        </w:rPr>
        <w:t> </w:t>
      </w:r>
      <w:r>
        <w:rPr>
          <w:color w:val="0D0E0E"/>
        </w:rPr>
        <w:t>de</w:t>
      </w:r>
      <w:r>
        <w:rPr>
          <w:color w:val="0D0E0E"/>
          <w:spacing w:val="-6"/>
        </w:rPr>
        <w:t> </w:t>
      </w:r>
      <w:r>
        <w:rPr>
          <w:color w:val="0D0E0E"/>
        </w:rPr>
        <w:t>juros</w:t>
      </w:r>
      <w:r>
        <w:rPr>
          <w:color w:val="0D0E0E"/>
          <w:spacing w:val="-10"/>
        </w:rPr>
        <w:t> </w:t>
      </w:r>
      <w:r>
        <w:rPr>
          <w:color w:val="0D0E0E"/>
        </w:rPr>
        <w:t>entre</w:t>
      </w:r>
      <w:r>
        <w:rPr>
          <w:color w:val="0D0E0E"/>
          <w:spacing w:val="-6"/>
        </w:rPr>
        <w:t> </w:t>
      </w:r>
      <w:r>
        <w:rPr>
          <w:color w:val="0D0E0E"/>
        </w:rPr>
        <w:t>o</w:t>
      </w:r>
      <w:r>
        <w:rPr>
          <w:color w:val="0D0E0E"/>
          <w:spacing w:val="-8"/>
        </w:rPr>
        <w:t> </w:t>
      </w:r>
      <w:r>
        <w:rPr>
          <w:color w:val="0D0E0E"/>
        </w:rPr>
        <w:t>Brasil</w:t>
      </w:r>
      <w:r>
        <w:rPr>
          <w:color w:val="0D0E0E"/>
          <w:spacing w:val="-6"/>
        </w:rPr>
        <w:t> </w:t>
      </w:r>
      <w:r>
        <w:rPr>
          <w:color w:val="0D0E0E"/>
        </w:rPr>
        <w:t>e</w:t>
      </w:r>
      <w:r>
        <w:rPr>
          <w:color w:val="0D0E0E"/>
          <w:spacing w:val="-8"/>
        </w:rPr>
        <w:t> </w:t>
      </w:r>
      <w:r>
        <w:rPr>
          <w:color w:val="0D0E0E"/>
        </w:rPr>
        <w:t>outros</w:t>
      </w:r>
      <w:r>
        <w:rPr>
          <w:color w:val="0D0E0E"/>
          <w:spacing w:val="-8"/>
        </w:rPr>
        <w:t> </w:t>
      </w:r>
      <w:r>
        <w:rPr>
          <w:color w:val="0D0E0E"/>
        </w:rPr>
        <w:t>países</w:t>
      </w:r>
      <w:r>
        <w:rPr>
          <w:color w:val="0D0E0E"/>
          <w:spacing w:val="-6"/>
        </w:rPr>
        <w:t> </w:t>
      </w:r>
      <w:r>
        <w:rPr>
          <w:color w:val="0D0E0E"/>
        </w:rPr>
        <w:t>estrangeiros, o câmbio doméstico ganhou força e fechou 2023 com queda de 8% aos R$ 4,8525.</w:t>
      </w:r>
    </w:p>
    <w:p>
      <w:pPr>
        <w:pStyle w:val="BodyText"/>
        <w:spacing w:after="0"/>
        <w:jc w:val="both"/>
        <w:sectPr>
          <w:pgSz w:w="11920" w:h="16850"/>
          <w:pgMar w:top="1320" w:bottom="280" w:left="992" w:right="141"/>
        </w:sectPr>
      </w:pPr>
    </w:p>
    <w:p>
      <w:pPr>
        <w:pStyle w:val="Heading3"/>
        <w:spacing w:before="19"/>
      </w:pPr>
      <w:r>
        <w:rPr>
          <w:spacing w:val="-2"/>
        </w:rPr>
        <w:t>Bolsa</w:t>
      </w:r>
    </w:p>
    <w:p>
      <w:pPr>
        <w:pStyle w:val="BodyText"/>
        <w:spacing w:before="240"/>
        <w:ind w:left="609" w:right="1262" w:firstLine="707"/>
        <w:jc w:val="both"/>
      </w:pPr>
      <w:r>
        <w:rPr>
          <w:color w:val="0D0E0E"/>
        </w:rPr>
        <w:t>Com influencia principalmente dos movimentos de corte dos juros, a B3, bolsa de valores</w:t>
      </w:r>
      <w:r>
        <w:rPr>
          <w:color w:val="0D0E0E"/>
          <w:spacing w:val="-13"/>
        </w:rPr>
        <w:t> </w:t>
      </w:r>
      <w:r>
        <w:rPr>
          <w:color w:val="0D0E0E"/>
        </w:rPr>
        <w:t>brasileira,</w:t>
      </w:r>
      <w:r>
        <w:rPr>
          <w:color w:val="0D0E0E"/>
          <w:spacing w:val="-14"/>
        </w:rPr>
        <w:t> </w:t>
      </w:r>
      <w:r>
        <w:rPr>
          <w:color w:val="0D0E0E"/>
        </w:rPr>
        <w:t>representada</w:t>
      </w:r>
      <w:r>
        <w:rPr>
          <w:color w:val="0D0E0E"/>
          <w:spacing w:val="-14"/>
        </w:rPr>
        <w:t> </w:t>
      </w:r>
      <w:r>
        <w:rPr>
          <w:color w:val="0D0E0E"/>
        </w:rPr>
        <w:t>pelo</w:t>
      </w:r>
      <w:r>
        <w:rPr>
          <w:color w:val="0D0E0E"/>
          <w:spacing w:val="-12"/>
        </w:rPr>
        <w:t> </w:t>
      </w:r>
      <w:r>
        <w:rPr>
          <w:color w:val="0D0E0E"/>
        </w:rPr>
        <w:t>índice</w:t>
      </w:r>
      <w:r>
        <w:rPr>
          <w:color w:val="0D0E0E"/>
          <w:spacing w:val="-12"/>
        </w:rPr>
        <w:t> </w:t>
      </w:r>
      <w:r>
        <w:rPr>
          <w:color w:val="0D0E0E"/>
        </w:rPr>
        <w:t>IBOVESPA</w:t>
      </w:r>
      <w:r>
        <w:rPr>
          <w:color w:val="0D0E0E"/>
          <w:spacing w:val="-12"/>
        </w:rPr>
        <w:t> </w:t>
      </w:r>
      <w:r>
        <w:rPr>
          <w:color w:val="0D0E0E"/>
        </w:rPr>
        <w:t>fechou</w:t>
      </w:r>
      <w:r>
        <w:rPr>
          <w:color w:val="0D0E0E"/>
          <w:spacing w:val="-11"/>
        </w:rPr>
        <w:t> </w:t>
      </w:r>
      <w:r>
        <w:rPr>
          <w:color w:val="0D0E0E"/>
        </w:rPr>
        <w:t>o</w:t>
      </w:r>
      <w:r>
        <w:rPr>
          <w:color w:val="0D0E0E"/>
          <w:spacing w:val="-14"/>
        </w:rPr>
        <w:t> </w:t>
      </w:r>
      <w:r>
        <w:rPr>
          <w:color w:val="0D0E0E"/>
        </w:rPr>
        <w:t>ano</w:t>
      </w:r>
      <w:r>
        <w:rPr>
          <w:color w:val="0D0E0E"/>
          <w:spacing w:val="-14"/>
        </w:rPr>
        <w:t> </w:t>
      </w:r>
      <w:r>
        <w:rPr>
          <w:color w:val="0D0E0E"/>
        </w:rPr>
        <w:t>de</w:t>
      </w:r>
      <w:r>
        <w:rPr>
          <w:color w:val="0D0E0E"/>
          <w:spacing w:val="-13"/>
        </w:rPr>
        <w:t> </w:t>
      </w:r>
      <w:r>
        <w:rPr>
          <w:color w:val="0D0E0E"/>
        </w:rPr>
        <w:t>2023</w:t>
      </w:r>
      <w:r>
        <w:rPr>
          <w:color w:val="0D0E0E"/>
          <w:spacing w:val="-11"/>
        </w:rPr>
        <w:t> </w:t>
      </w:r>
      <w:r>
        <w:rPr>
          <w:color w:val="0D0E0E"/>
        </w:rPr>
        <w:t>com</w:t>
      </w:r>
      <w:r>
        <w:rPr>
          <w:color w:val="0D0E0E"/>
          <w:spacing w:val="-11"/>
        </w:rPr>
        <w:t> </w:t>
      </w:r>
      <w:r>
        <w:rPr>
          <w:color w:val="0D0E0E"/>
        </w:rPr>
        <w:t>valorização superior a 22% no ano e pontuação de 134.185 pontos.</w:t>
      </w:r>
    </w:p>
    <w:p>
      <w:pPr>
        <w:pStyle w:val="BodyText"/>
        <w:spacing w:before="239"/>
        <w:ind w:left="609" w:right="1256" w:firstLine="707"/>
        <w:jc w:val="both"/>
      </w:pPr>
      <w:r>
        <w:rPr>
          <w:color w:val="0D0E0E"/>
        </w:rPr>
        <w:t>Além do fator Selic, o movimento do mercado acionário também não deixou de ser incentivado pelo fator externo que trouxe uma perspectiva de melhora dos rumos inflacionários</w:t>
      </w:r>
      <w:r>
        <w:rPr>
          <w:color w:val="0D0E0E"/>
          <w:spacing w:val="-14"/>
        </w:rPr>
        <w:t> </w:t>
      </w:r>
      <w:r>
        <w:rPr>
          <w:color w:val="0D0E0E"/>
        </w:rPr>
        <w:t>ao</w:t>
      </w:r>
      <w:r>
        <w:rPr>
          <w:color w:val="0D0E0E"/>
          <w:spacing w:val="-14"/>
        </w:rPr>
        <w:t> </w:t>
      </w:r>
      <w:r>
        <w:rPr>
          <w:color w:val="0D0E0E"/>
        </w:rPr>
        <w:t>redor</w:t>
      </w:r>
      <w:r>
        <w:rPr>
          <w:color w:val="0D0E0E"/>
          <w:spacing w:val="-13"/>
        </w:rPr>
        <w:t> </w:t>
      </w:r>
      <w:r>
        <w:rPr>
          <w:color w:val="0D0E0E"/>
        </w:rPr>
        <w:t>do</w:t>
      </w:r>
      <w:r>
        <w:rPr>
          <w:color w:val="0D0E0E"/>
          <w:spacing w:val="-14"/>
        </w:rPr>
        <w:t> </w:t>
      </w:r>
      <w:r>
        <w:rPr>
          <w:color w:val="0D0E0E"/>
        </w:rPr>
        <w:t>mundo,</w:t>
      </w:r>
      <w:r>
        <w:rPr>
          <w:color w:val="0D0E0E"/>
          <w:spacing w:val="-13"/>
        </w:rPr>
        <w:t> </w:t>
      </w:r>
      <w:r>
        <w:rPr>
          <w:color w:val="0D0E0E"/>
        </w:rPr>
        <w:t>que</w:t>
      </w:r>
      <w:r>
        <w:rPr>
          <w:color w:val="0D0E0E"/>
          <w:spacing w:val="-14"/>
        </w:rPr>
        <w:t> </w:t>
      </w:r>
      <w:r>
        <w:rPr>
          <w:color w:val="0D0E0E"/>
        </w:rPr>
        <w:t>por</w:t>
      </w:r>
      <w:r>
        <w:rPr>
          <w:color w:val="0D0E0E"/>
          <w:spacing w:val="-13"/>
        </w:rPr>
        <w:t> </w:t>
      </w:r>
      <w:r>
        <w:rPr>
          <w:color w:val="0D0E0E"/>
        </w:rPr>
        <w:t>sua</w:t>
      </w:r>
      <w:r>
        <w:rPr>
          <w:color w:val="0D0E0E"/>
          <w:spacing w:val="-14"/>
        </w:rPr>
        <w:t> </w:t>
      </w:r>
      <w:r>
        <w:rPr>
          <w:color w:val="0D0E0E"/>
        </w:rPr>
        <w:t>vez</w:t>
      </w:r>
      <w:r>
        <w:rPr>
          <w:color w:val="0D0E0E"/>
          <w:spacing w:val="-14"/>
        </w:rPr>
        <w:t> </w:t>
      </w:r>
      <w:r>
        <w:rPr>
          <w:color w:val="0D0E0E"/>
        </w:rPr>
        <w:t>favorece</w:t>
      </w:r>
      <w:r>
        <w:rPr>
          <w:color w:val="0D0E0E"/>
          <w:spacing w:val="-13"/>
        </w:rPr>
        <w:t> </w:t>
      </w:r>
      <w:r>
        <w:rPr>
          <w:color w:val="0D0E0E"/>
        </w:rPr>
        <w:t>a</w:t>
      </w:r>
      <w:r>
        <w:rPr>
          <w:color w:val="0D0E0E"/>
          <w:spacing w:val="-14"/>
        </w:rPr>
        <w:t> </w:t>
      </w:r>
      <w:r>
        <w:rPr>
          <w:color w:val="0D0E0E"/>
        </w:rPr>
        <w:t>possibilidade</w:t>
      </w:r>
      <w:r>
        <w:rPr>
          <w:color w:val="0D0E0E"/>
          <w:spacing w:val="-13"/>
        </w:rPr>
        <w:t> </w:t>
      </w:r>
      <w:r>
        <w:rPr>
          <w:color w:val="0D0E0E"/>
        </w:rPr>
        <w:t>de</w:t>
      </w:r>
      <w:r>
        <w:rPr>
          <w:color w:val="0D0E0E"/>
          <w:spacing w:val="-14"/>
        </w:rPr>
        <w:t> </w:t>
      </w:r>
      <w:r>
        <w:rPr>
          <w:color w:val="0D0E0E"/>
        </w:rPr>
        <w:t>cortes</w:t>
      </w:r>
      <w:r>
        <w:rPr>
          <w:color w:val="0D0E0E"/>
          <w:spacing w:val="-13"/>
        </w:rPr>
        <w:t> </w:t>
      </w:r>
      <w:r>
        <w:rPr>
          <w:color w:val="0D0E0E"/>
        </w:rPr>
        <w:t>de</w:t>
      </w:r>
      <w:r>
        <w:rPr>
          <w:color w:val="0D0E0E"/>
          <w:spacing w:val="-14"/>
        </w:rPr>
        <w:t> </w:t>
      </w:r>
      <w:r>
        <w:rPr>
          <w:color w:val="0D0E0E"/>
        </w:rPr>
        <w:t>juros num horizonte cada vez mais próximo, permitindo, portanto, uma continua redução dos juros na economia interna.</w:t>
      </w:r>
    </w:p>
    <w:p>
      <w:pPr>
        <w:pStyle w:val="BodyText"/>
        <w:spacing w:before="242"/>
        <w:ind w:left="704" w:right="644"/>
        <w:jc w:val="center"/>
      </w:pPr>
      <w:r>
        <w:rPr>
          <w:color w:val="0D0E0E"/>
        </w:rPr>
        <w:t>IBOVESPA</w:t>
      </w:r>
      <w:r>
        <w:rPr>
          <w:color w:val="0D0E0E"/>
          <w:spacing w:val="-3"/>
        </w:rPr>
        <w:t> </w:t>
      </w:r>
      <w:r>
        <w:rPr>
          <w:color w:val="0D0E0E"/>
        </w:rPr>
        <w:t>–</w:t>
      </w:r>
      <w:r>
        <w:rPr>
          <w:color w:val="0D0E0E"/>
          <w:spacing w:val="-1"/>
        </w:rPr>
        <w:t> </w:t>
      </w:r>
      <w:r>
        <w:rPr>
          <w:color w:val="0D0E0E"/>
          <w:spacing w:val="-4"/>
        </w:rPr>
        <w:t>2023:</w:t>
      </w:r>
    </w:p>
    <w:p>
      <w:pPr>
        <w:pStyle w:val="BodyText"/>
        <w:spacing w:before="10"/>
        <w:rPr>
          <w:sz w:val="16"/>
        </w:rPr>
      </w:pPr>
      <w:r>
        <w:rPr>
          <w:sz w:val="16"/>
        </w:rPr>
        <w:drawing>
          <wp:anchor distT="0" distB="0" distL="0" distR="0" allowOverlap="1" layoutInCell="1" locked="0" behindDoc="1" simplePos="0" relativeHeight="487602688">
            <wp:simplePos x="0" y="0"/>
            <wp:positionH relativeFrom="page">
              <wp:posOffset>1043939</wp:posOffset>
            </wp:positionH>
            <wp:positionV relativeFrom="paragraph">
              <wp:posOffset>146230</wp:posOffset>
            </wp:positionV>
            <wp:extent cx="5678333" cy="2279618"/>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34" cstate="print"/>
                    <a:stretch>
                      <a:fillRect/>
                    </a:stretch>
                  </pic:blipFill>
                  <pic:spPr>
                    <a:xfrm>
                      <a:off x="0" y="0"/>
                      <a:ext cx="5678333" cy="2279618"/>
                    </a:xfrm>
                    <a:prstGeom prst="rect">
                      <a:avLst/>
                    </a:prstGeom>
                  </pic:spPr>
                </pic:pic>
              </a:graphicData>
            </a:graphic>
          </wp:anchor>
        </w:drawing>
      </w:r>
    </w:p>
    <w:p>
      <w:pPr>
        <w:pStyle w:val="BodyText"/>
      </w:pPr>
    </w:p>
    <w:p>
      <w:pPr>
        <w:pStyle w:val="BodyText"/>
      </w:pPr>
    </w:p>
    <w:p>
      <w:pPr>
        <w:pStyle w:val="BodyText"/>
        <w:spacing w:before="176"/>
      </w:pPr>
    </w:p>
    <w:p>
      <w:pPr>
        <w:pStyle w:val="Heading3"/>
      </w:pPr>
      <w:r>
        <w:rPr/>
        <w:t>Renda</w:t>
      </w:r>
      <w:r>
        <w:rPr>
          <w:spacing w:val="-3"/>
        </w:rPr>
        <w:t> </w:t>
      </w:r>
      <w:r>
        <w:rPr>
          <w:spacing w:val="-4"/>
        </w:rPr>
        <w:t>Fixa</w:t>
      </w:r>
    </w:p>
    <w:p>
      <w:pPr>
        <w:pStyle w:val="BodyText"/>
        <w:spacing w:before="239"/>
        <w:ind w:left="609" w:right="1252" w:firstLine="707"/>
        <w:jc w:val="both"/>
      </w:pPr>
      <w:r>
        <w:rPr>
          <w:color w:val="0D0E0E"/>
        </w:rPr>
        <w:t>Frente</w:t>
      </w:r>
      <w:r>
        <w:rPr>
          <w:color w:val="0D0E0E"/>
          <w:spacing w:val="-3"/>
        </w:rPr>
        <w:t> </w:t>
      </w:r>
      <w:r>
        <w:rPr>
          <w:color w:val="0D0E0E"/>
        </w:rPr>
        <w:t>ao</w:t>
      </w:r>
      <w:r>
        <w:rPr>
          <w:color w:val="0D0E0E"/>
          <w:spacing w:val="-3"/>
        </w:rPr>
        <w:t> </w:t>
      </w:r>
      <w:r>
        <w:rPr>
          <w:color w:val="0D0E0E"/>
        </w:rPr>
        <w:t>cenário</w:t>
      </w:r>
      <w:r>
        <w:rPr>
          <w:color w:val="0D0E0E"/>
          <w:spacing w:val="-5"/>
        </w:rPr>
        <w:t> </w:t>
      </w:r>
      <w:r>
        <w:rPr>
          <w:color w:val="0D0E0E"/>
        </w:rPr>
        <w:t>de</w:t>
      </w:r>
      <w:r>
        <w:rPr>
          <w:color w:val="0D0E0E"/>
          <w:spacing w:val="-6"/>
        </w:rPr>
        <w:t> </w:t>
      </w:r>
      <w:r>
        <w:rPr>
          <w:color w:val="0D0E0E"/>
        </w:rPr>
        <w:t>queda</w:t>
      </w:r>
      <w:r>
        <w:rPr>
          <w:color w:val="0D0E0E"/>
          <w:spacing w:val="-6"/>
        </w:rPr>
        <w:t> </w:t>
      </w:r>
      <w:r>
        <w:rPr>
          <w:color w:val="0D0E0E"/>
        </w:rPr>
        <w:t>de</w:t>
      </w:r>
      <w:r>
        <w:rPr>
          <w:color w:val="0D0E0E"/>
          <w:spacing w:val="-3"/>
        </w:rPr>
        <w:t> </w:t>
      </w:r>
      <w:r>
        <w:rPr>
          <w:color w:val="0D0E0E"/>
        </w:rPr>
        <w:t>juros</w:t>
      </w:r>
      <w:r>
        <w:rPr>
          <w:color w:val="0D0E0E"/>
          <w:spacing w:val="-3"/>
        </w:rPr>
        <w:t> </w:t>
      </w:r>
      <w:r>
        <w:rPr>
          <w:color w:val="0D0E0E"/>
        </w:rPr>
        <w:t>e</w:t>
      </w:r>
      <w:r>
        <w:rPr>
          <w:color w:val="0D0E0E"/>
          <w:spacing w:val="-6"/>
        </w:rPr>
        <w:t> </w:t>
      </w:r>
      <w:r>
        <w:rPr>
          <w:color w:val="0D0E0E"/>
        </w:rPr>
        <w:t>controle</w:t>
      </w:r>
      <w:r>
        <w:rPr>
          <w:color w:val="0D0E0E"/>
          <w:spacing w:val="-5"/>
        </w:rPr>
        <w:t> </w:t>
      </w:r>
      <w:r>
        <w:rPr>
          <w:color w:val="0D0E0E"/>
        </w:rPr>
        <w:t>inflacionária,</w:t>
      </w:r>
      <w:r>
        <w:rPr>
          <w:color w:val="0D0E0E"/>
          <w:spacing w:val="-6"/>
        </w:rPr>
        <w:t> </w:t>
      </w:r>
      <w:r>
        <w:rPr>
          <w:color w:val="0D0E0E"/>
        </w:rPr>
        <w:t>e</w:t>
      </w:r>
      <w:r>
        <w:rPr>
          <w:color w:val="0D0E0E"/>
          <w:spacing w:val="-6"/>
        </w:rPr>
        <w:t> </w:t>
      </w:r>
      <w:r>
        <w:rPr>
          <w:color w:val="0D0E0E"/>
        </w:rPr>
        <w:t>ainda</w:t>
      </w:r>
      <w:r>
        <w:rPr>
          <w:color w:val="0D0E0E"/>
          <w:spacing w:val="-4"/>
        </w:rPr>
        <w:t> </w:t>
      </w:r>
      <w:r>
        <w:rPr>
          <w:color w:val="0D0E0E"/>
        </w:rPr>
        <w:t>com</w:t>
      </w:r>
      <w:r>
        <w:rPr>
          <w:color w:val="0D0E0E"/>
          <w:spacing w:val="-5"/>
        </w:rPr>
        <w:t> </w:t>
      </w:r>
      <w:r>
        <w:rPr>
          <w:color w:val="0D0E0E"/>
        </w:rPr>
        <w:t>a</w:t>
      </w:r>
      <w:r>
        <w:rPr>
          <w:color w:val="0D0E0E"/>
          <w:spacing w:val="-9"/>
        </w:rPr>
        <w:t> </w:t>
      </w:r>
      <w:r>
        <w:rPr>
          <w:color w:val="0D0E0E"/>
        </w:rPr>
        <w:t>oscilação da</w:t>
      </w:r>
      <w:r>
        <w:rPr>
          <w:color w:val="0D0E0E"/>
          <w:spacing w:val="-14"/>
        </w:rPr>
        <w:t> </w:t>
      </w:r>
      <w:r>
        <w:rPr>
          <w:color w:val="0D0E0E"/>
        </w:rPr>
        <w:t>curva</w:t>
      </w:r>
      <w:r>
        <w:rPr>
          <w:color w:val="0D0E0E"/>
          <w:spacing w:val="-14"/>
        </w:rPr>
        <w:t> </w:t>
      </w:r>
      <w:r>
        <w:rPr>
          <w:color w:val="0D0E0E"/>
        </w:rPr>
        <w:t>de</w:t>
      </w:r>
      <w:r>
        <w:rPr>
          <w:color w:val="0D0E0E"/>
          <w:spacing w:val="-13"/>
        </w:rPr>
        <w:t> </w:t>
      </w:r>
      <w:r>
        <w:rPr>
          <w:color w:val="0D0E0E"/>
        </w:rPr>
        <w:t>juros</w:t>
      </w:r>
      <w:r>
        <w:rPr>
          <w:color w:val="0D0E0E"/>
          <w:spacing w:val="-14"/>
        </w:rPr>
        <w:t> </w:t>
      </w:r>
      <w:r>
        <w:rPr>
          <w:color w:val="0D0E0E"/>
        </w:rPr>
        <w:t>futura,</w:t>
      </w:r>
      <w:r>
        <w:rPr>
          <w:color w:val="0D0E0E"/>
          <w:spacing w:val="-13"/>
        </w:rPr>
        <w:t> </w:t>
      </w:r>
      <w:r>
        <w:rPr>
          <w:color w:val="0D0E0E"/>
        </w:rPr>
        <w:t>no</w:t>
      </w:r>
      <w:r>
        <w:rPr>
          <w:color w:val="0D0E0E"/>
          <w:spacing w:val="-14"/>
        </w:rPr>
        <w:t> </w:t>
      </w:r>
      <w:r>
        <w:rPr>
          <w:color w:val="0D0E0E"/>
        </w:rPr>
        <w:t>ano,</w:t>
      </w:r>
      <w:r>
        <w:rPr>
          <w:color w:val="0D0E0E"/>
          <w:spacing w:val="-13"/>
        </w:rPr>
        <w:t> </w:t>
      </w:r>
      <w:r>
        <w:rPr>
          <w:color w:val="0D0E0E"/>
        </w:rPr>
        <w:t>os</w:t>
      </w:r>
      <w:r>
        <w:rPr>
          <w:color w:val="0D0E0E"/>
          <w:spacing w:val="-14"/>
        </w:rPr>
        <w:t> </w:t>
      </w:r>
      <w:r>
        <w:rPr>
          <w:color w:val="0D0E0E"/>
        </w:rPr>
        <w:t>índices</w:t>
      </w:r>
      <w:r>
        <w:rPr>
          <w:color w:val="0D0E0E"/>
          <w:spacing w:val="-14"/>
        </w:rPr>
        <w:t> </w:t>
      </w:r>
      <w:r>
        <w:rPr>
          <w:color w:val="0D0E0E"/>
        </w:rPr>
        <w:t>ANBIMA</w:t>
      </w:r>
      <w:r>
        <w:rPr>
          <w:color w:val="0D0E0E"/>
          <w:spacing w:val="-13"/>
        </w:rPr>
        <w:t> </w:t>
      </w:r>
      <w:r>
        <w:rPr>
          <w:color w:val="0D0E0E"/>
        </w:rPr>
        <w:t>performaram</w:t>
      </w:r>
      <w:r>
        <w:rPr>
          <w:color w:val="0D0E0E"/>
          <w:spacing w:val="-12"/>
        </w:rPr>
        <w:t> </w:t>
      </w:r>
      <w:r>
        <w:rPr>
          <w:color w:val="0D0E0E"/>
        </w:rPr>
        <w:t>da</w:t>
      </w:r>
      <w:r>
        <w:rPr>
          <w:color w:val="0D0E0E"/>
          <w:spacing w:val="-14"/>
        </w:rPr>
        <w:t> </w:t>
      </w:r>
      <w:r>
        <w:rPr>
          <w:color w:val="0D0E0E"/>
        </w:rPr>
        <w:t>seguinte</w:t>
      </w:r>
      <w:r>
        <w:rPr>
          <w:color w:val="0D0E0E"/>
          <w:spacing w:val="-13"/>
        </w:rPr>
        <w:t> </w:t>
      </w:r>
      <w:r>
        <w:rPr>
          <w:color w:val="0D0E0E"/>
        </w:rPr>
        <w:t>maneira:</w:t>
      </w:r>
      <w:r>
        <w:rPr>
          <w:color w:val="0D0E0E"/>
          <w:spacing w:val="-12"/>
        </w:rPr>
        <w:t> </w:t>
      </w:r>
      <w:r>
        <w:rPr>
          <w:color w:val="0D0E0E"/>
        </w:rPr>
        <w:t>IMA- B 5+ (19,28%), IMA-B (16,05%), IMA Geral (14,80%) e IMA-B 5 (12,13%).</w:t>
      </w:r>
    </w:p>
    <w:p>
      <w:pPr>
        <w:pStyle w:val="BodyText"/>
        <w:spacing w:before="239"/>
        <w:ind w:left="609" w:right="1259" w:firstLine="707"/>
        <w:jc w:val="both"/>
      </w:pPr>
      <w:r>
        <w:rPr>
          <w:color w:val="0D0E0E"/>
        </w:rPr>
        <w:t>No grupo dos prefixados, as performances ficaram sob a seguinte sequência, sob janela anual: IRF-M 1+ (18,52%), IRF-M (16,51%) e IRF-M 1 (13,25%).</w:t>
      </w:r>
    </w:p>
    <w:p>
      <w:pPr>
        <w:pStyle w:val="BodyText"/>
        <w:spacing w:before="240"/>
        <w:ind w:left="609" w:right="1250" w:firstLine="707"/>
        <w:jc w:val="both"/>
      </w:pPr>
      <w:r>
        <w:rPr>
          <w:color w:val="0D0E0E"/>
        </w:rPr>
        <w:t>Quanto aos índices de prazos constantes, IDKA-Pré 2a teve variação de 17,03% no ano</w:t>
      </w:r>
      <w:r>
        <w:rPr>
          <w:color w:val="0D0E0E"/>
          <w:spacing w:val="-3"/>
        </w:rPr>
        <w:t> </w:t>
      </w:r>
      <w:r>
        <w:rPr>
          <w:color w:val="0D0E0E"/>
        </w:rPr>
        <w:t>e</w:t>
      </w:r>
      <w:r>
        <w:rPr>
          <w:color w:val="0D0E0E"/>
          <w:spacing w:val="-4"/>
        </w:rPr>
        <w:t> </w:t>
      </w:r>
      <w:r>
        <w:rPr>
          <w:color w:val="0D0E0E"/>
        </w:rPr>
        <w:t>1,36%</w:t>
      </w:r>
      <w:r>
        <w:rPr>
          <w:color w:val="0D0E0E"/>
          <w:spacing w:val="-5"/>
        </w:rPr>
        <w:t> </w:t>
      </w:r>
      <w:r>
        <w:rPr>
          <w:color w:val="0D0E0E"/>
        </w:rPr>
        <w:t>no</w:t>
      </w:r>
      <w:r>
        <w:rPr>
          <w:color w:val="0D0E0E"/>
          <w:spacing w:val="-3"/>
        </w:rPr>
        <w:t> </w:t>
      </w:r>
      <w:r>
        <w:rPr>
          <w:color w:val="0D0E0E"/>
        </w:rPr>
        <w:t>mês</w:t>
      </w:r>
      <w:r>
        <w:rPr>
          <w:color w:val="0D0E0E"/>
          <w:spacing w:val="-3"/>
        </w:rPr>
        <w:t> </w:t>
      </w:r>
      <w:r>
        <w:rPr>
          <w:color w:val="0D0E0E"/>
        </w:rPr>
        <w:t>enquanto</w:t>
      </w:r>
      <w:r>
        <w:rPr>
          <w:color w:val="0D0E0E"/>
          <w:spacing w:val="-2"/>
        </w:rPr>
        <w:t> </w:t>
      </w:r>
      <w:r>
        <w:rPr>
          <w:color w:val="0D0E0E"/>
        </w:rPr>
        <w:t>o</w:t>
      </w:r>
      <w:r>
        <w:rPr>
          <w:color w:val="0D0E0E"/>
          <w:spacing w:val="-4"/>
        </w:rPr>
        <w:t> </w:t>
      </w:r>
      <w:r>
        <w:rPr>
          <w:color w:val="0D0E0E"/>
        </w:rPr>
        <w:t>IDKA-IPCA</w:t>
      </w:r>
      <w:r>
        <w:rPr>
          <w:color w:val="0D0E0E"/>
          <w:spacing w:val="-4"/>
        </w:rPr>
        <w:t> </w:t>
      </w:r>
      <w:r>
        <w:rPr>
          <w:color w:val="0D0E0E"/>
        </w:rPr>
        <w:t>2a</w:t>
      </w:r>
      <w:r>
        <w:rPr>
          <w:color w:val="0D0E0E"/>
          <w:spacing w:val="-3"/>
        </w:rPr>
        <w:t> </w:t>
      </w:r>
      <w:r>
        <w:rPr>
          <w:color w:val="0D0E0E"/>
        </w:rPr>
        <w:t>obteve</w:t>
      </w:r>
      <w:r>
        <w:rPr>
          <w:color w:val="0D0E0E"/>
          <w:spacing w:val="-4"/>
        </w:rPr>
        <w:t> </w:t>
      </w:r>
      <w:r>
        <w:rPr>
          <w:color w:val="0D0E0E"/>
        </w:rPr>
        <w:t>oscilação</w:t>
      </w:r>
      <w:r>
        <w:rPr>
          <w:color w:val="0D0E0E"/>
          <w:spacing w:val="-3"/>
        </w:rPr>
        <w:t> </w:t>
      </w:r>
      <w:r>
        <w:rPr>
          <w:color w:val="0D0E0E"/>
        </w:rPr>
        <w:t>também</w:t>
      </w:r>
      <w:r>
        <w:rPr>
          <w:color w:val="0D0E0E"/>
          <w:spacing w:val="-3"/>
        </w:rPr>
        <w:t> </w:t>
      </w:r>
      <w:r>
        <w:rPr>
          <w:color w:val="0D0E0E"/>
        </w:rPr>
        <w:t>de 1,36%</w:t>
      </w:r>
      <w:r>
        <w:rPr>
          <w:color w:val="0D0E0E"/>
          <w:spacing w:val="-3"/>
        </w:rPr>
        <w:t> </w:t>
      </w:r>
      <w:r>
        <w:rPr>
          <w:color w:val="0D0E0E"/>
        </w:rPr>
        <w:t>no</w:t>
      </w:r>
      <w:r>
        <w:rPr>
          <w:color w:val="0D0E0E"/>
          <w:spacing w:val="-4"/>
        </w:rPr>
        <w:t> </w:t>
      </w:r>
      <w:r>
        <w:rPr>
          <w:color w:val="0D0E0E"/>
        </w:rPr>
        <w:t>mês</w:t>
      </w:r>
      <w:r>
        <w:rPr>
          <w:color w:val="0D0E0E"/>
          <w:spacing w:val="-4"/>
        </w:rPr>
        <w:t> </w:t>
      </w:r>
      <w:r>
        <w:rPr>
          <w:color w:val="0D0E0E"/>
        </w:rPr>
        <w:t>e 12,13% no ano.</w:t>
      </w:r>
    </w:p>
    <w:p>
      <w:pPr>
        <w:pStyle w:val="BodyText"/>
        <w:spacing w:after="0"/>
        <w:jc w:val="both"/>
        <w:sectPr>
          <w:pgSz w:w="11920" w:h="16850"/>
          <w:pgMar w:top="1340" w:bottom="280" w:left="992" w:right="141"/>
        </w:sectPr>
      </w:pPr>
    </w:p>
    <w:p>
      <w:pPr>
        <w:pStyle w:val="Heading1"/>
      </w:pPr>
      <w:r>
        <w:rPr/>
        <w:t>CONCLUSÃO</w:t>
      </w:r>
      <w:r>
        <w:rPr>
          <w:spacing w:val="-3"/>
        </w:rPr>
        <w:t> </w:t>
      </w:r>
      <w:r>
        <w:rPr/>
        <w:t>E</w:t>
      </w:r>
      <w:r>
        <w:rPr>
          <w:spacing w:val="-3"/>
        </w:rPr>
        <w:t> </w:t>
      </w:r>
      <w:r>
        <w:rPr>
          <w:spacing w:val="-2"/>
        </w:rPr>
        <w:t>PERSPECTIVAS</w:t>
      </w:r>
    </w:p>
    <w:p>
      <w:pPr>
        <w:pStyle w:val="BodyText"/>
        <w:spacing w:before="240"/>
        <w:ind w:left="609" w:right="1250" w:firstLine="707"/>
        <w:jc w:val="both"/>
      </w:pPr>
      <w:r>
        <w:rPr>
          <w:color w:val="0D0E0E"/>
        </w:rPr>
        <w:t>O ano de 2023 foi um</w:t>
      </w:r>
      <w:r>
        <w:rPr>
          <w:color w:val="0D0E0E"/>
          <w:spacing w:val="-1"/>
        </w:rPr>
        <w:t> </w:t>
      </w:r>
      <w:r>
        <w:rPr>
          <w:color w:val="0D0E0E"/>
        </w:rPr>
        <w:t>ano extremamente desafiador e carregado de incertezas</w:t>
      </w:r>
      <w:r>
        <w:rPr>
          <w:color w:val="0D0E0E"/>
          <w:spacing w:val="-1"/>
        </w:rPr>
        <w:t> </w:t>
      </w:r>
      <w:r>
        <w:rPr>
          <w:color w:val="0D0E0E"/>
        </w:rPr>
        <w:t>para as nações ao redor do mundo e para o Brasil. O combate à inflação foi pauta em todos os meses e</w:t>
      </w:r>
      <w:r>
        <w:rPr>
          <w:color w:val="0D0E0E"/>
          <w:spacing w:val="-4"/>
        </w:rPr>
        <w:t> </w:t>
      </w:r>
      <w:r>
        <w:rPr>
          <w:color w:val="0D0E0E"/>
        </w:rPr>
        <w:t>de</w:t>
      </w:r>
      <w:r>
        <w:rPr>
          <w:color w:val="0D0E0E"/>
          <w:spacing w:val="-1"/>
        </w:rPr>
        <w:t> </w:t>
      </w:r>
      <w:r>
        <w:rPr>
          <w:color w:val="0D0E0E"/>
        </w:rPr>
        <w:t>certa</w:t>
      </w:r>
      <w:r>
        <w:rPr>
          <w:color w:val="0D0E0E"/>
          <w:spacing w:val="-2"/>
        </w:rPr>
        <w:t> </w:t>
      </w:r>
      <w:r>
        <w:rPr>
          <w:color w:val="0D0E0E"/>
        </w:rPr>
        <w:t>forma</w:t>
      </w:r>
      <w:r>
        <w:rPr>
          <w:color w:val="0D0E0E"/>
          <w:spacing w:val="-4"/>
        </w:rPr>
        <w:t> </w:t>
      </w:r>
      <w:r>
        <w:rPr>
          <w:color w:val="0D0E0E"/>
        </w:rPr>
        <w:t>ainda</w:t>
      </w:r>
      <w:r>
        <w:rPr>
          <w:color w:val="0D0E0E"/>
          <w:spacing w:val="-2"/>
        </w:rPr>
        <w:t> </w:t>
      </w:r>
      <w:r>
        <w:rPr>
          <w:color w:val="0D0E0E"/>
        </w:rPr>
        <w:t>segue</w:t>
      </w:r>
      <w:r>
        <w:rPr>
          <w:color w:val="0D0E0E"/>
          <w:spacing w:val="-1"/>
        </w:rPr>
        <w:t> </w:t>
      </w:r>
      <w:r>
        <w:rPr>
          <w:color w:val="0D0E0E"/>
        </w:rPr>
        <w:t>no</w:t>
      </w:r>
      <w:r>
        <w:rPr>
          <w:color w:val="0D0E0E"/>
          <w:spacing w:val="-1"/>
        </w:rPr>
        <w:t> </w:t>
      </w:r>
      <w:r>
        <w:rPr>
          <w:color w:val="0D0E0E"/>
        </w:rPr>
        <w:t>radar</w:t>
      </w:r>
      <w:r>
        <w:rPr>
          <w:color w:val="0D0E0E"/>
          <w:spacing w:val="-1"/>
        </w:rPr>
        <w:t> </w:t>
      </w:r>
      <w:r>
        <w:rPr>
          <w:color w:val="0D0E0E"/>
        </w:rPr>
        <w:t>das</w:t>
      </w:r>
      <w:r>
        <w:rPr>
          <w:color w:val="0D0E0E"/>
          <w:spacing w:val="-2"/>
        </w:rPr>
        <w:t> </w:t>
      </w:r>
      <w:r>
        <w:rPr>
          <w:color w:val="0D0E0E"/>
        </w:rPr>
        <w:t>principais</w:t>
      </w:r>
      <w:r>
        <w:rPr>
          <w:color w:val="0D0E0E"/>
          <w:spacing w:val="-2"/>
        </w:rPr>
        <w:t> </w:t>
      </w:r>
      <w:r>
        <w:rPr>
          <w:color w:val="0D0E0E"/>
        </w:rPr>
        <w:t>economias</w:t>
      </w:r>
      <w:r>
        <w:rPr>
          <w:color w:val="0D0E0E"/>
          <w:spacing w:val="-2"/>
        </w:rPr>
        <w:t> </w:t>
      </w:r>
      <w:r>
        <w:rPr>
          <w:color w:val="0D0E0E"/>
        </w:rPr>
        <w:t>ao</w:t>
      </w:r>
      <w:r>
        <w:rPr>
          <w:color w:val="0D0E0E"/>
          <w:spacing w:val="-1"/>
        </w:rPr>
        <w:t> </w:t>
      </w:r>
      <w:r>
        <w:rPr>
          <w:color w:val="0D0E0E"/>
        </w:rPr>
        <w:t>redor</w:t>
      </w:r>
      <w:r>
        <w:rPr>
          <w:color w:val="0D0E0E"/>
          <w:spacing w:val="-1"/>
        </w:rPr>
        <w:t> </w:t>
      </w:r>
      <w:r>
        <w:rPr>
          <w:color w:val="0D0E0E"/>
        </w:rPr>
        <w:t>do mundo, ainda que a mesma se mostra em conversão para suas respectivas metas.</w:t>
      </w:r>
    </w:p>
    <w:p>
      <w:pPr>
        <w:pStyle w:val="BodyText"/>
        <w:spacing w:before="239"/>
        <w:ind w:left="609" w:right="1260" w:firstLine="707"/>
        <w:jc w:val="both"/>
      </w:pPr>
      <w:r>
        <w:rPr>
          <w:color w:val="0D0E0E"/>
        </w:rPr>
        <w:t>O mercado segue divergindo entre as direções em que grandes economias, como a americana, passarão nos próximos períodos, um lado já considera que o “pouso suave” é realidade, e a outra ala não descarta a possibilidade de uma recessão moderada.</w:t>
      </w:r>
    </w:p>
    <w:p>
      <w:pPr>
        <w:pStyle w:val="BodyText"/>
        <w:spacing w:before="242"/>
        <w:ind w:left="609" w:right="1259" w:firstLine="707"/>
        <w:jc w:val="both"/>
      </w:pPr>
      <w:r>
        <w:rPr>
          <w:color w:val="0D0E0E"/>
        </w:rPr>
        <w:t>Até o momento, as apostas do mercado para o início de corte de juros por parte do Federal Reserve estão concentradas para o final do 2º trimestre, porém mudanças dos fatores chaves podem postergar essa medida por parte do FED.</w:t>
      </w:r>
    </w:p>
    <w:p>
      <w:pPr>
        <w:pStyle w:val="BodyText"/>
        <w:spacing w:before="240"/>
        <w:ind w:left="609" w:right="1261" w:firstLine="707"/>
        <w:jc w:val="both"/>
      </w:pPr>
      <w:r>
        <w:rPr>
          <w:color w:val="0D0E0E"/>
        </w:rPr>
        <w:t>O setor imobiliário chines foi destaque e surpreendeu o mundo com os baixíssimos resultados do setor ao longo do ano de 2023, e este com certeza segue sendo um dos grandes alvos de incentivo do partido comunista chines ainda que o país tenha batido sua meta de crescimento segundo o premier da gigante asiática.</w:t>
      </w:r>
    </w:p>
    <w:p>
      <w:pPr>
        <w:pStyle w:val="BodyText"/>
        <w:spacing w:before="239"/>
        <w:ind w:left="609" w:right="1254" w:firstLine="707"/>
        <w:jc w:val="both"/>
      </w:pPr>
      <w:r>
        <w:rPr>
          <w:color w:val="0D0E0E"/>
        </w:rPr>
        <w:t>Na Europa, a retração econômica já é realidade para a Alemanha, principal motor industrial</w:t>
      </w:r>
      <w:r>
        <w:rPr>
          <w:color w:val="0D0E0E"/>
          <w:spacing w:val="-14"/>
        </w:rPr>
        <w:t> </w:t>
      </w:r>
      <w:r>
        <w:rPr>
          <w:color w:val="0D0E0E"/>
        </w:rPr>
        <w:t>europeu,</w:t>
      </w:r>
      <w:r>
        <w:rPr>
          <w:color w:val="0D0E0E"/>
          <w:spacing w:val="-14"/>
        </w:rPr>
        <w:t> </w:t>
      </w:r>
      <w:r>
        <w:rPr>
          <w:color w:val="0D0E0E"/>
        </w:rPr>
        <w:t>e</w:t>
      </w:r>
      <w:r>
        <w:rPr>
          <w:color w:val="0D0E0E"/>
          <w:spacing w:val="-13"/>
        </w:rPr>
        <w:t> </w:t>
      </w:r>
      <w:r>
        <w:rPr>
          <w:color w:val="0D0E0E"/>
        </w:rPr>
        <w:t>a</w:t>
      </w:r>
      <w:r>
        <w:rPr>
          <w:color w:val="0D0E0E"/>
          <w:spacing w:val="-14"/>
        </w:rPr>
        <w:t> </w:t>
      </w:r>
      <w:r>
        <w:rPr>
          <w:color w:val="0D0E0E"/>
        </w:rPr>
        <w:t>performance</w:t>
      </w:r>
      <w:r>
        <w:rPr>
          <w:color w:val="0D0E0E"/>
          <w:spacing w:val="-13"/>
        </w:rPr>
        <w:t> </w:t>
      </w:r>
      <w:r>
        <w:rPr>
          <w:color w:val="0D0E0E"/>
        </w:rPr>
        <w:t>de</w:t>
      </w:r>
      <w:r>
        <w:rPr>
          <w:color w:val="0D0E0E"/>
          <w:spacing w:val="-14"/>
        </w:rPr>
        <w:t> </w:t>
      </w:r>
      <w:r>
        <w:rPr>
          <w:color w:val="0D0E0E"/>
        </w:rPr>
        <w:t>outros</w:t>
      </w:r>
      <w:r>
        <w:rPr>
          <w:color w:val="0D0E0E"/>
          <w:spacing w:val="-13"/>
        </w:rPr>
        <w:t> </w:t>
      </w:r>
      <w:r>
        <w:rPr>
          <w:color w:val="0D0E0E"/>
        </w:rPr>
        <w:t>países,</w:t>
      </w:r>
      <w:r>
        <w:rPr>
          <w:color w:val="0D0E0E"/>
          <w:spacing w:val="-14"/>
        </w:rPr>
        <w:t> </w:t>
      </w:r>
      <w:r>
        <w:rPr>
          <w:color w:val="0D0E0E"/>
        </w:rPr>
        <w:t>como</w:t>
      </w:r>
      <w:r>
        <w:rPr>
          <w:color w:val="0D0E0E"/>
          <w:spacing w:val="-14"/>
        </w:rPr>
        <w:t> </w:t>
      </w:r>
      <w:r>
        <w:rPr>
          <w:color w:val="0D0E0E"/>
        </w:rPr>
        <w:t>o</w:t>
      </w:r>
      <w:r>
        <w:rPr>
          <w:color w:val="0D0E0E"/>
          <w:spacing w:val="-13"/>
        </w:rPr>
        <w:t> </w:t>
      </w:r>
      <w:r>
        <w:rPr>
          <w:color w:val="0D0E0E"/>
        </w:rPr>
        <w:t>Reino</w:t>
      </w:r>
      <w:r>
        <w:rPr>
          <w:color w:val="0D0E0E"/>
          <w:spacing w:val="-14"/>
        </w:rPr>
        <w:t> </w:t>
      </w:r>
      <w:r>
        <w:rPr>
          <w:color w:val="0D0E0E"/>
        </w:rPr>
        <w:t>Unido,</w:t>
      </w:r>
      <w:r>
        <w:rPr>
          <w:color w:val="0D0E0E"/>
          <w:spacing w:val="-13"/>
        </w:rPr>
        <w:t> </w:t>
      </w:r>
      <w:r>
        <w:rPr>
          <w:color w:val="0D0E0E"/>
        </w:rPr>
        <w:t>exercem</w:t>
      </w:r>
      <w:r>
        <w:rPr>
          <w:color w:val="0D0E0E"/>
          <w:spacing w:val="-14"/>
        </w:rPr>
        <w:t> </w:t>
      </w:r>
      <w:r>
        <w:rPr>
          <w:color w:val="0D0E0E"/>
        </w:rPr>
        <w:t>inegável pressão</w:t>
      </w:r>
      <w:r>
        <w:rPr>
          <w:color w:val="0D0E0E"/>
          <w:spacing w:val="-4"/>
        </w:rPr>
        <w:t> </w:t>
      </w:r>
      <w:r>
        <w:rPr>
          <w:color w:val="0D0E0E"/>
        </w:rPr>
        <w:t>sob</w:t>
      </w:r>
      <w:r>
        <w:rPr>
          <w:color w:val="0D0E0E"/>
          <w:spacing w:val="-3"/>
        </w:rPr>
        <w:t> </w:t>
      </w:r>
      <w:r>
        <w:rPr>
          <w:color w:val="0D0E0E"/>
        </w:rPr>
        <w:t>os</w:t>
      </w:r>
      <w:r>
        <w:rPr>
          <w:color w:val="0D0E0E"/>
          <w:spacing w:val="-4"/>
        </w:rPr>
        <w:t> </w:t>
      </w:r>
      <w:r>
        <w:rPr>
          <w:color w:val="0D0E0E"/>
        </w:rPr>
        <w:t>líderes</w:t>
      </w:r>
      <w:r>
        <w:rPr>
          <w:color w:val="0D0E0E"/>
          <w:spacing w:val="-4"/>
        </w:rPr>
        <w:t> </w:t>
      </w:r>
      <w:r>
        <w:rPr>
          <w:color w:val="0D0E0E"/>
        </w:rPr>
        <w:t>de</w:t>
      </w:r>
      <w:r>
        <w:rPr>
          <w:color w:val="0D0E0E"/>
          <w:spacing w:val="-4"/>
        </w:rPr>
        <w:t> </w:t>
      </w:r>
      <w:r>
        <w:rPr>
          <w:color w:val="0D0E0E"/>
        </w:rPr>
        <w:t>política</w:t>
      </w:r>
      <w:r>
        <w:rPr>
          <w:color w:val="0D0E0E"/>
          <w:spacing w:val="-4"/>
        </w:rPr>
        <w:t> </w:t>
      </w:r>
      <w:r>
        <w:rPr>
          <w:color w:val="0D0E0E"/>
        </w:rPr>
        <w:t>monetária</w:t>
      </w:r>
      <w:r>
        <w:rPr>
          <w:color w:val="0D0E0E"/>
          <w:spacing w:val="-6"/>
        </w:rPr>
        <w:t> </w:t>
      </w:r>
      <w:r>
        <w:rPr>
          <w:color w:val="0D0E0E"/>
        </w:rPr>
        <w:t>no</w:t>
      </w:r>
      <w:r>
        <w:rPr>
          <w:color w:val="0D0E0E"/>
          <w:spacing w:val="-1"/>
        </w:rPr>
        <w:t> </w:t>
      </w:r>
      <w:r>
        <w:rPr>
          <w:color w:val="0D0E0E"/>
        </w:rPr>
        <w:t>velho</w:t>
      </w:r>
      <w:r>
        <w:rPr>
          <w:color w:val="0D0E0E"/>
          <w:spacing w:val="-1"/>
        </w:rPr>
        <w:t> </w:t>
      </w:r>
      <w:r>
        <w:rPr>
          <w:color w:val="0D0E0E"/>
        </w:rPr>
        <w:t>continente,</w:t>
      </w:r>
      <w:r>
        <w:rPr>
          <w:color w:val="0D0E0E"/>
          <w:spacing w:val="-4"/>
        </w:rPr>
        <w:t> </w:t>
      </w:r>
      <w:r>
        <w:rPr>
          <w:color w:val="0D0E0E"/>
        </w:rPr>
        <w:t>ainda</w:t>
      </w:r>
      <w:r>
        <w:rPr>
          <w:color w:val="0D0E0E"/>
          <w:spacing w:val="-4"/>
        </w:rPr>
        <w:t> </w:t>
      </w:r>
      <w:r>
        <w:rPr>
          <w:color w:val="0D0E0E"/>
        </w:rPr>
        <w:t>que</w:t>
      </w:r>
      <w:r>
        <w:rPr>
          <w:color w:val="0D0E0E"/>
          <w:spacing w:val="-1"/>
        </w:rPr>
        <w:t> </w:t>
      </w:r>
      <w:r>
        <w:rPr>
          <w:color w:val="0D0E0E"/>
        </w:rPr>
        <w:t>o</w:t>
      </w:r>
      <w:r>
        <w:rPr>
          <w:color w:val="0D0E0E"/>
          <w:spacing w:val="-4"/>
        </w:rPr>
        <w:t> </w:t>
      </w:r>
      <w:r>
        <w:rPr>
          <w:color w:val="0D0E0E"/>
        </w:rPr>
        <w:t>compromisso de trazer a inflação para dentro da meta seja irredutível.</w:t>
      </w:r>
    </w:p>
    <w:p>
      <w:pPr>
        <w:pStyle w:val="BodyText"/>
        <w:spacing w:before="240"/>
        <w:ind w:left="609" w:right="1254" w:firstLine="707"/>
        <w:jc w:val="both"/>
      </w:pPr>
      <w:r>
        <w:rPr>
          <w:color w:val="0D0E0E"/>
        </w:rPr>
        <w:t>Para</w:t>
      </w:r>
      <w:r>
        <w:rPr>
          <w:color w:val="0D0E0E"/>
          <w:spacing w:val="-8"/>
        </w:rPr>
        <w:t> </w:t>
      </w:r>
      <w:r>
        <w:rPr>
          <w:color w:val="0D0E0E"/>
        </w:rPr>
        <w:t>o</w:t>
      </w:r>
      <w:r>
        <w:rPr>
          <w:color w:val="0D0E0E"/>
          <w:spacing w:val="-8"/>
        </w:rPr>
        <w:t> </w:t>
      </w:r>
      <w:r>
        <w:rPr>
          <w:color w:val="0D0E0E"/>
        </w:rPr>
        <w:t>Brasil,</w:t>
      </w:r>
      <w:r>
        <w:rPr>
          <w:color w:val="0D0E0E"/>
          <w:spacing w:val="-8"/>
        </w:rPr>
        <w:t> </w:t>
      </w:r>
      <w:r>
        <w:rPr>
          <w:color w:val="0D0E0E"/>
        </w:rPr>
        <w:t>ainda</w:t>
      </w:r>
      <w:r>
        <w:rPr>
          <w:color w:val="0D0E0E"/>
          <w:spacing w:val="-11"/>
        </w:rPr>
        <w:t> </w:t>
      </w:r>
      <w:r>
        <w:rPr>
          <w:color w:val="0D0E0E"/>
        </w:rPr>
        <w:t>que</w:t>
      </w:r>
      <w:r>
        <w:rPr>
          <w:color w:val="0D0E0E"/>
          <w:spacing w:val="-8"/>
        </w:rPr>
        <w:t> </w:t>
      </w:r>
      <w:r>
        <w:rPr>
          <w:color w:val="0D0E0E"/>
        </w:rPr>
        <w:t>o</w:t>
      </w:r>
      <w:r>
        <w:rPr>
          <w:color w:val="0D0E0E"/>
          <w:spacing w:val="-11"/>
        </w:rPr>
        <w:t> </w:t>
      </w:r>
      <w:r>
        <w:rPr>
          <w:color w:val="0D0E0E"/>
        </w:rPr>
        <w:t>ano</w:t>
      </w:r>
      <w:r>
        <w:rPr>
          <w:color w:val="0D0E0E"/>
          <w:spacing w:val="-11"/>
        </w:rPr>
        <w:t> </w:t>
      </w:r>
      <w:r>
        <w:rPr>
          <w:color w:val="0D0E0E"/>
        </w:rPr>
        <w:t>de</w:t>
      </w:r>
      <w:r>
        <w:rPr>
          <w:color w:val="0D0E0E"/>
          <w:spacing w:val="-8"/>
        </w:rPr>
        <w:t> </w:t>
      </w:r>
      <w:r>
        <w:rPr>
          <w:color w:val="0D0E0E"/>
        </w:rPr>
        <w:t>2023</w:t>
      </w:r>
      <w:r>
        <w:rPr>
          <w:color w:val="0D0E0E"/>
          <w:spacing w:val="-10"/>
        </w:rPr>
        <w:t> </w:t>
      </w:r>
      <w:r>
        <w:rPr>
          <w:color w:val="0D0E0E"/>
        </w:rPr>
        <w:t>tenha</w:t>
      </w:r>
      <w:r>
        <w:rPr>
          <w:color w:val="0D0E0E"/>
          <w:spacing w:val="-9"/>
        </w:rPr>
        <w:t> </w:t>
      </w:r>
      <w:r>
        <w:rPr>
          <w:color w:val="0D0E0E"/>
        </w:rPr>
        <w:t>sido</w:t>
      </w:r>
      <w:r>
        <w:rPr>
          <w:color w:val="0D0E0E"/>
          <w:spacing w:val="-11"/>
        </w:rPr>
        <w:t> </w:t>
      </w:r>
      <w:r>
        <w:rPr>
          <w:color w:val="0D0E0E"/>
        </w:rPr>
        <w:t>de</w:t>
      </w:r>
      <w:r>
        <w:rPr>
          <w:color w:val="0D0E0E"/>
          <w:spacing w:val="-8"/>
        </w:rPr>
        <w:t> </w:t>
      </w:r>
      <w:r>
        <w:rPr>
          <w:color w:val="0D0E0E"/>
        </w:rPr>
        <w:t>certa</w:t>
      </w:r>
      <w:r>
        <w:rPr>
          <w:color w:val="0D0E0E"/>
          <w:spacing w:val="-9"/>
        </w:rPr>
        <w:t> </w:t>
      </w:r>
      <w:r>
        <w:rPr>
          <w:color w:val="0D0E0E"/>
        </w:rPr>
        <w:t>forma</w:t>
      </w:r>
      <w:r>
        <w:rPr>
          <w:color w:val="0D0E0E"/>
          <w:spacing w:val="-8"/>
        </w:rPr>
        <w:t> </w:t>
      </w:r>
      <w:r>
        <w:rPr>
          <w:color w:val="0D0E0E"/>
        </w:rPr>
        <w:t>surpreendente</w:t>
      </w:r>
      <w:r>
        <w:rPr>
          <w:color w:val="0D0E0E"/>
          <w:spacing w:val="-8"/>
        </w:rPr>
        <w:t> </w:t>
      </w:r>
      <w:r>
        <w:rPr>
          <w:color w:val="0D0E0E"/>
        </w:rPr>
        <w:t>para o</w:t>
      </w:r>
      <w:r>
        <w:rPr>
          <w:color w:val="0D0E0E"/>
          <w:spacing w:val="-6"/>
        </w:rPr>
        <w:t> </w:t>
      </w:r>
      <w:r>
        <w:rPr>
          <w:color w:val="0D0E0E"/>
        </w:rPr>
        <w:t>mercado</w:t>
      </w:r>
      <w:r>
        <w:rPr>
          <w:color w:val="0D0E0E"/>
          <w:spacing w:val="-8"/>
        </w:rPr>
        <w:t> </w:t>
      </w:r>
      <w:r>
        <w:rPr>
          <w:color w:val="0D0E0E"/>
        </w:rPr>
        <w:t>frente</w:t>
      </w:r>
      <w:r>
        <w:rPr>
          <w:color w:val="0D0E0E"/>
          <w:spacing w:val="-8"/>
        </w:rPr>
        <w:t> </w:t>
      </w:r>
      <w:r>
        <w:rPr>
          <w:color w:val="0D0E0E"/>
        </w:rPr>
        <w:t>certa</w:t>
      </w:r>
      <w:r>
        <w:rPr>
          <w:color w:val="0D0E0E"/>
          <w:spacing w:val="-9"/>
        </w:rPr>
        <w:t> </w:t>
      </w:r>
      <w:r>
        <w:rPr>
          <w:color w:val="0D0E0E"/>
        </w:rPr>
        <w:t>preocupação</w:t>
      </w:r>
      <w:r>
        <w:rPr>
          <w:color w:val="0D0E0E"/>
          <w:spacing w:val="-11"/>
        </w:rPr>
        <w:t> </w:t>
      </w:r>
      <w:r>
        <w:rPr>
          <w:color w:val="0D0E0E"/>
        </w:rPr>
        <w:t>do</w:t>
      </w:r>
      <w:r>
        <w:rPr>
          <w:color w:val="0D0E0E"/>
          <w:spacing w:val="-8"/>
        </w:rPr>
        <w:t> </w:t>
      </w:r>
      <w:r>
        <w:rPr>
          <w:color w:val="0D0E0E"/>
        </w:rPr>
        <w:t>governo</w:t>
      </w:r>
      <w:r>
        <w:rPr>
          <w:color w:val="0D0E0E"/>
          <w:spacing w:val="-9"/>
        </w:rPr>
        <w:t> </w:t>
      </w:r>
      <w:r>
        <w:rPr>
          <w:color w:val="0D0E0E"/>
        </w:rPr>
        <w:t>com</w:t>
      </w:r>
      <w:r>
        <w:rPr>
          <w:color w:val="0D0E0E"/>
          <w:spacing w:val="-6"/>
        </w:rPr>
        <w:t> </w:t>
      </w:r>
      <w:r>
        <w:rPr>
          <w:color w:val="0D0E0E"/>
        </w:rPr>
        <w:t>o</w:t>
      </w:r>
      <w:r>
        <w:rPr>
          <w:color w:val="0D0E0E"/>
          <w:spacing w:val="-8"/>
        </w:rPr>
        <w:t> </w:t>
      </w:r>
      <w:r>
        <w:rPr>
          <w:color w:val="0D0E0E"/>
        </w:rPr>
        <w:t>compromisso</w:t>
      </w:r>
      <w:r>
        <w:rPr>
          <w:color w:val="0D0E0E"/>
          <w:spacing w:val="-8"/>
        </w:rPr>
        <w:t> </w:t>
      </w:r>
      <w:r>
        <w:rPr>
          <w:color w:val="0D0E0E"/>
        </w:rPr>
        <w:t>fiscal</w:t>
      </w:r>
      <w:r>
        <w:rPr>
          <w:color w:val="0D0E0E"/>
          <w:spacing w:val="-8"/>
        </w:rPr>
        <w:t> </w:t>
      </w:r>
      <w:r>
        <w:rPr>
          <w:color w:val="0D0E0E"/>
        </w:rPr>
        <w:t>e</w:t>
      </w:r>
      <w:r>
        <w:rPr>
          <w:color w:val="0D0E0E"/>
          <w:spacing w:val="-6"/>
        </w:rPr>
        <w:t> </w:t>
      </w:r>
      <w:r>
        <w:rPr>
          <w:color w:val="0D0E0E"/>
        </w:rPr>
        <w:t>déficit</w:t>
      </w:r>
      <w:r>
        <w:rPr>
          <w:color w:val="0D0E0E"/>
          <w:spacing w:val="-10"/>
        </w:rPr>
        <w:t> </w:t>
      </w:r>
      <w:r>
        <w:rPr>
          <w:color w:val="0D0E0E"/>
        </w:rPr>
        <w:t>zero,</w:t>
      </w:r>
      <w:r>
        <w:rPr>
          <w:color w:val="0D0E0E"/>
          <w:spacing w:val="-8"/>
        </w:rPr>
        <w:t> </w:t>
      </w:r>
      <w:r>
        <w:rPr>
          <w:color w:val="0D0E0E"/>
        </w:rPr>
        <w:t>ao longo</w:t>
      </w:r>
      <w:r>
        <w:rPr>
          <w:color w:val="0D0E0E"/>
          <w:spacing w:val="-14"/>
        </w:rPr>
        <w:t> </w:t>
      </w:r>
      <w:r>
        <w:rPr>
          <w:color w:val="0D0E0E"/>
        </w:rPr>
        <w:t>dos</w:t>
      </w:r>
      <w:r>
        <w:rPr>
          <w:color w:val="0D0E0E"/>
          <w:spacing w:val="-14"/>
        </w:rPr>
        <w:t> </w:t>
      </w:r>
      <w:r>
        <w:rPr>
          <w:color w:val="0D0E0E"/>
        </w:rPr>
        <w:t>últimos</w:t>
      </w:r>
      <w:r>
        <w:rPr>
          <w:color w:val="0D0E0E"/>
          <w:spacing w:val="-13"/>
        </w:rPr>
        <w:t> </w:t>
      </w:r>
      <w:r>
        <w:rPr>
          <w:color w:val="0D0E0E"/>
        </w:rPr>
        <w:t>meses</w:t>
      </w:r>
      <w:r>
        <w:rPr>
          <w:color w:val="0D0E0E"/>
          <w:spacing w:val="-14"/>
        </w:rPr>
        <w:t> </w:t>
      </w:r>
      <w:r>
        <w:rPr>
          <w:color w:val="0D0E0E"/>
        </w:rPr>
        <w:t>o</w:t>
      </w:r>
      <w:r>
        <w:rPr>
          <w:color w:val="0D0E0E"/>
          <w:spacing w:val="-13"/>
        </w:rPr>
        <w:t> </w:t>
      </w:r>
      <w:r>
        <w:rPr>
          <w:color w:val="0D0E0E"/>
        </w:rPr>
        <w:t>governo</w:t>
      </w:r>
      <w:r>
        <w:rPr>
          <w:color w:val="0D0E0E"/>
          <w:spacing w:val="-13"/>
        </w:rPr>
        <w:t> </w:t>
      </w:r>
      <w:r>
        <w:rPr>
          <w:color w:val="0D0E0E"/>
        </w:rPr>
        <w:t>se</w:t>
      </w:r>
      <w:r>
        <w:rPr>
          <w:color w:val="0D0E0E"/>
          <w:spacing w:val="-13"/>
        </w:rPr>
        <w:t> </w:t>
      </w:r>
      <w:r>
        <w:rPr>
          <w:color w:val="0D0E0E"/>
        </w:rPr>
        <w:t>viu</w:t>
      </w:r>
      <w:r>
        <w:rPr>
          <w:color w:val="0D0E0E"/>
          <w:spacing w:val="-13"/>
        </w:rPr>
        <w:t> </w:t>
      </w:r>
      <w:r>
        <w:rPr>
          <w:color w:val="0D0E0E"/>
        </w:rPr>
        <w:t>colocado</w:t>
      </w:r>
      <w:r>
        <w:rPr>
          <w:color w:val="0D0E0E"/>
          <w:spacing w:val="-13"/>
        </w:rPr>
        <w:t> </w:t>
      </w:r>
      <w:r>
        <w:rPr>
          <w:color w:val="0D0E0E"/>
        </w:rPr>
        <w:t>frente</w:t>
      </w:r>
      <w:r>
        <w:rPr>
          <w:color w:val="0D0E0E"/>
          <w:spacing w:val="-13"/>
        </w:rPr>
        <w:t> </w:t>
      </w:r>
      <w:r>
        <w:rPr>
          <w:color w:val="0D0E0E"/>
        </w:rPr>
        <w:t>a</w:t>
      </w:r>
      <w:r>
        <w:rPr>
          <w:color w:val="0D0E0E"/>
          <w:spacing w:val="-14"/>
        </w:rPr>
        <w:t> </w:t>
      </w:r>
      <w:r>
        <w:rPr>
          <w:color w:val="0D0E0E"/>
        </w:rPr>
        <w:t>parede</w:t>
      </w:r>
      <w:r>
        <w:rPr>
          <w:color w:val="0D0E0E"/>
          <w:spacing w:val="-13"/>
        </w:rPr>
        <w:t> </w:t>
      </w:r>
      <w:r>
        <w:rPr>
          <w:color w:val="0D0E0E"/>
        </w:rPr>
        <w:t>para</w:t>
      </w:r>
      <w:r>
        <w:rPr>
          <w:color w:val="0D0E0E"/>
          <w:spacing w:val="-13"/>
        </w:rPr>
        <w:t> </w:t>
      </w:r>
      <w:r>
        <w:rPr>
          <w:color w:val="0D0E0E"/>
        </w:rPr>
        <w:t>dar</w:t>
      </w:r>
      <w:r>
        <w:rPr>
          <w:color w:val="0D0E0E"/>
          <w:spacing w:val="-13"/>
        </w:rPr>
        <w:t> </w:t>
      </w:r>
      <w:r>
        <w:rPr>
          <w:color w:val="0D0E0E"/>
        </w:rPr>
        <w:t>esclarecimentos sobre os meios para atingir esse almejado equilíbrio fiscal.</w:t>
      </w:r>
    </w:p>
    <w:p>
      <w:pPr>
        <w:pStyle w:val="BodyText"/>
        <w:spacing w:before="242"/>
        <w:ind w:left="609" w:right="1261" w:firstLine="707"/>
        <w:jc w:val="both"/>
      </w:pPr>
      <w:r>
        <w:rPr>
          <w:color w:val="0D0E0E"/>
        </w:rPr>
        <w:t>Para tanto, o ano de 2024 se mostra desafiador para a liderança política do Brasil, e os efeitos sobre a política monetária, câmbio, renda variável, são os mais variados e, portanto, somente o tempo dirá.</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1"/>
        <w:rPr>
          <w:sz w:val="20"/>
        </w:rPr>
      </w:pPr>
      <w:r>
        <w:rPr>
          <w:sz w:val="20"/>
        </w:rPr>
        <w:drawing>
          <wp:anchor distT="0" distB="0" distL="0" distR="0" allowOverlap="1" layoutInCell="1" locked="0" behindDoc="1" simplePos="0" relativeHeight="487603200">
            <wp:simplePos x="0" y="0"/>
            <wp:positionH relativeFrom="page">
              <wp:posOffset>2877820</wp:posOffset>
            </wp:positionH>
            <wp:positionV relativeFrom="paragraph">
              <wp:posOffset>260343</wp:posOffset>
            </wp:positionV>
            <wp:extent cx="1955676" cy="1241012"/>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35" cstate="print"/>
                    <a:stretch>
                      <a:fillRect/>
                    </a:stretch>
                  </pic:blipFill>
                  <pic:spPr>
                    <a:xfrm>
                      <a:off x="0" y="0"/>
                      <a:ext cx="1955676" cy="1241012"/>
                    </a:xfrm>
                    <a:prstGeom prst="rect">
                      <a:avLst/>
                    </a:prstGeom>
                  </pic:spPr>
                </pic:pic>
              </a:graphicData>
            </a:graphic>
          </wp:anchor>
        </w:drawing>
      </w:r>
    </w:p>
    <w:p>
      <w:pPr>
        <w:pStyle w:val="BodyText"/>
        <w:spacing w:after="0"/>
        <w:rPr>
          <w:sz w:val="20"/>
        </w:rPr>
        <w:sectPr>
          <w:pgSz w:w="11920" w:h="16850"/>
          <w:pgMar w:top="1340" w:bottom="280" w:left="992" w:right="141"/>
        </w:sectPr>
      </w:pPr>
    </w:p>
    <w:p>
      <w:pPr>
        <w:pStyle w:val="BodyText"/>
        <w:spacing w:before="39"/>
        <w:ind w:left="2952"/>
      </w:pPr>
      <w:r>
        <w:rPr>
          <w:color w:val="0D0E0E"/>
        </w:rPr>
        <w:t>INVESTIDOR</w:t>
      </w:r>
      <w:r>
        <w:rPr>
          <w:color w:val="0D0E0E"/>
          <w:spacing w:val="-9"/>
        </w:rPr>
        <w:t> </w:t>
      </w:r>
      <w:r>
        <w:rPr>
          <w:color w:val="0D0E0E"/>
        </w:rPr>
        <w:t>EM</w:t>
      </w:r>
      <w:r>
        <w:rPr>
          <w:color w:val="0D0E0E"/>
          <w:spacing w:val="-4"/>
        </w:rPr>
        <w:t> </w:t>
      </w:r>
      <w:r>
        <w:rPr>
          <w:color w:val="0D0E0E"/>
        </w:rPr>
        <w:t>GERAL</w:t>
      </w:r>
      <w:r>
        <w:rPr>
          <w:color w:val="0D0E0E"/>
          <w:spacing w:val="-5"/>
        </w:rPr>
        <w:t> </w:t>
      </w:r>
      <w:r>
        <w:rPr>
          <w:color w:val="0D0E0E"/>
        </w:rPr>
        <w:t>–</w:t>
      </w:r>
      <w:r>
        <w:rPr>
          <w:color w:val="0D0E0E"/>
          <w:spacing w:val="-8"/>
        </w:rPr>
        <w:t> </w:t>
      </w:r>
      <w:r>
        <w:rPr>
          <w:color w:val="0D0E0E"/>
        </w:rPr>
        <w:t>SEM</w:t>
      </w:r>
      <w:r>
        <w:rPr>
          <w:color w:val="0D0E0E"/>
          <w:spacing w:val="-2"/>
        </w:rPr>
        <w:t> </w:t>
      </w:r>
      <w:r>
        <w:rPr>
          <w:color w:val="0D0E0E"/>
        </w:rPr>
        <w:t>PRÓ</w:t>
      </w:r>
      <w:r>
        <w:rPr>
          <w:color w:val="0D0E0E"/>
          <w:spacing w:val="-2"/>
        </w:rPr>
        <w:t> GESTÃO</w:t>
      </w:r>
    </w:p>
    <w:p>
      <w:pPr>
        <w:pStyle w:val="BodyText"/>
        <w:spacing w:before="179"/>
        <w:rPr>
          <w:sz w:val="20"/>
        </w:rPr>
      </w:pPr>
    </w:p>
    <w:tbl>
      <w:tblPr>
        <w:tblW w:w="0" w:type="auto"/>
        <w:jc w:val="left"/>
        <w:tblInd w:w="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48" w:hRule="atLeast"/>
        </w:trPr>
        <w:tc>
          <w:tcPr>
            <w:tcW w:w="8689" w:type="dxa"/>
            <w:gridSpan w:val="2"/>
          </w:tcPr>
          <w:p>
            <w:pPr>
              <w:pStyle w:val="TableParagraph"/>
              <w:spacing w:before="6"/>
              <w:ind w:left="458"/>
              <w:rPr>
                <w:sz w:val="21"/>
              </w:rPr>
            </w:pPr>
            <w:r>
              <w:rPr>
                <w:sz w:val="21"/>
              </w:rPr>
              <w:t>Estratégia</w:t>
            </w:r>
            <w:r>
              <w:rPr>
                <w:spacing w:val="-11"/>
                <w:sz w:val="21"/>
              </w:rPr>
              <w:t> </w:t>
            </w:r>
            <w:r>
              <w:rPr>
                <w:sz w:val="21"/>
              </w:rPr>
              <w:t>de</w:t>
            </w:r>
            <w:r>
              <w:rPr>
                <w:spacing w:val="-4"/>
                <w:sz w:val="21"/>
              </w:rPr>
              <w:t> </w:t>
            </w:r>
            <w:r>
              <w:rPr>
                <w:sz w:val="21"/>
              </w:rPr>
              <w:t>Alocação</w:t>
            </w:r>
            <w:r>
              <w:rPr>
                <w:spacing w:val="-7"/>
                <w:sz w:val="21"/>
              </w:rPr>
              <w:t> </w:t>
            </w:r>
            <w:r>
              <w:rPr>
                <w:sz w:val="21"/>
              </w:rPr>
              <w:t>dos</w:t>
            </w:r>
            <w:r>
              <w:rPr>
                <w:spacing w:val="-4"/>
                <w:sz w:val="21"/>
              </w:rPr>
              <w:t> </w:t>
            </w:r>
            <w:r>
              <w:rPr>
                <w:sz w:val="21"/>
              </w:rPr>
              <w:t>Recursos</w:t>
            </w:r>
            <w:r>
              <w:rPr>
                <w:spacing w:val="-7"/>
                <w:sz w:val="21"/>
              </w:rPr>
              <w:t> </w:t>
            </w:r>
            <w:r>
              <w:rPr>
                <w:sz w:val="21"/>
              </w:rPr>
              <w:t>no</w:t>
            </w:r>
            <w:r>
              <w:rPr>
                <w:spacing w:val="-6"/>
                <w:sz w:val="21"/>
              </w:rPr>
              <w:t> </w:t>
            </w:r>
            <w:r>
              <w:rPr>
                <w:sz w:val="21"/>
              </w:rPr>
              <w:t>Longo</w:t>
            </w:r>
            <w:r>
              <w:rPr>
                <w:spacing w:val="-8"/>
                <w:sz w:val="21"/>
              </w:rPr>
              <w:t> </w:t>
            </w:r>
            <w:r>
              <w:rPr>
                <w:sz w:val="21"/>
              </w:rPr>
              <w:t>Prazo</w:t>
            </w:r>
            <w:r>
              <w:rPr>
                <w:spacing w:val="1"/>
                <w:sz w:val="21"/>
              </w:rPr>
              <w:t> </w:t>
            </w:r>
            <w:r>
              <w:rPr>
                <w:sz w:val="21"/>
              </w:rPr>
              <w:t>–</w:t>
            </w:r>
            <w:r>
              <w:rPr>
                <w:spacing w:val="-7"/>
                <w:sz w:val="21"/>
              </w:rPr>
              <w:t> </w:t>
            </w:r>
            <w:r>
              <w:rPr>
                <w:sz w:val="21"/>
              </w:rPr>
              <w:t>Renda</w:t>
            </w:r>
            <w:r>
              <w:rPr>
                <w:spacing w:val="-6"/>
                <w:sz w:val="21"/>
              </w:rPr>
              <w:t> </w:t>
            </w:r>
            <w:r>
              <w:rPr>
                <w:sz w:val="21"/>
              </w:rPr>
              <w:t>Fixa</w:t>
            </w:r>
            <w:r>
              <w:rPr>
                <w:spacing w:val="-7"/>
                <w:sz w:val="21"/>
              </w:rPr>
              <w:t> </w:t>
            </w:r>
            <w:r>
              <w:rPr>
                <w:sz w:val="21"/>
              </w:rPr>
              <w:t>e</w:t>
            </w:r>
            <w:r>
              <w:rPr>
                <w:spacing w:val="-4"/>
                <w:sz w:val="21"/>
              </w:rPr>
              <w:t> </w:t>
            </w:r>
            <w:r>
              <w:rPr>
                <w:spacing w:val="-2"/>
                <w:sz w:val="21"/>
              </w:rPr>
              <w:t>Variável</w:t>
            </w:r>
          </w:p>
        </w:tc>
      </w:tr>
      <w:tr>
        <w:trPr>
          <w:trHeight w:val="368" w:hRule="atLeast"/>
        </w:trPr>
        <w:tc>
          <w:tcPr>
            <w:tcW w:w="7566" w:type="dxa"/>
            <w:tcBorders>
              <w:bottom w:val="nil"/>
            </w:tcBorders>
          </w:tcPr>
          <w:p>
            <w:pPr>
              <w:pStyle w:val="TableParagraph"/>
              <w:spacing w:before="3"/>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3"/>
              <w:rPr>
                <w:b/>
                <w:sz w:val="21"/>
              </w:rPr>
            </w:pPr>
            <w:r>
              <w:rPr>
                <w:b/>
                <w:spacing w:val="-5"/>
                <w:sz w:val="21"/>
              </w:rPr>
              <w:t>60%</w:t>
            </w:r>
          </w:p>
        </w:tc>
      </w:tr>
      <w:tr>
        <w:trPr>
          <w:trHeight w:val="439" w:hRule="atLeast"/>
        </w:trPr>
        <w:tc>
          <w:tcPr>
            <w:tcW w:w="7566" w:type="dxa"/>
            <w:tcBorders>
              <w:top w:val="nil"/>
              <w:bottom w:val="nil"/>
            </w:tcBorders>
          </w:tcPr>
          <w:p>
            <w:pPr>
              <w:pStyle w:val="TableParagraph"/>
              <w:spacing w:before="70"/>
              <w:ind w:left="114"/>
              <w:rPr>
                <w:sz w:val="21"/>
              </w:rPr>
            </w:pPr>
            <w:r>
              <w:rPr>
                <w:sz w:val="21"/>
              </w:rPr>
              <w:t>Longuíssimo</w:t>
            </w:r>
            <w:r>
              <w:rPr>
                <w:spacing w:val="-11"/>
                <w:sz w:val="21"/>
              </w:rPr>
              <w:t> </w:t>
            </w:r>
            <w:r>
              <w:rPr>
                <w:sz w:val="21"/>
              </w:rPr>
              <w:t>Prazo</w:t>
            </w:r>
            <w:r>
              <w:rPr>
                <w:spacing w:val="-8"/>
                <w:sz w:val="21"/>
              </w:rPr>
              <w:t> </w:t>
            </w:r>
            <w:r>
              <w:rPr>
                <w:sz w:val="21"/>
              </w:rPr>
              <w:t>(IMA-B</w:t>
            </w:r>
            <w:r>
              <w:rPr>
                <w:spacing w:val="-8"/>
                <w:sz w:val="21"/>
              </w:rPr>
              <w:t> </w:t>
            </w:r>
            <w:r>
              <w:rPr>
                <w:spacing w:val="-5"/>
                <w:sz w:val="21"/>
              </w:rPr>
              <w:t>5+)</w:t>
            </w:r>
          </w:p>
        </w:tc>
        <w:tc>
          <w:tcPr>
            <w:tcW w:w="1123" w:type="dxa"/>
            <w:tcBorders>
              <w:top w:val="nil"/>
              <w:bottom w:val="nil"/>
            </w:tcBorders>
          </w:tcPr>
          <w:p>
            <w:pPr>
              <w:pStyle w:val="TableParagraph"/>
              <w:spacing w:before="70"/>
              <w:rPr>
                <w:sz w:val="21"/>
              </w:rPr>
            </w:pPr>
            <w:r>
              <w:rPr>
                <w:spacing w:val="-5"/>
                <w:sz w:val="21"/>
              </w:rPr>
              <w:t>5%</w:t>
            </w:r>
          </w:p>
        </w:tc>
      </w:tr>
      <w:tr>
        <w:trPr>
          <w:trHeight w:val="441" w:hRule="atLeast"/>
        </w:trPr>
        <w:tc>
          <w:tcPr>
            <w:tcW w:w="7566" w:type="dxa"/>
            <w:tcBorders>
              <w:top w:val="nil"/>
              <w:bottom w:val="nil"/>
            </w:tcBorders>
          </w:tcPr>
          <w:p>
            <w:pPr>
              <w:pStyle w:val="TableParagraph"/>
              <w:spacing w:before="75"/>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5"/>
              <w:rPr>
                <w:sz w:val="21"/>
              </w:rPr>
            </w:pPr>
            <w:r>
              <w:rPr>
                <w:spacing w:val="-5"/>
                <w:sz w:val="21"/>
              </w:rPr>
              <w:t>10%</w:t>
            </w:r>
          </w:p>
        </w:tc>
      </w:tr>
      <w:tr>
        <w:trPr>
          <w:trHeight w:val="439" w:hRule="atLeast"/>
        </w:trPr>
        <w:tc>
          <w:tcPr>
            <w:tcW w:w="7566" w:type="dxa"/>
            <w:tcBorders>
              <w:top w:val="nil"/>
              <w:bottom w:val="nil"/>
            </w:tcBorders>
          </w:tcPr>
          <w:p>
            <w:pPr>
              <w:pStyle w:val="TableParagraph"/>
              <w:spacing w:before="72"/>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2"/>
              <w:rPr>
                <w:sz w:val="21"/>
              </w:rPr>
            </w:pPr>
            <w:r>
              <w:rPr>
                <w:spacing w:val="-5"/>
                <w:sz w:val="21"/>
              </w:rPr>
              <w:t>10%</w:t>
            </w:r>
          </w:p>
        </w:tc>
      </w:tr>
      <w:tr>
        <w:trPr>
          <w:trHeight w:val="436" w:hRule="atLeast"/>
        </w:trPr>
        <w:tc>
          <w:tcPr>
            <w:tcW w:w="7566" w:type="dxa"/>
            <w:tcBorders>
              <w:top w:val="nil"/>
              <w:bottom w:val="nil"/>
            </w:tcBorders>
          </w:tcPr>
          <w:p>
            <w:pPr>
              <w:pStyle w:val="TableParagraph"/>
              <w:spacing w:before="72"/>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spacing w:before="72"/>
              <w:rPr>
                <w:sz w:val="21"/>
              </w:rPr>
            </w:pPr>
            <w:r>
              <w:rPr>
                <w:spacing w:val="-5"/>
                <w:sz w:val="21"/>
              </w:rPr>
              <w:t>10%</w:t>
            </w:r>
          </w:p>
        </w:tc>
      </w:tr>
      <w:tr>
        <w:trPr>
          <w:trHeight w:val="434" w:hRule="atLeast"/>
        </w:trPr>
        <w:tc>
          <w:tcPr>
            <w:tcW w:w="7566" w:type="dxa"/>
            <w:tcBorders>
              <w:top w:val="nil"/>
              <w:bottom w:val="nil"/>
            </w:tcBorders>
          </w:tcPr>
          <w:p>
            <w:pPr>
              <w:pStyle w:val="TableParagraph"/>
              <w:spacing w:before="70"/>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70"/>
              <w:rPr>
                <w:sz w:val="21"/>
              </w:rPr>
            </w:pPr>
            <w:r>
              <w:rPr>
                <w:spacing w:val="-5"/>
                <w:sz w:val="21"/>
              </w:rPr>
              <w:t>10%</w:t>
            </w:r>
          </w:p>
        </w:tc>
      </w:tr>
      <w:tr>
        <w:trPr>
          <w:trHeight w:val="435" w:hRule="atLeast"/>
        </w:trPr>
        <w:tc>
          <w:tcPr>
            <w:tcW w:w="7566" w:type="dxa"/>
            <w:tcBorders>
              <w:top w:val="nil"/>
              <w:bottom w:val="nil"/>
            </w:tcBorders>
          </w:tcPr>
          <w:p>
            <w:pPr>
              <w:pStyle w:val="TableParagraph"/>
              <w:spacing w:before="70"/>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spacing w:before="70"/>
              <w:rPr>
                <w:sz w:val="21"/>
              </w:rPr>
            </w:pPr>
            <w:r>
              <w:rPr>
                <w:spacing w:val="-5"/>
                <w:sz w:val="21"/>
              </w:rPr>
              <w:t>15%</w:t>
            </w:r>
          </w:p>
        </w:tc>
      </w:tr>
      <w:tr>
        <w:trPr>
          <w:trHeight w:val="436" w:hRule="atLeast"/>
        </w:trPr>
        <w:tc>
          <w:tcPr>
            <w:tcW w:w="7566" w:type="dxa"/>
            <w:tcBorders>
              <w:top w:val="nil"/>
              <w:bottom w:val="nil"/>
            </w:tcBorders>
          </w:tcPr>
          <w:p>
            <w:pPr>
              <w:pStyle w:val="TableParagraph"/>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rPr>
                <w:b/>
                <w:sz w:val="21"/>
              </w:rPr>
            </w:pPr>
            <w:r>
              <w:rPr>
                <w:b/>
                <w:spacing w:val="-5"/>
                <w:sz w:val="21"/>
              </w:rPr>
              <w:t>30%</w:t>
            </w:r>
          </w:p>
        </w:tc>
      </w:tr>
      <w:tr>
        <w:trPr>
          <w:trHeight w:val="438" w:hRule="atLeast"/>
        </w:trPr>
        <w:tc>
          <w:tcPr>
            <w:tcW w:w="7566" w:type="dxa"/>
            <w:tcBorders>
              <w:top w:val="nil"/>
              <w:bottom w:val="nil"/>
            </w:tcBorders>
          </w:tcPr>
          <w:p>
            <w:pPr>
              <w:pStyle w:val="TableParagraph"/>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rPr>
                <w:sz w:val="21"/>
              </w:rPr>
            </w:pPr>
            <w:r>
              <w:rPr>
                <w:spacing w:val="-5"/>
                <w:sz w:val="21"/>
              </w:rPr>
              <w:t>20%</w:t>
            </w:r>
          </w:p>
        </w:tc>
      </w:tr>
      <w:tr>
        <w:trPr>
          <w:trHeight w:val="436" w:hRule="atLeast"/>
        </w:trPr>
        <w:tc>
          <w:tcPr>
            <w:tcW w:w="7566" w:type="dxa"/>
            <w:tcBorders>
              <w:top w:val="nil"/>
              <w:bottom w:val="nil"/>
            </w:tcBorders>
          </w:tcPr>
          <w:p>
            <w:pPr>
              <w:pStyle w:val="TableParagraph"/>
              <w:spacing w:before="72"/>
              <w:ind w:left="114"/>
              <w:rPr>
                <w:sz w:val="21"/>
              </w:rPr>
            </w:pPr>
            <w:r>
              <w:rPr>
                <w:spacing w:val="-2"/>
                <w:sz w:val="21"/>
              </w:rPr>
              <w:t>Multimercados</w:t>
            </w:r>
          </w:p>
        </w:tc>
        <w:tc>
          <w:tcPr>
            <w:tcW w:w="1123" w:type="dxa"/>
            <w:tcBorders>
              <w:top w:val="nil"/>
              <w:bottom w:val="nil"/>
            </w:tcBorders>
          </w:tcPr>
          <w:p>
            <w:pPr>
              <w:pStyle w:val="TableParagraph"/>
              <w:spacing w:before="72"/>
              <w:rPr>
                <w:sz w:val="21"/>
              </w:rPr>
            </w:pPr>
            <w:r>
              <w:rPr>
                <w:spacing w:val="-5"/>
                <w:sz w:val="21"/>
              </w:rPr>
              <w:t>5%</w:t>
            </w:r>
          </w:p>
        </w:tc>
      </w:tr>
      <w:tr>
        <w:trPr>
          <w:trHeight w:val="435" w:hRule="atLeast"/>
        </w:trPr>
        <w:tc>
          <w:tcPr>
            <w:tcW w:w="7566" w:type="dxa"/>
            <w:tcBorders>
              <w:top w:val="nil"/>
              <w:bottom w:val="nil"/>
            </w:tcBorders>
          </w:tcPr>
          <w:p>
            <w:pPr>
              <w:pStyle w:val="TableParagraph"/>
              <w:spacing w:before="70"/>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0"/>
              <w:rPr>
                <w:sz w:val="21"/>
              </w:rPr>
            </w:pPr>
            <w:r>
              <w:rPr>
                <w:spacing w:val="-5"/>
                <w:sz w:val="21"/>
              </w:rPr>
              <w:t>0%</w:t>
            </w:r>
          </w:p>
        </w:tc>
      </w:tr>
      <w:tr>
        <w:trPr>
          <w:trHeight w:val="436" w:hRule="atLeast"/>
        </w:trPr>
        <w:tc>
          <w:tcPr>
            <w:tcW w:w="7566" w:type="dxa"/>
            <w:tcBorders>
              <w:top w:val="nil"/>
              <w:bottom w:val="nil"/>
            </w:tcBorders>
          </w:tcPr>
          <w:p>
            <w:pPr>
              <w:pStyle w:val="TableParagraph"/>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rPr>
                <w:sz w:val="21"/>
              </w:rPr>
            </w:pPr>
            <w:r>
              <w:rPr>
                <w:spacing w:val="-5"/>
                <w:sz w:val="21"/>
              </w:rPr>
              <w:t>5%</w:t>
            </w:r>
          </w:p>
        </w:tc>
      </w:tr>
      <w:tr>
        <w:trPr>
          <w:trHeight w:val="435" w:hRule="atLeast"/>
        </w:trPr>
        <w:tc>
          <w:tcPr>
            <w:tcW w:w="7566" w:type="dxa"/>
            <w:tcBorders>
              <w:top w:val="nil"/>
              <w:bottom w:val="nil"/>
            </w:tcBorders>
          </w:tcPr>
          <w:p>
            <w:pPr>
              <w:pStyle w:val="TableParagraph"/>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rPr>
                <w:b/>
                <w:sz w:val="21"/>
              </w:rPr>
            </w:pPr>
            <w:r>
              <w:rPr>
                <w:b/>
                <w:spacing w:val="-5"/>
                <w:sz w:val="21"/>
              </w:rPr>
              <w:t>10%</w:t>
            </w:r>
          </w:p>
        </w:tc>
      </w:tr>
      <w:tr>
        <w:trPr>
          <w:trHeight w:val="435" w:hRule="atLeast"/>
        </w:trPr>
        <w:tc>
          <w:tcPr>
            <w:tcW w:w="7566" w:type="dxa"/>
            <w:tcBorders>
              <w:top w:val="nil"/>
              <w:bottom w:val="nil"/>
            </w:tcBorders>
          </w:tcPr>
          <w:p>
            <w:pPr>
              <w:pStyle w:val="TableParagraph"/>
              <w:spacing w:before="70"/>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spacing w:before="70"/>
              <w:rPr>
                <w:sz w:val="21"/>
              </w:rPr>
            </w:pPr>
            <w:r>
              <w:rPr>
                <w:spacing w:val="-5"/>
                <w:sz w:val="21"/>
              </w:rPr>
              <w:t>0%</w:t>
            </w:r>
          </w:p>
        </w:tc>
      </w:tr>
      <w:tr>
        <w:trPr>
          <w:trHeight w:val="508" w:hRule="atLeast"/>
        </w:trPr>
        <w:tc>
          <w:tcPr>
            <w:tcW w:w="7566" w:type="dxa"/>
            <w:tcBorders>
              <w:top w:val="nil"/>
            </w:tcBorders>
          </w:tcPr>
          <w:p>
            <w:pPr>
              <w:pStyle w:val="TableParagraph"/>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rPr>
                <w:sz w:val="21"/>
              </w:rPr>
            </w:pPr>
            <w:r>
              <w:rPr>
                <w:spacing w:val="-5"/>
                <w:sz w:val="21"/>
              </w:rPr>
              <w:t>10%</w:t>
            </w:r>
          </w:p>
        </w:tc>
      </w:tr>
    </w:tbl>
    <w:p>
      <w:pPr>
        <w:spacing w:line="261" w:lineRule="auto" w:before="9"/>
        <w:ind w:left="710" w:right="1335" w:firstLine="0"/>
        <w:jc w:val="left"/>
        <w:rPr>
          <w:sz w:val="20"/>
        </w:rPr>
      </w:pPr>
      <w:r>
        <w:rPr>
          <w:sz w:val="20"/>
        </w:rPr>
        <w:t>*</w:t>
      </w:r>
      <w:r>
        <w:rPr>
          <w:spacing w:val="-4"/>
          <w:sz w:val="20"/>
        </w:rPr>
        <w:t> </w:t>
      </w:r>
      <w:r>
        <w:rPr>
          <w:sz w:val="20"/>
        </w:rPr>
        <w:t>Aos</w:t>
      </w:r>
      <w:r>
        <w:rPr>
          <w:spacing w:val="-1"/>
          <w:sz w:val="20"/>
        </w:rPr>
        <w:t> </w:t>
      </w:r>
      <w:r>
        <w:rPr>
          <w:sz w:val="20"/>
        </w:rPr>
        <w:t>clientes</w:t>
      </w:r>
      <w:r>
        <w:rPr>
          <w:spacing w:val="-2"/>
          <w:sz w:val="20"/>
        </w:rPr>
        <w:t> </w:t>
      </w:r>
      <w:r>
        <w:rPr>
          <w:sz w:val="20"/>
        </w:rPr>
        <w:t>que</w:t>
      </w:r>
      <w:r>
        <w:rPr>
          <w:spacing w:val="-6"/>
          <w:sz w:val="20"/>
        </w:rPr>
        <w:t> </w:t>
      </w:r>
      <w:r>
        <w:rPr>
          <w:sz w:val="20"/>
        </w:rPr>
        <w:t>investem</w:t>
      </w:r>
      <w:r>
        <w:rPr>
          <w:spacing w:val="-2"/>
          <w:sz w:val="20"/>
        </w:rPr>
        <w:t> </w:t>
      </w:r>
      <w:r>
        <w:rPr>
          <w:sz w:val="20"/>
        </w:rPr>
        <w:t>em</w:t>
      </w:r>
      <w:r>
        <w:rPr>
          <w:spacing w:val="-4"/>
          <w:sz w:val="20"/>
        </w:rPr>
        <w:t> </w:t>
      </w:r>
      <w:r>
        <w:rPr>
          <w:sz w:val="20"/>
        </w:rPr>
        <w:t>Fundos</w:t>
      </w:r>
      <w:r>
        <w:rPr>
          <w:spacing w:val="-1"/>
          <w:sz w:val="20"/>
        </w:rPr>
        <w:t> </w:t>
      </w:r>
      <w:r>
        <w:rPr>
          <w:sz w:val="20"/>
        </w:rPr>
        <w:t>de</w:t>
      </w:r>
      <w:r>
        <w:rPr>
          <w:spacing w:val="-6"/>
          <w:sz w:val="20"/>
        </w:rPr>
        <w:t> </w:t>
      </w:r>
      <w:r>
        <w:rPr>
          <w:sz w:val="20"/>
        </w:rPr>
        <w:t>Participações e</w:t>
      </w:r>
      <w:r>
        <w:rPr>
          <w:spacing w:val="-4"/>
          <w:sz w:val="20"/>
        </w:rPr>
        <w:t> </w:t>
      </w:r>
      <w:r>
        <w:rPr>
          <w:sz w:val="20"/>
        </w:rPr>
        <w:t>Fundos</w:t>
      </w:r>
      <w:r>
        <w:rPr>
          <w:spacing w:val="-1"/>
          <w:sz w:val="20"/>
        </w:rPr>
        <w:t> </w:t>
      </w:r>
      <w:r>
        <w:rPr>
          <w:sz w:val="20"/>
        </w:rPr>
        <w:t>Imobiliários em</w:t>
      </w:r>
      <w:r>
        <w:rPr>
          <w:spacing w:val="-4"/>
          <w:sz w:val="20"/>
        </w:rPr>
        <w:t> </w:t>
      </w:r>
      <w:r>
        <w:rPr>
          <w:sz w:val="20"/>
        </w:rPr>
        <w:t>percentual</w:t>
      </w:r>
      <w:r>
        <w:rPr>
          <w:spacing w:val="-2"/>
          <w:sz w:val="20"/>
        </w:rPr>
        <w:t> </w:t>
      </w:r>
      <w:r>
        <w:rPr>
          <w:sz w:val="20"/>
        </w:rPr>
        <w:t>superior</w:t>
      </w:r>
      <w:r>
        <w:rPr>
          <w:spacing w:val="-6"/>
          <w:sz w:val="20"/>
        </w:rPr>
        <w:t> </w:t>
      </w:r>
      <w:r>
        <w:rPr>
          <w:sz w:val="20"/>
        </w:rPr>
        <w:t>a 2,5% em cada, reduzir a exposição aos Fundos de Ações na proporção desse excesso</w:t>
      </w:r>
    </w:p>
    <w:p>
      <w:pPr>
        <w:spacing w:after="0" w:line="261" w:lineRule="auto"/>
        <w:jc w:val="left"/>
        <w:rPr>
          <w:sz w:val="20"/>
        </w:rPr>
        <w:sectPr>
          <w:pgSz w:w="11920" w:h="16850"/>
          <w:pgMar w:top="1320" w:bottom="280" w:left="992" w:right="141"/>
        </w:sectPr>
      </w:pPr>
    </w:p>
    <w:p>
      <w:pPr>
        <w:pStyle w:val="BodyText"/>
        <w:spacing w:before="38"/>
        <w:ind w:left="63" w:right="707"/>
        <w:jc w:val="center"/>
      </w:pPr>
      <w:r>
        <w:rPr>
          <w:color w:val="0D0E0E"/>
        </w:rPr>
        <w:t>PRÓ</w:t>
      </w:r>
      <w:r>
        <w:rPr>
          <w:color w:val="0D0E0E"/>
          <w:spacing w:val="-10"/>
        </w:rPr>
        <w:t> </w:t>
      </w:r>
      <w:r>
        <w:rPr>
          <w:color w:val="0D0E0E"/>
        </w:rPr>
        <w:t>GESTÃO</w:t>
      </w:r>
      <w:r>
        <w:rPr>
          <w:color w:val="0D0E0E"/>
          <w:spacing w:val="-4"/>
        </w:rPr>
        <w:t> </w:t>
      </w:r>
      <w:r>
        <w:rPr>
          <w:color w:val="0D0E0E"/>
        </w:rPr>
        <w:t>NÍVEL</w:t>
      </w:r>
      <w:r>
        <w:rPr>
          <w:color w:val="0D0E0E"/>
          <w:spacing w:val="-6"/>
        </w:rPr>
        <w:t> </w:t>
      </w:r>
      <w:r>
        <w:rPr>
          <w:color w:val="0D0E0E"/>
          <w:spacing w:val="-10"/>
        </w:rPr>
        <w:t>1</w:t>
      </w:r>
    </w:p>
    <w:p>
      <w:pPr>
        <w:pStyle w:val="BodyText"/>
        <w:spacing w:before="169"/>
        <w:rPr>
          <w:sz w:val="20"/>
        </w:rPr>
      </w:pPr>
    </w:p>
    <w:tbl>
      <w:tblPr>
        <w:tblW w:w="0" w:type="auto"/>
        <w:jc w:val="left"/>
        <w:tblInd w:w="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48" w:hRule="atLeast"/>
        </w:trPr>
        <w:tc>
          <w:tcPr>
            <w:tcW w:w="8689" w:type="dxa"/>
            <w:gridSpan w:val="2"/>
          </w:tcPr>
          <w:p>
            <w:pPr>
              <w:pStyle w:val="TableParagraph"/>
              <w:spacing w:before="11"/>
              <w:ind w:left="458"/>
              <w:rPr>
                <w:sz w:val="21"/>
              </w:rPr>
            </w:pPr>
            <w:r>
              <w:rPr>
                <w:sz w:val="21"/>
              </w:rPr>
              <w:t>Estratégia</w:t>
            </w:r>
            <w:r>
              <w:rPr>
                <w:spacing w:val="-11"/>
                <w:sz w:val="21"/>
              </w:rPr>
              <w:t> </w:t>
            </w:r>
            <w:r>
              <w:rPr>
                <w:sz w:val="21"/>
              </w:rPr>
              <w:t>de</w:t>
            </w:r>
            <w:r>
              <w:rPr>
                <w:spacing w:val="-4"/>
                <w:sz w:val="21"/>
              </w:rPr>
              <w:t> </w:t>
            </w:r>
            <w:r>
              <w:rPr>
                <w:sz w:val="21"/>
              </w:rPr>
              <w:t>Alocação</w:t>
            </w:r>
            <w:r>
              <w:rPr>
                <w:spacing w:val="-7"/>
                <w:sz w:val="21"/>
              </w:rPr>
              <w:t> </w:t>
            </w:r>
            <w:r>
              <w:rPr>
                <w:sz w:val="21"/>
              </w:rPr>
              <w:t>dos</w:t>
            </w:r>
            <w:r>
              <w:rPr>
                <w:spacing w:val="-4"/>
                <w:sz w:val="21"/>
              </w:rPr>
              <w:t> </w:t>
            </w:r>
            <w:r>
              <w:rPr>
                <w:sz w:val="21"/>
              </w:rPr>
              <w:t>Recursos</w:t>
            </w:r>
            <w:r>
              <w:rPr>
                <w:spacing w:val="-7"/>
                <w:sz w:val="21"/>
              </w:rPr>
              <w:t> </w:t>
            </w:r>
            <w:r>
              <w:rPr>
                <w:sz w:val="21"/>
              </w:rPr>
              <w:t>no</w:t>
            </w:r>
            <w:r>
              <w:rPr>
                <w:spacing w:val="-6"/>
                <w:sz w:val="21"/>
              </w:rPr>
              <w:t> </w:t>
            </w:r>
            <w:r>
              <w:rPr>
                <w:sz w:val="21"/>
              </w:rPr>
              <w:t>Longo</w:t>
            </w:r>
            <w:r>
              <w:rPr>
                <w:spacing w:val="-8"/>
                <w:sz w:val="21"/>
              </w:rPr>
              <w:t> </w:t>
            </w:r>
            <w:r>
              <w:rPr>
                <w:sz w:val="21"/>
              </w:rPr>
              <w:t>Prazo</w:t>
            </w:r>
            <w:r>
              <w:rPr>
                <w:spacing w:val="1"/>
                <w:sz w:val="21"/>
              </w:rPr>
              <w:t> </w:t>
            </w:r>
            <w:r>
              <w:rPr>
                <w:sz w:val="21"/>
              </w:rPr>
              <w:t>–</w:t>
            </w:r>
            <w:r>
              <w:rPr>
                <w:spacing w:val="-7"/>
                <w:sz w:val="21"/>
              </w:rPr>
              <w:t> </w:t>
            </w:r>
            <w:r>
              <w:rPr>
                <w:sz w:val="21"/>
              </w:rPr>
              <w:t>Renda</w:t>
            </w:r>
            <w:r>
              <w:rPr>
                <w:spacing w:val="-6"/>
                <w:sz w:val="21"/>
              </w:rPr>
              <w:t> </w:t>
            </w:r>
            <w:r>
              <w:rPr>
                <w:sz w:val="21"/>
              </w:rPr>
              <w:t>Fixa</w:t>
            </w:r>
            <w:r>
              <w:rPr>
                <w:spacing w:val="-7"/>
                <w:sz w:val="21"/>
              </w:rPr>
              <w:t> </w:t>
            </w:r>
            <w:r>
              <w:rPr>
                <w:sz w:val="21"/>
              </w:rPr>
              <w:t>e</w:t>
            </w:r>
            <w:r>
              <w:rPr>
                <w:spacing w:val="-4"/>
                <w:sz w:val="21"/>
              </w:rPr>
              <w:t> </w:t>
            </w:r>
            <w:r>
              <w:rPr>
                <w:spacing w:val="-2"/>
                <w:sz w:val="21"/>
              </w:rPr>
              <w:t>Variável</w:t>
            </w:r>
          </w:p>
        </w:tc>
      </w:tr>
      <w:tr>
        <w:trPr>
          <w:trHeight w:val="386" w:hRule="atLeast"/>
        </w:trPr>
        <w:tc>
          <w:tcPr>
            <w:tcW w:w="7566" w:type="dxa"/>
            <w:tcBorders>
              <w:bottom w:val="nil"/>
            </w:tcBorders>
          </w:tcPr>
          <w:p>
            <w:pPr>
              <w:pStyle w:val="TableParagraph"/>
              <w:spacing w:before="11"/>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11"/>
              <w:rPr>
                <w:b/>
                <w:sz w:val="21"/>
              </w:rPr>
            </w:pPr>
            <w:r>
              <w:rPr>
                <w:b/>
                <w:spacing w:val="-5"/>
                <w:sz w:val="21"/>
              </w:rPr>
              <w:t>55%</w:t>
            </w:r>
          </w:p>
        </w:tc>
      </w:tr>
      <w:tr>
        <w:trPr>
          <w:trHeight w:val="450" w:hRule="atLeast"/>
        </w:trPr>
        <w:tc>
          <w:tcPr>
            <w:tcW w:w="7566" w:type="dxa"/>
            <w:tcBorders>
              <w:top w:val="nil"/>
              <w:bottom w:val="nil"/>
            </w:tcBorders>
          </w:tcPr>
          <w:p>
            <w:pPr>
              <w:pStyle w:val="TableParagraph"/>
              <w:spacing w:before="81"/>
              <w:ind w:left="114"/>
              <w:rPr>
                <w:sz w:val="21"/>
              </w:rPr>
            </w:pPr>
            <w:r>
              <w:rPr>
                <w:sz w:val="21"/>
              </w:rPr>
              <w:t>Longuíssimo</w:t>
            </w:r>
            <w:r>
              <w:rPr>
                <w:spacing w:val="-8"/>
                <w:sz w:val="21"/>
              </w:rPr>
              <w:t> </w:t>
            </w:r>
            <w:r>
              <w:rPr>
                <w:sz w:val="21"/>
              </w:rPr>
              <w:t>Prazo</w:t>
            </w:r>
            <w:r>
              <w:rPr>
                <w:spacing w:val="-6"/>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81"/>
              <w:rPr>
                <w:sz w:val="21"/>
              </w:rPr>
            </w:pPr>
            <w:r>
              <w:rPr>
                <w:spacing w:val="-5"/>
                <w:sz w:val="21"/>
              </w:rPr>
              <w:t>0%</w:t>
            </w:r>
          </w:p>
        </w:tc>
      </w:tr>
      <w:tr>
        <w:trPr>
          <w:trHeight w:val="447" w:hRule="atLeast"/>
        </w:trPr>
        <w:tc>
          <w:tcPr>
            <w:tcW w:w="7566" w:type="dxa"/>
            <w:tcBorders>
              <w:top w:val="nil"/>
              <w:bottom w:val="nil"/>
            </w:tcBorders>
          </w:tcPr>
          <w:p>
            <w:pPr>
              <w:pStyle w:val="TableParagraph"/>
              <w:spacing w:before="75"/>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5"/>
              <w:rPr>
                <w:sz w:val="21"/>
              </w:rPr>
            </w:pPr>
            <w:r>
              <w:rPr>
                <w:spacing w:val="-5"/>
                <w:sz w:val="21"/>
              </w:rPr>
              <w:t>10%</w:t>
            </w:r>
          </w:p>
        </w:tc>
      </w:tr>
      <w:tr>
        <w:trPr>
          <w:trHeight w:val="445" w:hRule="atLeast"/>
        </w:trPr>
        <w:tc>
          <w:tcPr>
            <w:tcW w:w="7566" w:type="dxa"/>
            <w:tcBorders>
              <w:top w:val="nil"/>
              <w:bottom w:val="nil"/>
            </w:tcBorders>
          </w:tcPr>
          <w:p>
            <w:pPr>
              <w:pStyle w:val="TableParagraph"/>
              <w:spacing w:before="78"/>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8"/>
              <w:rPr>
                <w:sz w:val="21"/>
              </w:rPr>
            </w:pPr>
            <w:r>
              <w:rPr>
                <w:spacing w:val="-5"/>
                <w:sz w:val="21"/>
              </w:rPr>
              <w:t>10%</w:t>
            </w:r>
          </w:p>
        </w:tc>
      </w:tr>
      <w:tr>
        <w:trPr>
          <w:trHeight w:val="437" w:hRule="atLeast"/>
        </w:trPr>
        <w:tc>
          <w:tcPr>
            <w:tcW w:w="7566" w:type="dxa"/>
            <w:tcBorders>
              <w:top w:val="nil"/>
              <w:bottom w:val="nil"/>
            </w:tcBorders>
          </w:tcPr>
          <w:p>
            <w:pPr>
              <w:pStyle w:val="TableParagraph"/>
              <w:spacing w:before="72"/>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spacing w:before="72"/>
              <w:rPr>
                <w:sz w:val="21"/>
              </w:rPr>
            </w:pPr>
            <w:r>
              <w:rPr>
                <w:spacing w:val="-5"/>
                <w:sz w:val="21"/>
              </w:rPr>
              <w:t>10%</w:t>
            </w:r>
          </w:p>
        </w:tc>
      </w:tr>
      <w:tr>
        <w:trPr>
          <w:trHeight w:val="435" w:hRule="atLeast"/>
        </w:trPr>
        <w:tc>
          <w:tcPr>
            <w:tcW w:w="7566" w:type="dxa"/>
            <w:tcBorders>
              <w:top w:val="nil"/>
              <w:bottom w:val="nil"/>
            </w:tcBorders>
          </w:tcPr>
          <w:p>
            <w:pPr>
              <w:pStyle w:val="TableParagraph"/>
              <w:spacing w:before="70"/>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70"/>
              <w:rPr>
                <w:sz w:val="21"/>
              </w:rPr>
            </w:pPr>
            <w:r>
              <w:rPr>
                <w:spacing w:val="-5"/>
                <w:sz w:val="21"/>
              </w:rPr>
              <w:t>10%</w:t>
            </w:r>
          </w:p>
        </w:tc>
      </w:tr>
      <w:tr>
        <w:trPr>
          <w:trHeight w:val="440" w:hRule="atLeast"/>
        </w:trPr>
        <w:tc>
          <w:tcPr>
            <w:tcW w:w="7566" w:type="dxa"/>
            <w:tcBorders>
              <w:top w:val="nil"/>
              <w:bottom w:val="nil"/>
            </w:tcBorders>
          </w:tcPr>
          <w:p>
            <w:pPr>
              <w:pStyle w:val="TableParagraph"/>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rPr>
                <w:sz w:val="21"/>
              </w:rPr>
            </w:pPr>
            <w:r>
              <w:rPr>
                <w:spacing w:val="-5"/>
                <w:sz w:val="21"/>
              </w:rPr>
              <w:t>15%</w:t>
            </w:r>
          </w:p>
        </w:tc>
      </w:tr>
      <w:tr>
        <w:trPr>
          <w:trHeight w:val="446" w:hRule="atLeast"/>
        </w:trPr>
        <w:tc>
          <w:tcPr>
            <w:tcW w:w="7566" w:type="dxa"/>
            <w:tcBorders>
              <w:top w:val="nil"/>
              <w:bottom w:val="nil"/>
            </w:tcBorders>
          </w:tcPr>
          <w:p>
            <w:pPr>
              <w:pStyle w:val="TableParagraph"/>
              <w:spacing w:before="75"/>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5"/>
              <w:rPr>
                <w:b/>
                <w:sz w:val="21"/>
              </w:rPr>
            </w:pPr>
            <w:r>
              <w:rPr>
                <w:b/>
                <w:spacing w:val="-5"/>
                <w:sz w:val="21"/>
              </w:rPr>
              <w:t>35%</w:t>
            </w:r>
          </w:p>
        </w:tc>
      </w:tr>
      <w:tr>
        <w:trPr>
          <w:trHeight w:val="450" w:hRule="atLeast"/>
        </w:trPr>
        <w:tc>
          <w:tcPr>
            <w:tcW w:w="7566" w:type="dxa"/>
            <w:tcBorders>
              <w:top w:val="nil"/>
              <w:bottom w:val="nil"/>
            </w:tcBorders>
          </w:tcPr>
          <w:p>
            <w:pPr>
              <w:pStyle w:val="TableParagraph"/>
              <w:spacing w:before="77"/>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77"/>
              <w:rPr>
                <w:sz w:val="21"/>
              </w:rPr>
            </w:pPr>
            <w:r>
              <w:rPr>
                <w:spacing w:val="-5"/>
                <w:sz w:val="21"/>
              </w:rPr>
              <w:t>25%</w:t>
            </w:r>
          </w:p>
        </w:tc>
      </w:tr>
      <w:tr>
        <w:trPr>
          <w:trHeight w:val="450" w:hRule="atLeast"/>
        </w:trPr>
        <w:tc>
          <w:tcPr>
            <w:tcW w:w="7566" w:type="dxa"/>
            <w:tcBorders>
              <w:top w:val="nil"/>
              <w:bottom w:val="nil"/>
            </w:tcBorders>
          </w:tcPr>
          <w:p>
            <w:pPr>
              <w:pStyle w:val="TableParagraph"/>
              <w:spacing w:before="78"/>
              <w:ind w:left="114"/>
              <w:rPr>
                <w:sz w:val="21"/>
              </w:rPr>
            </w:pPr>
            <w:r>
              <w:rPr>
                <w:spacing w:val="-2"/>
                <w:sz w:val="21"/>
              </w:rPr>
              <w:t>Multimercados</w:t>
            </w:r>
          </w:p>
        </w:tc>
        <w:tc>
          <w:tcPr>
            <w:tcW w:w="1123" w:type="dxa"/>
            <w:tcBorders>
              <w:top w:val="nil"/>
              <w:bottom w:val="nil"/>
            </w:tcBorders>
          </w:tcPr>
          <w:p>
            <w:pPr>
              <w:pStyle w:val="TableParagraph"/>
              <w:spacing w:before="78"/>
              <w:rPr>
                <w:sz w:val="21"/>
              </w:rPr>
            </w:pPr>
            <w:r>
              <w:rPr>
                <w:spacing w:val="-4"/>
                <w:sz w:val="21"/>
              </w:rPr>
              <w:t>2,5%</w:t>
            </w:r>
          </w:p>
        </w:tc>
      </w:tr>
      <w:tr>
        <w:trPr>
          <w:trHeight w:val="450" w:hRule="atLeast"/>
        </w:trPr>
        <w:tc>
          <w:tcPr>
            <w:tcW w:w="7566" w:type="dxa"/>
            <w:tcBorders>
              <w:top w:val="nil"/>
              <w:bottom w:val="nil"/>
            </w:tcBorders>
          </w:tcPr>
          <w:p>
            <w:pPr>
              <w:pStyle w:val="TableParagraph"/>
              <w:spacing w:before="77"/>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7"/>
              <w:rPr>
                <w:sz w:val="21"/>
              </w:rPr>
            </w:pPr>
            <w:r>
              <w:rPr>
                <w:spacing w:val="-4"/>
                <w:sz w:val="21"/>
              </w:rPr>
              <w:t>2,5%</w:t>
            </w:r>
          </w:p>
        </w:tc>
      </w:tr>
      <w:tr>
        <w:trPr>
          <w:trHeight w:val="445" w:hRule="atLeast"/>
        </w:trPr>
        <w:tc>
          <w:tcPr>
            <w:tcW w:w="7566" w:type="dxa"/>
            <w:tcBorders>
              <w:top w:val="nil"/>
              <w:bottom w:val="nil"/>
            </w:tcBorders>
          </w:tcPr>
          <w:p>
            <w:pPr>
              <w:pStyle w:val="TableParagraph"/>
              <w:spacing w:before="78"/>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spacing w:before="78"/>
              <w:rPr>
                <w:sz w:val="21"/>
              </w:rPr>
            </w:pPr>
            <w:r>
              <w:rPr>
                <w:spacing w:val="-5"/>
                <w:sz w:val="21"/>
              </w:rPr>
              <w:t>5%</w:t>
            </w:r>
          </w:p>
        </w:tc>
      </w:tr>
      <w:tr>
        <w:trPr>
          <w:trHeight w:val="438" w:hRule="atLeast"/>
        </w:trPr>
        <w:tc>
          <w:tcPr>
            <w:tcW w:w="7566" w:type="dxa"/>
            <w:tcBorders>
              <w:top w:val="nil"/>
              <w:bottom w:val="nil"/>
            </w:tcBorders>
          </w:tcPr>
          <w:p>
            <w:pPr>
              <w:pStyle w:val="TableParagraph"/>
              <w:spacing w:before="72"/>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spacing w:before="72"/>
              <w:rPr>
                <w:b/>
                <w:sz w:val="21"/>
              </w:rPr>
            </w:pPr>
            <w:r>
              <w:rPr>
                <w:b/>
                <w:spacing w:val="-5"/>
                <w:sz w:val="21"/>
              </w:rPr>
              <w:t>10%</w:t>
            </w:r>
          </w:p>
        </w:tc>
      </w:tr>
      <w:tr>
        <w:trPr>
          <w:trHeight w:val="438" w:hRule="atLeast"/>
        </w:trPr>
        <w:tc>
          <w:tcPr>
            <w:tcW w:w="7566" w:type="dxa"/>
            <w:tcBorders>
              <w:top w:val="nil"/>
              <w:bottom w:val="nil"/>
            </w:tcBorders>
          </w:tcPr>
          <w:p>
            <w:pPr>
              <w:pStyle w:val="TableParagraph"/>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rPr>
                <w:sz w:val="21"/>
              </w:rPr>
            </w:pPr>
            <w:r>
              <w:rPr>
                <w:spacing w:val="-5"/>
                <w:sz w:val="21"/>
              </w:rPr>
              <w:t>5%</w:t>
            </w:r>
          </w:p>
        </w:tc>
      </w:tr>
      <w:tr>
        <w:trPr>
          <w:trHeight w:val="509" w:hRule="atLeast"/>
        </w:trPr>
        <w:tc>
          <w:tcPr>
            <w:tcW w:w="7566" w:type="dxa"/>
            <w:tcBorders>
              <w:top w:val="nil"/>
            </w:tcBorders>
          </w:tcPr>
          <w:p>
            <w:pPr>
              <w:pStyle w:val="TableParagraph"/>
              <w:spacing w:before="72"/>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spacing w:before="72"/>
              <w:rPr>
                <w:sz w:val="21"/>
              </w:rPr>
            </w:pPr>
            <w:r>
              <w:rPr>
                <w:spacing w:val="-5"/>
                <w:sz w:val="21"/>
              </w:rPr>
              <w:t>5%</w:t>
            </w:r>
          </w:p>
        </w:tc>
      </w:tr>
    </w:tbl>
    <w:p>
      <w:pPr>
        <w:spacing w:line="256" w:lineRule="auto" w:before="5"/>
        <w:ind w:left="710" w:right="1335" w:firstLine="0"/>
        <w:jc w:val="left"/>
        <w:rPr>
          <w:sz w:val="20"/>
        </w:rPr>
      </w:pPr>
      <w:r>
        <w:rPr>
          <w:sz w:val="20"/>
        </w:rPr>
        <w:t>*</w:t>
      </w:r>
      <w:r>
        <w:rPr>
          <w:spacing w:val="-4"/>
          <w:sz w:val="20"/>
        </w:rPr>
        <w:t> </w:t>
      </w:r>
      <w:r>
        <w:rPr>
          <w:sz w:val="20"/>
        </w:rPr>
        <w:t>Aos</w:t>
      </w:r>
      <w:r>
        <w:rPr>
          <w:spacing w:val="-4"/>
          <w:sz w:val="20"/>
        </w:rPr>
        <w:t> </w:t>
      </w:r>
      <w:r>
        <w:rPr>
          <w:sz w:val="20"/>
        </w:rPr>
        <w:t>clientes</w:t>
      </w:r>
      <w:r>
        <w:rPr>
          <w:spacing w:val="-4"/>
          <w:sz w:val="20"/>
        </w:rPr>
        <w:t> </w:t>
      </w:r>
      <w:r>
        <w:rPr>
          <w:sz w:val="20"/>
        </w:rPr>
        <w:t>que</w:t>
      </w:r>
      <w:r>
        <w:rPr>
          <w:spacing w:val="-9"/>
          <w:sz w:val="20"/>
        </w:rPr>
        <w:t> </w:t>
      </w:r>
      <w:r>
        <w:rPr>
          <w:sz w:val="20"/>
        </w:rPr>
        <w:t>investem</w:t>
      </w:r>
      <w:r>
        <w:rPr>
          <w:spacing w:val="-8"/>
          <w:sz w:val="20"/>
        </w:rPr>
        <w:t> </w:t>
      </w:r>
      <w:r>
        <w:rPr>
          <w:sz w:val="20"/>
        </w:rPr>
        <w:t>em</w:t>
      </w:r>
      <w:r>
        <w:rPr>
          <w:spacing w:val="-6"/>
          <w:sz w:val="20"/>
        </w:rPr>
        <w:t> </w:t>
      </w:r>
      <w:r>
        <w:rPr>
          <w:sz w:val="20"/>
        </w:rPr>
        <w:t>Fundos</w:t>
      </w:r>
      <w:r>
        <w:rPr>
          <w:spacing w:val="-3"/>
          <w:sz w:val="20"/>
        </w:rPr>
        <w:t> </w:t>
      </w:r>
      <w:r>
        <w:rPr>
          <w:sz w:val="20"/>
        </w:rPr>
        <w:t>de</w:t>
      </w:r>
      <w:r>
        <w:rPr>
          <w:spacing w:val="-9"/>
          <w:sz w:val="20"/>
        </w:rPr>
        <w:t> </w:t>
      </w:r>
      <w:r>
        <w:rPr>
          <w:sz w:val="20"/>
        </w:rPr>
        <w:t>Participações</w:t>
      </w:r>
      <w:r>
        <w:rPr>
          <w:spacing w:val="-2"/>
          <w:sz w:val="20"/>
        </w:rPr>
        <w:t> </w:t>
      </w:r>
      <w:r>
        <w:rPr>
          <w:sz w:val="20"/>
        </w:rPr>
        <w:t>e</w:t>
      </w:r>
      <w:r>
        <w:rPr>
          <w:spacing w:val="-9"/>
          <w:sz w:val="20"/>
        </w:rPr>
        <w:t> </w:t>
      </w:r>
      <w:r>
        <w:rPr>
          <w:sz w:val="20"/>
        </w:rPr>
        <w:t>Fundos</w:t>
      </w:r>
      <w:r>
        <w:rPr>
          <w:spacing w:val="-3"/>
          <w:sz w:val="20"/>
        </w:rPr>
        <w:t> </w:t>
      </w:r>
      <w:r>
        <w:rPr>
          <w:sz w:val="20"/>
        </w:rPr>
        <w:t>Imobiliários</w:t>
      </w:r>
      <w:r>
        <w:rPr>
          <w:spacing w:val="-2"/>
          <w:sz w:val="20"/>
        </w:rPr>
        <w:t> </w:t>
      </w:r>
      <w:r>
        <w:rPr>
          <w:sz w:val="20"/>
        </w:rPr>
        <w:t>em</w:t>
      </w:r>
      <w:r>
        <w:rPr>
          <w:spacing w:val="-6"/>
          <w:sz w:val="20"/>
        </w:rPr>
        <w:t> </w:t>
      </w:r>
      <w:r>
        <w:rPr>
          <w:sz w:val="20"/>
        </w:rPr>
        <w:t>percentual</w:t>
      </w:r>
      <w:r>
        <w:rPr>
          <w:spacing w:val="-4"/>
          <w:sz w:val="20"/>
        </w:rPr>
        <w:t> </w:t>
      </w:r>
      <w:r>
        <w:rPr>
          <w:sz w:val="20"/>
        </w:rPr>
        <w:t>superior</w:t>
      </w:r>
      <w:r>
        <w:rPr>
          <w:spacing w:val="-9"/>
          <w:sz w:val="20"/>
        </w:rPr>
        <w:t> </w:t>
      </w:r>
      <w:r>
        <w:rPr>
          <w:sz w:val="20"/>
        </w:rPr>
        <w:t>a 2,5% em cada, reduzir a exposição aos Fundos de Ações na proporção desse excesso.</w:t>
      </w:r>
    </w:p>
    <w:p>
      <w:pPr>
        <w:spacing w:after="0" w:line="256" w:lineRule="auto"/>
        <w:jc w:val="left"/>
        <w:rPr>
          <w:sz w:val="20"/>
        </w:rPr>
        <w:sectPr>
          <w:pgSz w:w="11920" w:h="16850"/>
          <w:pgMar w:top="1660" w:bottom="280" w:left="992" w:right="141"/>
        </w:sectPr>
      </w:pPr>
    </w:p>
    <w:p>
      <w:pPr>
        <w:pStyle w:val="BodyText"/>
        <w:spacing w:before="27"/>
        <w:ind w:left="63" w:right="707"/>
        <w:jc w:val="center"/>
      </w:pPr>
      <w:r>
        <w:rPr>
          <w:color w:val="0D0E0E"/>
        </w:rPr>
        <w:t>PRÓ</w:t>
      </w:r>
      <w:r>
        <w:rPr>
          <w:color w:val="0D0E0E"/>
          <w:spacing w:val="-10"/>
        </w:rPr>
        <w:t> </w:t>
      </w:r>
      <w:r>
        <w:rPr>
          <w:color w:val="0D0E0E"/>
        </w:rPr>
        <w:t>GESTÃO</w:t>
      </w:r>
      <w:r>
        <w:rPr>
          <w:color w:val="0D0E0E"/>
          <w:spacing w:val="-4"/>
        </w:rPr>
        <w:t> </w:t>
      </w:r>
      <w:r>
        <w:rPr>
          <w:color w:val="0D0E0E"/>
        </w:rPr>
        <w:t>NÍVEL</w:t>
      </w:r>
      <w:r>
        <w:rPr>
          <w:color w:val="0D0E0E"/>
          <w:spacing w:val="-6"/>
        </w:rPr>
        <w:t> </w:t>
      </w:r>
      <w:r>
        <w:rPr>
          <w:color w:val="0D0E0E"/>
          <w:spacing w:val="-10"/>
        </w:rPr>
        <w:t>2</w:t>
      </w:r>
    </w:p>
    <w:p>
      <w:pPr>
        <w:pStyle w:val="BodyText"/>
        <w:spacing w:before="166"/>
        <w:rPr>
          <w:sz w:val="20"/>
        </w:rPr>
      </w:pPr>
    </w:p>
    <w:tbl>
      <w:tblPr>
        <w:tblW w:w="0" w:type="auto"/>
        <w:jc w:val="left"/>
        <w:tblInd w:w="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48" w:hRule="atLeast"/>
        </w:trPr>
        <w:tc>
          <w:tcPr>
            <w:tcW w:w="8689" w:type="dxa"/>
            <w:gridSpan w:val="2"/>
          </w:tcPr>
          <w:p>
            <w:pPr>
              <w:pStyle w:val="TableParagraph"/>
              <w:spacing w:before="11"/>
              <w:ind w:left="450"/>
              <w:rPr>
                <w:sz w:val="21"/>
              </w:rPr>
            </w:pPr>
            <w:r>
              <w:rPr>
                <w:sz w:val="21"/>
              </w:rPr>
              <w:t>Estratégia</w:t>
            </w:r>
            <w:r>
              <w:rPr>
                <w:spacing w:val="-11"/>
                <w:sz w:val="21"/>
              </w:rPr>
              <w:t> </w:t>
            </w:r>
            <w:r>
              <w:rPr>
                <w:sz w:val="21"/>
              </w:rPr>
              <w:t>de</w:t>
            </w:r>
            <w:r>
              <w:rPr>
                <w:spacing w:val="-7"/>
                <w:sz w:val="21"/>
              </w:rPr>
              <w:t> </w:t>
            </w:r>
            <w:r>
              <w:rPr>
                <w:sz w:val="21"/>
              </w:rPr>
              <w:t>Alocação</w:t>
            </w:r>
            <w:r>
              <w:rPr>
                <w:spacing w:val="-5"/>
                <w:sz w:val="21"/>
              </w:rPr>
              <w:t> </w:t>
            </w:r>
            <w:r>
              <w:rPr>
                <w:sz w:val="21"/>
              </w:rPr>
              <w:t>dos</w:t>
            </w:r>
            <w:r>
              <w:rPr>
                <w:spacing w:val="-9"/>
                <w:sz w:val="21"/>
              </w:rPr>
              <w:t> </w:t>
            </w:r>
            <w:r>
              <w:rPr>
                <w:sz w:val="21"/>
              </w:rPr>
              <w:t>Recursos</w:t>
            </w:r>
            <w:r>
              <w:rPr>
                <w:spacing w:val="-9"/>
                <w:sz w:val="21"/>
              </w:rPr>
              <w:t> </w:t>
            </w:r>
            <w:r>
              <w:rPr>
                <w:sz w:val="21"/>
              </w:rPr>
              <w:t>no</w:t>
            </w:r>
            <w:r>
              <w:rPr>
                <w:spacing w:val="-5"/>
                <w:sz w:val="21"/>
              </w:rPr>
              <w:t> </w:t>
            </w:r>
            <w:r>
              <w:rPr>
                <w:sz w:val="21"/>
              </w:rPr>
              <w:t>Longo</w:t>
            </w:r>
            <w:r>
              <w:rPr>
                <w:spacing w:val="-7"/>
                <w:sz w:val="21"/>
              </w:rPr>
              <w:t> </w:t>
            </w:r>
            <w:r>
              <w:rPr>
                <w:sz w:val="21"/>
              </w:rPr>
              <w:t>Prazo</w:t>
            </w:r>
            <w:r>
              <w:rPr>
                <w:spacing w:val="-2"/>
                <w:sz w:val="21"/>
              </w:rPr>
              <w:t> </w:t>
            </w:r>
            <w:r>
              <w:rPr>
                <w:sz w:val="21"/>
              </w:rPr>
              <w:t>–</w:t>
            </w:r>
            <w:r>
              <w:rPr>
                <w:spacing w:val="-7"/>
                <w:sz w:val="21"/>
              </w:rPr>
              <w:t> </w:t>
            </w:r>
            <w:r>
              <w:rPr>
                <w:sz w:val="21"/>
              </w:rPr>
              <w:t>Renda</w:t>
            </w:r>
            <w:r>
              <w:rPr>
                <w:spacing w:val="-7"/>
                <w:sz w:val="21"/>
              </w:rPr>
              <w:t> </w:t>
            </w:r>
            <w:r>
              <w:rPr>
                <w:sz w:val="21"/>
              </w:rPr>
              <w:t>Fixa</w:t>
            </w:r>
            <w:r>
              <w:rPr>
                <w:spacing w:val="-6"/>
                <w:sz w:val="21"/>
              </w:rPr>
              <w:t> </w:t>
            </w:r>
            <w:r>
              <w:rPr>
                <w:sz w:val="21"/>
              </w:rPr>
              <w:t>e</w:t>
            </w:r>
            <w:r>
              <w:rPr>
                <w:spacing w:val="-7"/>
                <w:sz w:val="21"/>
              </w:rPr>
              <w:t> </w:t>
            </w:r>
            <w:r>
              <w:rPr>
                <w:spacing w:val="-2"/>
                <w:sz w:val="21"/>
              </w:rPr>
              <w:t>Variável</w:t>
            </w:r>
          </w:p>
        </w:tc>
      </w:tr>
      <w:tr>
        <w:trPr>
          <w:trHeight w:val="387" w:hRule="atLeast"/>
        </w:trPr>
        <w:tc>
          <w:tcPr>
            <w:tcW w:w="7566" w:type="dxa"/>
            <w:tcBorders>
              <w:bottom w:val="nil"/>
            </w:tcBorders>
          </w:tcPr>
          <w:p>
            <w:pPr>
              <w:pStyle w:val="TableParagraph"/>
              <w:spacing w:before="13"/>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13"/>
              <w:rPr>
                <w:b/>
                <w:sz w:val="21"/>
              </w:rPr>
            </w:pPr>
            <w:r>
              <w:rPr>
                <w:b/>
                <w:spacing w:val="-5"/>
                <w:sz w:val="21"/>
              </w:rPr>
              <w:t>50%</w:t>
            </w:r>
          </w:p>
        </w:tc>
      </w:tr>
      <w:tr>
        <w:trPr>
          <w:trHeight w:val="457" w:hRule="atLeast"/>
        </w:trPr>
        <w:tc>
          <w:tcPr>
            <w:tcW w:w="7566" w:type="dxa"/>
            <w:tcBorders>
              <w:top w:val="nil"/>
              <w:bottom w:val="nil"/>
            </w:tcBorders>
          </w:tcPr>
          <w:p>
            <w:pPr>
              <w:pStyle w:val="TableParagraph"/>
              <w:spacing w:before="89"/>
              <w:ind w:left="114"/>
              <w:rPr>
                <w:sz w:val="21"/>
              </w:rPr>
            </w:pPr>
            <w:r>
              <w:rPr>
                <w:sz w:val="21"/>
              </w:rPr>
              <w:t>Longuíssimo</w:t>
            </w:r>
            <w:r>
              <w:rPr>
                <w:spacing w:val="-8"/>
                <w:sz w:val="21"/>
              </w:rPr>
              <w:t> </w:t>
            </w:r>
            <w:r>
              <w:rPr>
                <w:sz w:val="21"/>
              </w:rPr>
              <w:t>Prazo</w:t>
            </w:r>
            <w:r>
              <w:rPr>
                <w:spacing w:val="-6"/>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77"/>
              <w:rPr>
                <w:sz w:val="22"/>
              </w:rPr>
            </w:pPr>
            <w:r>
              <w:rPr>
                <w:spacing w:val="-5"/>
                <w:sz w:val="22"/>
              </w:rPr>
              <w:t>0%</w:t>
            </w:r>
          </w:p>
        </w:tc>
      </w:tr>
      <w:tr>
        <w:trPr>
          <w:trHeight w:val="450" w:hRule="atLeast"/>
        </w:trPr>
        <w:tc>
          <w:tcPr>
            <w:tcW w:w="7566" w:type="dxa"/>
            <w:tcBorders>
              <w:top w:val="nil"/>
              <w:bottom w:val="nil"/>
            </w:tcBorders>
          </w:tcPr>
          <w:p>
            <w:pPr>
              <w:pStyle w:val="TableParagraph"/>
              <w:spacing w:before="81"/>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4"/>
                <w:sz w:val="21"/>
              </w:rPr>
              <w:t> </w:t>
            </w:r>
            <w:r>
              <w:rPr>
                <w:sz w:val="21"/>
              </w:rPr>
              <w:t>Crédito</w:t>
            </w:r>
            <w:r>
              <w:rPr>
                <w:spacing w:val="-10"/>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rPr>
                <w:sz w:val="22"/>
              </w:rPr>
            </w:pPr>
            <w:r>
              <w:rPr>
                <w:spacing w:val="-5"/>
                <w:sz w:val="22"/>
              </w:rPr>
              <w:t>5%</w:t>
            </w:r>
          </w:p>
        </w:tc>
      </w:tr>
      <w:tr>
        <w:trPr>
          <w:trHeight w:val="448" w:hRule="atLeast"/>
        </w:trPr>
        <w:tc>
          <w:tcPr>
            <w:tcW w:w="7566" w:type="dxa"/>
            <w:tcBorders>
              <w:top w:val="nil"/>
              <w:bottom w:val="nil"/>
            </w:tcBorders>
          </w:tcPr>
          <w:p>
            <w:pPr>
              <w:pStyle w:val="TableParagraph"/>
              <w:spacing w:before="82"/>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0"/>
              <w:rPr>
                <w:sz w:val="22"/>
              </w:rPr>
            </w:pPr>
            <w:r>
              <w:rPr>
                <w:spacing w:val="-5"/>
                <w:sz w:val="22"/>
              </w:rPr>
              <w:t>10%</w:t>
            </w:r>
          </w:p>
        </w:tc>
      </w:tr>
      <w:tr>
        <w:trPr>
          <w:trHeight w:val="437" w:hRule="atLeast"/>
        </w:trPr>
        <w:tc>
          <w:tcPr>
            <w:tcW w:w="7566" w:type="dxa"/>
            <w:tcBorders>
              <w:top w:val="nil"/>
              <w:bottom w:val="nil"/>
            </w:tcBorders>
          </w:tcPr>
          <w:p>
            <w:pPr>
              <w:pStyle w:val="TableParagraph"/>
              <w:spacing w:before="72"/>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7"/>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spacing w:before="72"/>
              <w:rPr>
                <w:sz w:val="21"/>
              </w:rPr>
            </w:pPr>
            <w:r>
              <w:rPr>
                <w:spacing w:val="-5"/>
                <w:sz w:val="21"/>
              </w:rPr>
              <w:t>10%</w:t>
            </w:r>
          </w:p>
        </w:tc>
      </w:tr>
      <w:tr>
        <w:trPr>
          <w:trHeight w:val="449" w:hRule="atLeast"/>
        </w:trPr>
        <w:tc>
          <w:tcPr>
            <w:tcW w:w="7566" w:type="dxa"/>
            <w:tcBorders>
              <w:top w:val="nil"/>
              <w:bottom w:val="nil"/>
            </w:tcBorders>
          </w:tcPr>
          <w:p>
            <w:pPr>
              <w:pStyle w:val="TableParagraph"/>
              <w:spacing w:before="84"/>
              <w:ind w:left="114"/>
              <w:rPr>
                <w:sz w:val="21"/>
              </w:rPr>
            </w:pPr>
            <w:r>
              <w:rPr>
                <w:sz w:val="21"/>
              </w:rPr>
              <w:t>Curto</w:t>
            </w:r>
            <w:r>
              <w:rPr>
                <w:spacing w:val="-7"/>
                <w:sz w:val="21"/>
              </w:rPr>
              <w:t> </w:t>
            </w:r>
            <w:r>
              <w:rPr>
                <w:sz w:val="21"/>
              </w:rPr>
              <w:t>Prazo</w:t>
            </w:r>
            <w:r>
              <w:rPr>
                <w:spacing w:val="-2"/>
                <w:sz w:val="21"/>
              </w:rPr>
              <w:t> </w:t>
            </w:r>
            <w:r>
              <w:rPr>
                <w:sz w:val="21"/>
              </w:rPr>
              <w:t>(CDI,</w:t>
            </w:r>
            <w:r>
              <w:rPr>
                <w:spacing w:val="-4"/>
                <w:sz w:val="21"/>
              </w:rPr>
              <w:t> </w:t>
            </w:r>
            <w:r>
              <w:rPr>
                <w:sz w:val="21"/>
              </w:rPr>
              <w:t>IRF-M</w:t>
            </w:r>
            <w:r>
              <w:rPr>
                <w:spacing w:val="-7"/>
                <w:sz w:val="21"/>
              </w:rPr>
              <w:t> </w:t>
            </w:r>
            <w:r>
              <w:rPr>
                <w:spacing w:val="-5"/>
                <w:sz w:val="21"/>
              </w:rPr>
              <w:t>1)</w:t>
            </w:r>
          </w:p>
        </w:tc>
        <w:tc>
          <w:tcPr>
            <w:tcW w:w="1123" w:type="dxa"/>
            <w:tcBorders>
              <w:top w:val="nil"/>
              <w:bottom w:val="nil"/>
            </w:tcBorders>
          </w:tcPr>
          <w:p>
            <w:pPr>
              <w:pStyle w:val="TableParagraph"/>
              <w:spacing w:before="68"/>
              <w:rPr>
                <w:sz w:val="22"/>
              </w:rPr>
            </w:pPr>
            <w:r>
              <w:rPr>
                <w:spacing w:val="-5"/>
                <w:sz w:val="22"/>
              </w:rPr>
              <w:t>10%</w:t>
            </w:r>
          </w:p>
        </w:tc>
      </w:tr>
      <w:tr>
        <w:trPr>
          <w:trHeight w:val="452" w:hRule="atLeast"/>
        </w:trPr>
        <w:tc>
          <w:tcPr>
            <w:tcW w:w="7566" w:type="dxa"/>
            <w:tcBorders>
              <w:top w:val="nil"/>
              <w:bottom w:val="nil"/>
            </w:tcBorders>
          </w:tcPr>
          <w:p>
            <w:pPr>
              <w:pStyle w:val="TableParagraph"/>
              <w:spacing w:before="70"/>
              <w:ind w:left="114"/>
              <w:rPr>
                <w:sz w:val="21"/>
              </w:rPr>
            </w:pPr>
            <w:r>
              <w:rPr>
                <w:sz w:val="21"/>
              </w:rPr>
              <w:t>Títulos</w:t>
            </w:r>
            <w:r>
              <w:rPr>
                <w:spacing w:val="-8"/>
                <w:sz w:val="21"/>
              </w:rPr>
              <w:t> </w:t>
            </w:r>
            <w:r>
              <w:rPr>
                <w:sz w:val="21"/>
              </w:rPr>
              <w:t>Privados</w:t>
            </w:r>
            <w:r>
              <w:rPr>
                <w:spacing w:val="-7"/>
                <w:sz w:val="21"/>
              </w:rPr>
              <w:t> </w:t>
            </w:r>
            <w:r>
              <w:rPr>
                <w:sz w:val="21"/>
              </w:rPr>
              <w:t>(Letra</w:t>
            </w:r>
            <w:r>
              <w:rPr>
                <w:spacing w:val="-9"/>
                <w:sz w:val="21"/>
              </w:rPr>
              <w:t> </w:t>
            </w:r>
            <w:r>
              <w:rPr>
                <w:sz w:val="21"/>
              </w:rPr>
              <w:t>financeira</w:t>
            </w:r>
            <w:r>
              <w:rPr>
                <w:spacing w:val="-4"/>
                <w:sz w:val="21"/>
              </w:rPr>
              <w:t> </w:t>
            </w:r>
            <w:r>
              <w:rPr>
                <w:sz w:val="21"/>
              </w:rPr>
              <w:t>e</w:t>
            </w:r>
            <w:r>
              <w:rPr>
                <w:spacing w:val="-8"/>
                <w:sz w:val="21"/>
              </w:rPr>
              <w:t> </w:t>
            </w:r>
            <w:r>
              <w:rPr>
                <w:spacing w:val="-4"/>
                <w:sz w:val="21"/>
              </w:rPr>
              <w:t>CDB)</w:t>
            </w:r>
          </w:p>
        </w:tc>
        <w:tc>
          <w:tcPr>
            <w:tcW w:w="1123" w:type="dxa"/>
            <w:tcBorders>
              <w:top w:val="nil"/>
              <w:bottom w:val="nil"/>
            </w:tcBorders>
          </w:tcPr>
          <w:p>
            <w:pPr>
              <w:pStyle w:val="TableParagraph"/>
              <w:spacing w:before="67"/>
              <w:rPr>
                <w:sz w:val="22"/>
              </w:rPr>
            </w:pPr>
            <w:r>
              <w:rPr>
                <w:spacing w:val="-5"/>
                <w:sz w:val="22"/>
              </w:rPr>
              <w:t>15%</w:t>
            </w:r>
          </w:p>
        </w:tc>
      </w:tr>
      <w:tr>
        <w:trPr>
          <w:trHeight w:val="444" w:hRule="atLeast"/>
        </w:trPr>
        <w:tc>
          <w:tcPr>
            <w:tcW w:w="7566" w:type="dxa"/>
            <w:tcBorders>
              <w:top w:val="nil"/>
              <w:bottom w:val="nil"/>
            </w:tcBorders>
          </w:tcPr>
          <w:p>
            <w:pPr>
              <w:pStyle w:val="TableParagraph"/>
              <w:spacing w:before="78"/>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8"/>
              <w:rPr>
                <w:b/>
                <w:sz w:val="21"/>
              </w:rPr>
            </w:pPr>
            <w:r>
              <w:rPr>
                <w:b/>
                <w:spacing w:val="-5"/>
                <w:sz w:val="21"/>
              </w:rPr>
              <w:t>40%</w:t>
            </w:r>
          </w:p>
        </w:tc>
      </w:tr>
      <w:tr>
        <w:trPr>
          <w:trHeight w:val="448" w:hRule="atLeast"/>
        </w:trPr>
        <w:tc>
          <w:tcPr>
            <w:tcW w:w="7566" w:type="dxa"/>
            <w:tcBorders>
              <w:top w:val="nil"/>
              <w:bottom w:val="nil"/>
            </w:tcBorders>
          </w:tcPr>
          <w:p>
            <w:pPr>
              <w:pStyle w:val="TableParagraph"/>
              <w:spacing w:before="81"/>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69"/>
              <w:rPr>
                <w:sz w:val="22"/>
              </w:rPr>
            </w:pPr>
            <w:r>
              <w:rPr>
                <w:spacing w:val="-5"/>
                <w:sz w:val="22"/>
              </w:rPr>
              <w:t>30%</w:t>
            </w:r>
          </w:p>
        </w:tc>
      </w:tr>
      <w:tr>
        <w:trPr>
          <w:trHeight w:val="452" w:hRule="atLeast"/>
        </w:trPr>
        <w:tc>
          <w:tcPr>
            <w:tcW w:w="7566" w:type="dxa"/>
            <w:tcBorders>
              <w:top w:val="nil"/>
              <w:bottom w:val="nil"/>
            </w:tcBorders>
          </w:tcPr>
          <w:p>
            <w:pPr>
              <w:pStyle w:val="TableParagraph"/>
              <w:spacing w:before="85"/>
              <w:ind w:left="114"/>
              <w:rPr>
                <w:sz w:val="21"/>
              </w:rPr>
            </w:pPr>
            <w:r>
              <w:rPr>
                <w:spacing w:val="-2"/>
                <w:sz w:val="21"/>
              </w:rPr>
              <w:t>Multimercados</w:t>
            </w:r>
          </w:p>
        </w:tc>
        <w:tc>
          <w:tcPr>
            <w:tcW w:w="1123" w:type="dxa"/>
            <w:tcBorders>
              <w:top w:val="nil"/>
              <w:bottom w:val="nil"/>
            </w:tcBorders>
          </w:tcPr>
          <w:p>
            <w:pPr>
              <w:pStyle w:val="TableParagraph"/>
              <w:rPr>
                <w:sz w:val="22"/>
              </w:rPr>
            </w:pPr>
            <w:r>
              <w:rPr>
                <w:spacing w:val="-4"/>
                <w:sz w:val="22"/>
              </w:rPr>
              <w:t>2,5%</w:t>
            </w:r>
          </w:p>
        </w:tc>
      </w:tr>
      <w:tr>
        <w:trPr>
          <w:trHeight w:val="448" w:hRule="atLeast"/>
        </w:trPr>
        <w:tc>
          <w:tcPr>
            <w:tcW w:w="7566" w:type="dxa"/>
            <w:tcBorders>
              <w:top w:val="nil"/>
              <w:bottom w:val="nil"/>
            </w:tcBorders>
          </w:tcPr>
          <w:p>
            <w:pPr>
              <w:pStyle w:val="TableParagraph"/>
              <w:spacing w:before="82"/>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0"/>
              <w:rPr>
                <w:sz w:val="22"/>
              </w:rPr>
            </w:pPr>
            <w:r>
              <w:rPr>
                <w:spacing w:val="-4"/>
                <w:sz w:val="22"/>
              </w:rPr>
              <w:t>2,5%</w:t>
            </w:r>
          </w:p>
        </w:tc>
      </w:tr>
      <w:tr>
        <w:trPr>
          <w:trHeight w:val="450" w:hRule="atLeast"/>
        </w:trPr>
        <w:tc>
          <w:tcPr>
            <w:tcW w:w="7566" w:type="dxa"/>
            <w:tcBorders>
              <w:top w:val="nil"/>
              <w:bottom w:val="nil"/>
            </w:tcBorders>
          </w:tcPr>
          <w:p>
            <w:pPr>
              <w:pStyle w:val="TableParagraph"/>
              <w:spacing w:before="79"/>
              <w:ind w:left="114"/>
              <w:rPr>
                <w:sz w:val="21"/>
              </w:rPr>
            </w:pPr>
            <w:r>
              <w:rPr>
                <w:sz w:val="21"/>
              </w:rPr>
              <w:t>Fundos</w:t>
            </w:r>
            <w:r>
              <w:rPr>
                <w:spacing w:val="-10"/>
                <w:sz w:val="21"/>
              </w:rPr>
              <w:t> </w:t>
            </w:r>
            <w:r>
              <w:rPr>
                <w:sz w:val="21"/>
              </w:rPr>
              <w:t>Imobiliários</w:t>
            </w:r>
            <w:r>
              <w:rPr>
                <w:spacing w:val="-8"/>
                <w:sz w:val="21"/>
              </w:rPr>
              <w:t> </w:t>
            </w:r>
            <w:r>
              <w:rPr>
                <w:spacing w:val="-10"/>
                <w:sz w:val="21"/>
              </w:rPr>
              <w:t>*</w:t>
            </w:r>
          </w:p>
        </w:tc>
        <w:tc>
          <w:tcPr>
            <w:tcW w:w="1123" w:type="dxa"/>
            <w:tcBorders>
              <w:top w:val="nil"/>
              <w:bottom w:val="nil"/>
            </w:tcBorders>
          </w:tcPr>
          <w:p>
            <w:pPr>
              <w:pStyle w:val="TableParagraph"/>
              <w:spacing w:before="70"/>
              <w:rPr>
                <w:sz w:val="22"/>
              </w:rPr>
            </w:pPr>
            <w:r>
              <w:rPr>
                <w:spacing w:val="-5"/>
                <w:sz w:val="22"/>
              </w:rPr>
              <w:t>5%</w:t>
            </w:r>
          </w:p>
        </w:tc>
      </w:tr>
      <w:tr>
        <w:trPr>
          <w:trHeight w:val="445" w:hRule="atLeast"/>
        </w:trPr>
        <w:tc>
          <w:tcPr>
            <w:tcW w:w="7566" w:type="dxa"/>
            <w:tcBorders>
              <w:top w:val="nil"/>
              <w:bottom w:val="nil"/>
            </w:tcBorders>
          </w:tcPr>
          <w:p>
            <w:pPr>
              <w:pStyle w:val="TableParagraph"/>
              <w:spacing w:before="88"/>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spacing w:before="73"/>
              <w:rPr>
                <w:b/>
                <w:sz w:val="21"/>
              </w:rPr>
            </w:pPr>
            <w:r>
              <w:rPr>
                <w:b/>
                <w:spacing w:val="-5"/>
                <w:sz w:val="21"/>
              </w:rPr>
              <w:t>10%</w:t>
            </w:r>
          </w:p>
        </w:tc>
      </w:tr>
      <w:tr>
        <w:trPr>
          <w:trHeight w:val="444" w:hRule="atLeast"/>
        </w:trPr>
        <w:tc>
          <w:tcPr>
            <w:tcW w:w="7566" w:type="dxa"/>
            <w:tcBorders>
              <w:top w:val="nil"/>
              <w:bottom w:val="nil"/>
            </w:tcBorders>
          </w:tcPr>
          <w:p>
            <w:pPr>
              <w:pStyle w:val="TableParagraph"/>
              <w:spacing w:before="80"/>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spacing w:before="60"/>
              <w:rPr>
                <w:sz w:val="22"/>
              </w:rPr>
            </w:pPr>
            <w:r>
              <w:rPr>
                <w:spacing w:val="-5"/>
                <w:sz w:val="22"/>
              </w:rPr>
              <w:t>5%</w:t>
            </w:r>
          </w:p>
        </w:tc>
      </w:tr>
      <w:tr>
        <w:trPr>
          <w:trHeight w:val="519" w:hRule="atLeast"/>
        </w:trPr>
        <w:tc>
          <w:tcPr>
            <w:tcW w:w="7566" w:type="dxa"/>
            <w:tcBorders>
              <w:top w:val="nil"/>
            </w:tcBorders>
          </w:tcPr>
          <w:p>
            <w:pPr>
              <w:pStyle w:val="TableParagraph"/>
              <w:spacing w:before="70"/>
              <w:ind w:left="114"/>
              <w:rPr>
                <w:sz w:val="21"/>
              </w:rPr>
            </w:pPr>
            <w:r>
              <w:rPr>
                <w:sz w:val="21"/>
              </w:rPr>
              <w:t>Fundos</w:t>
            </w:r>
            <w:r>
              <w:rPr>
                <w:spacing w:val="-6"/>
                <w:sz w:val="21"/>
              </w:rPr>
              <w:t> </w:t>
            </w:r>
            <w:r>
              <w:rPr>
                <w:sz w:val="21"/>
              </w:rPr>
              <w:t>de</w:t>
            </w:r>
            <w:r>
              <w:rPr>
                <w:spacing w:val="-6"/>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spacing w:before="67"/>
              <w:rPr>
                <w:sz w:val="22"/>
              </w:rPr>
            </w:pPr>
            <w:r>
              <w:rPr>
                <w:spacing w:val="-5"/>
                <w:sz w:val="22"/>
              </w:rPr>
              <w:t>5%</w:t>
            </w:r>
          </w:p>
        </w:tc>
      </w:tr>
    </w:tbl>
    <w:p>
      <w:pPr>
        <w:spacing w:line="259" w:lineRule="auto" w:before="8"/>
        <w:ind w:left="710" w:right="1335" w:firstLine="0"/>
        <w:jc w:val="left"/>
        <w:rPr>
          <w:sz w:val="20"/>
        </w:rPr>
      </w:pPr>
      <w:r>
        <w:rPr>
          <w:sz w:val="20"/>
        </w:rPr>
        <w:t>*</w:t>
      </w:r>
      <w:r>
        <w:rPr>
          <w:spacing w:val="-4"/>
          <w:sz w:val="20"/>
        </w:rPr>
        <w:t> </w:t>
      </w:r>
      <w:r>
        <w:rPr>
          <w:sz w:val="20"/>
        </w:rPr>
        <w:t>Aos</w:t>
      </w:r>
      <w:r>
        <w:rPr>
          <w:spacing w:val="-4"/>
          <w:sz w:val="20"/>
        </w:rPr>
        <w:t> </w:t>
      </w:r>
      <w:r>
        <w:rPr>
          <w:sz w:val="20"/>
        </w:rPr>
        <w:t>clientes</w:t>
      </w:r>
      <w:r>
        <w:rPr>
          <w:spacing w:val="-4"/>
          <w:sz w:val="20"/>
        </w:rPr>
        <w:t> </w:t>
      </w:r>
      <w:r>
        <w:rPr>
          <w:sz w:val="20"/>
        </w:rPr>
        <w:t>que</w:t>
      </w:r>
      <w:r>
        <w:rPr>
          <w:spacing w:val="-9"/>
          <w:sz w:val="20"/>
        </w:rPr>
        <w:t> </w:t>
      </w:r>
      <w:r>
        <w:rPr>
          <w:sz w:val="20"/>
        </w:rPr>
        <w:t>investem</w:t>
      </w:r>
      <w:r>
        <w:rPr>
          <w:spacing w:val="-8"/>
          <w:sz w:val="20"/>
        </w:rPr>
        <w:t> </w:t>
      </w:r>
      <w:r>
        <w:rPr>
          <w:sz w:val="20"/>
        </w:rPr>
        <w:t>em</w:t>
      </w:r>
      <w:r>
        <w:rPr>
          <w:spacing w:val="-6"/>
          <w:sz w:val="20"/>
        </w:rPr>
        <w:t> </w:t>
      </w:r>
      <w:r>
        <w:rPr>
          <w:sz w:val="20"/>
        </w:rPr>
        <w:t>Fundos</w:t>
      </w:r>
      <w:r>
        <w:rPr>
          <w:spacing w:val="-3"/>
          <w:sz w:val="20"/>
        </w:rPr>
        <w:t> </w:t>
      </w:r>
      <w:r>
        <w:rPr>
          <w:sz w:val="20"/>
        </w:rPr>
        <w:t>de</w:t>
      </w:r>
      <w:r>
        <w:rPr>
          <w:spacing w:val="-9"/>
          <w:sz w:val="20"/>
        </w:rPr>
        <w:t> </w:t>
      </w:r>
      <w:r>
        <w:rPr>
          <w:sz w:val="20"/>
        </w:rPr>
        <w:t>Participações</w:t>
      </w:r>
      <w:r>
        <w:rPr>
          <w:spacing w:val="-2"/>
          <w:sz w:val="20"/>
        </w:rPr>
        <w:t> </w:t>
      </w:r>
      <w:r>
        <w:rPr>
          <w:sz w:val="20"/>
        </w:rPr>
        <w:t>e</w:t>
      </w:r>
      <w:r>
        <w:rPr>
          <w:spacing w:val="-9"/>
          <w:sz w:val="20"/>
        </w:rPr>
        <w:t> </w:t>
      </w:r>
      <w:r>
        <w:rPr>
          <w:sz w:val="20"/>
        </w:rPr>
        <w:t>Fundos</w:t>
      </w:r>
      <w:r>
        <w:rPr>
          <w:spacing w:val="-3"/>
          <w:sz w:val="20"/>
        </w:rPr>
        <w:t> </w:t>
      </w:r>
      <w:r>
        <w:rPr>
          <w:sz w:val="20"/>
        </w:rPr>
        <w:t>Imobiliários</w:t>
      </w:r>
      <w:r>
        <w:rPr>
          <w:spacing w:val="-2"/>
          <w:sz w:val="20"/>
        </w:rPr>
        <w:t> </w:t>
      </w:r>
      <w:r>
        <w:rPr>
          <w:sz w:val="20"/>
        </w:rPr>
        <w:t>em</w:t>
      </w:r>
      <w:r>
        <w:rPr>
          <w:spacing w:val="-6"/>
          <w:sz w:val="20"/>
        </w:rPr>
        <w:t> </w:t>
      </w:r>
      <w:r>
        <w:rPr>
          <w:sz w:val="20"/>
        </w:rPr>
        <w:t>percentual</w:t>
      </w:r>
      <w:r>
        <w:rPr>
          <w:spacing w:val="-4"/>
          <w:sz w:val="20"/>
        </w:rPr>
        <w:t> </w:t>
      </w:r>
      <w:r>
        <w:rPr>
          <w:sz w:val="20"/>
        </w:rPr>
        <w:t>superior</w:t>
      </w:r>
      <w:r>
        <w:rPr>
          <w:spacing w:val="-9"/>
          <w:sz w:val="20"/>
        </w:rPr>
        <w:t> </w:t>
      </w:r>
      <w:r>
        <w:rPr>
          <w:sz w:val="20"/>
        </w:rPr>
        <w:t>a 2,5% em cada, reduzir a exposição aos Fundos de Ações na proporção desse excesso.</w:t>
      </w:r>
    </w:p>
    <w:p>
      <w:pPr>
        <w:spacing w:after="0" w:line="259" w:lineRule="auto"/>
        <w:jc w:val="left"/>
        <w:rPr>
          <w:sz w:val="20"/>
        </w:rPr>
        <w:sectPr>
          <w:pgSz w:w="11920" w:h="16850"/>
          <w:pgMar w:top="1880" w:bottom="280" w:left="992" w:right="141"/>
        </w:sectPr>
      </w:pPr>
    </w:p>
    <w:p>
      <w:pPr>
        <w:pStyle w:val="BodyText"/>
        <w:spacing w:before="37"/>
        <w:ind w:right="418"/>
        <w:jc w:val="center"/>
      </w:pPr>
      <w:r>
        <w:rPr>
          <w:color w:val="0D0E0E"/>
        </w:rPr>
        <w:t>PRÓ</w:t>
      </w:r>
      <w:r>
        <w:rPr>
          <w:color w:val="0D0E0E"/>
          <w:spacing w:val="-8"/>
        </w:rPr>
        <w:t> </w:t>
      </w:r>
      <w:r>
        <w:rPr>
          <w:color w:val="0D0E0E"/>
        </w:rPr>
        <w:t>GESTÃO</w:t>
      </w:r>
      <w:r>
        <w:rPr>
          <w:color w:val="0D0E0E"/>
          <w:spacing w:val="-5"/>
        </w:rPr>
        <w:t> </w:t>
      </w:r>
      <w:r>
        <w:rPr>
          <w:color w:val="0D0E0E"/>
        </w:rPr>
        <w:t>NÍVEL</w:t>
      </w:r>
      <w:r>
        <w:rPr>
          <w:color w:val="0D0E0E"/>
          <w:spacing w:val="-6"/>
        </w:rPr>
        <w:t> </w:t>
      </w:r>
      <w:r>
        <w:rPr>
          <w:color w:val="0D0E0E"/>
          <w:spacing w:val="-10"/>
        </w:rPr>
        <w:t>3</w:t>
      </w:r>
    </w:p>
    <w:p>
      <w:pPr>
        <w:pStyle w:val="BodyText"/>
        <w:spacing w:before="181"/>
        <w:rPr>
          <w:sz w:val="20"/>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566"/>
        <w:gridCol w:w="1123"/>
      </w:tblGrid>
      <w:tr>
        <w:trPr>
          <w:trHeight w:val="436" w:hRule="atLeast"/>
        </w:trPr>
        <w:tc>
          <w:tcPr>
            <w:tcW w:w="8689" w:type="dxa"/>
            <w:gridSpan w:val="2"/>
          </w:tcPr>
          <w:p>
            <w:pPr>
              <w:pStyle w:val="TableParagraph"/>
              <w:spacing w:before="3"/>
              <w:ind w:left="450"/>
              <w:rPr>
                <w:sz w:val="21"/>
              </w:rPr>
            </w:pPr>
            <w:r>
              <w:rPr>
                <w:sz w:val="21"/>
              </w:rPr>
              <w:t>Estratégia</w:t>
            </w:r>
            <w:r>
              <w:rPr>
                <w:spacing w:val="-11"/>
                <w:sz w:val="21"/>
              </w:rPr>
              <w:t> </w:t>
            </w:r>
            <w:r>
              <w:rPr>
                <w:sz w:val="21"/>
              </w:rPr>
              <w:t>de</w:t>
            </w:r>
            <w:r>
              <w:rPr>
                <w:spacing w:val="-7"/>
                <w:sz w:val="21"/>
              </w:rPr>
              <w:t> </w:t>
            </w:r>
            <w:r>
              <w:rPr>
                <w:sz w:val="21"/>
              </w:rPr>
              <w:t>Alocação</w:t>
            </w:r>
            <w:r>
              <w:rPr>
                <w:spacing w:val="-4"/>
                <w:sz w:val="21"/>
              </w:rPr>
              <w:t> </w:t>
            </w:r>
            <w:r>
              <w:rPr>
                <w:sz w:val="21"/>
              </w:rPr>
              <w:t>dos</w:t>
            </w:r>
            <w:r>
              <w:rPr>
                <w:spacing w:val="-9"/>
                <w:sz w:val="21"/>
              </w:rPr>
              <w:t> </w:t>
            </w:r>
            <w:r>
              <w:rPr>
                <w:sz w:val="21"/>
              </w:rPr>
              <w:t>Recursos</w:t>
            </w:r>
            <w:r>
              <w:rPr>
                <w:spacing w:val="-9"/>
                <w:sz w:val="21"/>
              </w:rPr>
              <w:t> </w:t>
            </w:r>
            <w:r>
              <w:rPr>
                <w:sz w:val="21"/>
              </w:rPr>
              <w:t>no</w:t>
            </w:r>
            <w:r>
              <w:rPr>
                <w:spacing w:val="-5"/>
                <w:sz w:val="21"/>
              </w:rPr>
              <w:t> </w:t>
            </w:r>
            <w:r>
              <w:rPr>
                <w:sz w:val="21"/>
              </w:rPr>
              <w:t>Longo</w:t>
            </w:r>
            <w:r>
              <w:rPr>
                <w:spacing w:val="-8"/>
                <w:sz w:val="21"/>
              </w:rPr>
              <w:t> </w:t>
            </w:r>
            <w:r>
              <w:rPr>
                <w:sz w:val="21"/>
              </w:rPr>
              <w:t>Prazo</w:t>
            </w:r>
            <w:r>
              <w:rPr>
                <w:spacing w:val="-2"/>
                <w:sz w:val="21"/>
              </w:rPr>
              <w:t> </w:t>
            </w:r>
            <w:r>
              <w:rPr>
                <w:sz w:val="21"/>
              </w:rPr>
              <w:t>–</w:t>
            </w:r>
            <w:r>
              <w:rPr>
                <w:spacing w:val="-7"/>
                <w:sz w:val="21"/>
              </w:rPr>
              <w:t> </w:t>
            </w:r>
            <w:r>
              <w:rPr>
                <w:sz w:val="21"/>
              </w:rPr>
              <w:t>Renda</w:t>
            </w:r>
            <w:r>
              <w:rPr>
                <w:spacing w:val="-7"/>
                <w:sz w:val="21"/>
              </w:rPr>
              <w:t> </w:t>
            </w:r>
            <w:r>
              <w:rPr>
                <w:sz w:val="21"/>
              </w:rPr>
              <w:t>Fixa</w:t>
            </w:r>
            <w:r>
              <w:rPr>
                <w:spacing w:val="-6"/>
                <w:sz w:val="21"/>
              </w:rPr>
              <w:t> </w:t>
            </w:r>
            <w:r>
              <w:rPr>
                <w:sz w:val="21"/>
              </w:rPr>
              <w:t>e</w:t>
            </w:r>
            <w:r>
              <w:rPr>
                <w:spacing w:val="-7"/>
                <w:sz w:val="21"/>
              </w:rPr>
              <w:t> </w:t>
            </w:r>
            <w:r>
              <w:rPr>
                <w:spacing w:val="-2"/>
                <w:sz w:val="21"/>
              </w:rPr>
              <w:t>Variável</w:t>
            </w:r>
          </w:p>
        </w:tc>
      </w:tr>
      <w:tr>
        <w:trPr>
          <w:trHeight w:val="383" w:hRule="atLeast"/>
        </w:trPr>
        <w:tc>
          <w:tcPr>
            <w:tcW w:w="7566" w:type="dxa"/>
            <w:tcBorders>
              <w:bottom w:val="nil"/>
            </w:tcBorders>
          </w:tcPr>
          <w:p>
            <w:pPr>
              <w:pStyle w:val="TableParagraph"/>
              <w:spacing w:before="6"/>
              <w:ind w:left="114"/>
              <w:rPr>
                <w:b/>
                <w:sz w:val="21"/>
              </w:rPr>
            </w:pPr>
            <w:r>
              <w:rPr>
                <w:b/>
                <w:sz w:val="21"/>
                <w:u w:val="single"/>
              </w:rPr>
              <w:t>Renda</w:t>
            </w:r>
            <w:r>
              <w:rPr>
                <w:b/>
                <w:spacing w:val="-6"/>
                <w:sz w:val="21"/>
                <w:u w:val="single"/>
              </w:rPr>
              <w:t> </w:t>
            </w:r>
            <w:r>
              <w:rPr>
                <w:b/>
                <w:spacing w:val="-4"/>
                <w:sz w:val="21"/>
                <w:u w:val="single"/>
              </w:rPr>
              <w:t>Fixa</w:t>
            </w:r>
          </w:p>
        </w:tc>
        <w:tc>
          <w:tcPr>
            <w:tcW w:w="1123" w:type="dxa"/>
            <w:tcBorders>
              <w:bottom w:val="nil"/>
            </w:tcBorders>
          </w:tcPr>
          <w:p>
            <w:pPr>
              <w:pStyle w:val="TableParagraph"/>
              <w:spacing w:before="6"/>
              <w:rPr>
                <w:b/>
                <w:sz w:val="21"/>
              </w:rPr>
            </w:pPr>
            <w:r>
              <w:rPr>
                <w:b/>
                <w:spacing w:val="-5"/>
                <w:sz w:val="21"/>
              </w:rPr>
              <w:t>40%</w:t>
            </w:r>
          </w:p>
        </w:tc>
      </w:tr>
      <w:tr>
        <w:trPr>
          <w:trHeight w:val="450" w:hRule="atLeast"/>
        </w:trPr>
        <w:tc>
          <w:tcPr>
            <w:tcW w:w="7566" w:type="dxa"/>
            <w:tcBorders>
              <w:top w:val="nil"/>
              <w:bottom w:val="nil"/>
            </w:tcBorders>
          </w:tcPr>
          <w:p>
            <w:pPr>
              <w:pStyle w:val="TableParagraph"/>
              <w:spacing w:before="83"/>
              <w:ind w:left="114"/>
              <w:rPr>
                <w:sz w:val="21"/>
              </w:rPr>
            </w:pPr>
            <w:r>
              <w:rPr>
                <w:sz w:val="21"/>
              </w:rPr>
              <w:t>Longuíssimo</w:t>
            </w:r>
            <w:r>
              <w:rPr>
                <w:spacing w:val="-8"/>
                <w:sz w:val="21"/>
              </w:rPr>
              <w:t> </w:t>
            </w:r>
            <w:r>
              <w:rPr>
                <w:sz w:val="21"/>
              </w:rPr>
              <w:t>Prazo</w:t>
            </w:r>
            <w:r>
              <w:rPr>
                <w:spacing w:val="-7"/>
                <w:sz w:val="21"/>
              </w:rPr>
              <w:t> </w:t>
            </w:r>
            <w:r>
              <w:rPr>
                <w:sz w:val="21"/>
              </w:rPr>
              <w:t>(IMA-B</w:t>
            </w:r>
            <w:r>
              <w:rPr>
                <w:spacing w:val="-6"/>
                <w:sz w:val="21"/>
              </w:rPr>
              <w:t> </w:t>
            </w:r>
            <w:r>
              <w:rPr>
                <w:sz w:val="21"/>
              </w:rPr>
              <w:t>5+</w:t>
            </w:r>
            <w:r>
              <w:rPr>
                <w:spacing w:val="-6"/>
                <w:sz w:val="21"/>
              </w:rPr>
              <w:t> </w:t>
            </w:r>
            <w:r>
              <w:rPr>
                <w:sz w:val="21"/>
              </w:rPr>
              <w:t>e</w:t>
            </w:r>
            <w:r>
              <w:rPr>
                <w:spacing w:val="-6"/>
                <w:sz w:val="21"/>
              </w:rPr>
              <w:t> </w:t>
            </w:r>
            <w:r>
              <w:rPr>
                <w:sz w:val="21"/>
              </w:rPr>
              <w:t>IDKA</w:t>
            </w:r>
            <w:r>
              <w:rPr>
                <w:spacing w:val="-9"/>
                <w:sz w:val="21"/>
              </w:rPr>
              <w:t> </w:t>
            </w:r>
            <w:r>
              <w:rPr>
                <w:spacing w:val="-4"/>
                <w:sz w:val="21"/>
              </w:rPr>
              <w:t>20A)</w:t>
            </w:r>
          </w:p>
        </w:tc>
        <w:tc>
          <w:tcPr>
            <w:tcW w:w="1123" w:type="dxa"/>
            <w:tcBorders>
              <w:top w:val="nil"/>
              <w:bottom w:val="nil"/>
            </w:tcBorders>
          </w:tcPr>
          <w:p>
            <w:pPr>
              <w:pStyle w:val="TableParagraph"/>
              <w:spacing w:before="83"/>
              <w:rPr>
                <w:sz w:val="21"/>
              </w:rPr>
            </w:pPr>
            <w:r>
              <w:rPr>
                <w:spacing w:val="-5"/>
                <w:sz w:val="21"/>
              </w:rPr>
              <w:t>0%</w:t>
            </w:r>
          </w:p>
        </w:tc>
      </w:tr>
      <w:tr>
        <w:trPr>
          <w:trHeight w:val="442" w:hRule="atLeast"/>
        </w:trPr>
        <w:tc>
          <w:tcPr>
            <w:tcW w:w="7566" w:type="dxa"/>
            <w:tcBorders>
              <w:top w:val="nil"/>
              <w:bottom w:val="nil"/>
            </w:tcBorders>
          </w:tcPr>
          <w:p>
            <w:pPr>
              <w:pStyle w:val="TableParagraph"/>
              <w:spacing w:before="72"/>
              <w:ind w:left="114"/>
              <w:rPr>
                <w:sz w:val="21"/>
              </w:rPr>
            </w:pPr>
            <w:r>
              <w:rPr>
                <w:sz w:val="21"/>
              </w:rPr>
              <w:t>Longo</w:t>
            </w:r>
            <w:r>
              <w:rPr>
                <w:spacing w:val="-11"/>
                <w:sz w:val="21"/>
              </w:rPr>
              <w:t> </w:t>
            </w:r>
            <w:r>
              <w:rPr>
                <w:sz w:val="21"/>
              </w:rPr>
              <w:t>Prazo</w:t>
            </w:r>
            <w:r>
              <w:rPr>
                <w:spacing w:val="-9"/>
                <w:sz w:val="21"/>
              </w:rPr>
              <w:t> </w:t>
            </w:r>
            <w:r>
              <w:rPr>
                <w:sz w:val="21"/>
              </w:rPr>
              <w:t>(IMA-Geral/</w:t>
            </w:r>
            <w:r>
              <w:rPr>
                <w:spacing w:val="-7"/>
                <w:sz w:val="21"/>
              </w:rPr>
              <w:t> </w:t>
            </w:r>
            <w:r>
              <w:rPr>
                <w:sz w:val="21"/>
              </w:rPr>
              <w:t>IMA-B</w:t>
            </w:r>
            <w:r>
              <w:rPr>
                <w:spacing w:val="-9"/>
                <w:sz w:val="21"/>
              </w:rPr>
              <w:t> </w:t>
            </w:r>
            <w:r>
              <w:rPr>
                <w:sz w:val="21"/>
              </w:rPr>
              <w:t>Total</w:t>
            </w:r>
            <w:r>
              <w:rPr>
                <w:spacing w:val="-10"/>
                <w:sz w:val="21"/>
              </w:rPr>
              <w:t> </w:t>
            </w:r>
            <w:r>
              <w:rPr>
                <w:sz w:val="21"/>
              </w:rPr>
              <w:t>e</w:t>
            </w:r>
            <w:r>
              <w:rPr>
                <w:spacing w:val="-6"/>
                <w:sz w:val="21"/>
              </w:rPr>
              <w:t> </w:t>
            </w:r>
            <w:r>
              <w:rPr>
                <w:sz w:val="21"/>
              </w:rPr>
              <w:t>FIDC/</w:t>
            </w:r>
            <w:r>
              <w:rPr>
                <w:spacing w:val="-5"/>
                <w:sz w:val="21"/>
              </w:rPr>
              <w:t> </w:t>
            </w:r>
            <w:r>
              <w:rPr>
                <w:sz w:val="21"/>
              </w:rPr>
              <w:t>Crédito</w:t>
            </w:r>
            <w:r>
              <w:rPr>
                <w:spacing w:val="-9"/>
                <w:sz w:val="21"/>
              </w:rPr>
              <w:t> </w:t>
            </w:r>
            <w:r>
              <w:rPr>
                <w:sz w:val="21"/>
              </w:rPr>
              <w:t>Privado/</w:t>
            </w:r>
            <w:r>
              <w:rPr>
                <w:spacing w:val="-6"/>
                <w:sz w:val="21"/>
              </w:rPr>
              <w:t> </w:t>
            </w:r>
            <w:r>
              <w:rPr>
                <w:sz w:val="21"/>
              </w:rPr>
              <w:t>Fundo</w:t>
            </w:r>
            <w:r>
              <w:rPr>
                <w:spacing w:val="-10"/>
                <w:sz w:val="21"/>
              </w:rPr>
              <w:t> </w:t>
            </w:r>
            <w:r>
              <w:rPr>
                <w:spacing w:val="-2"/>
                <w:sz w:val="21"/>
              </w:rPr>
              <w:t>Debênture)</w:t>
            </w:r>
          </w:p>
        </w:tc>
        <w:tc>
          <w:tcPr>
            <w:tcW w:w="1123" w:type="dxa"/>
            <w:tcBorders>
              <w:top w:val="nil"/>
              <w:bottom w:val="nil"/>
            </w:tcBorders>
          </w:tcPr>
          <w:p>
            <w:pPr>
              <w:pStyle w:val="TableParagraph"/>
              <w:spacing w:before="72"/>
              <w:rPr>
                <w:sz w:val="21"/>
              </w:rPr>
            </w:pPr>
            <w:r>
              <w:rPr>
                <w:spacing w:val="-5"/>
                <w:sz w:val="21"/>
              </w:rPr>
              <w:t>5%</w:t>
            </w:r>
          </w:p>
        </w:tc>
      </w:tr>
      <w:tr>
        <w:trPr>
          <w:trHeight w:val="441" w:hRule="atLeast"/>
        </w:trPr>
        <w:tc>
          <w:tcPr>
            <w:tcW w:w="7566" w:type="dxa"/>
            <w:tcBorders>
              <w:top w:val="nil"/>
              <w:bottom w:val="nil"/>
            </w:tcBorders>
          </w:tcPr>
          <w:p>
            <w:pPr>
              <w:pStyle w:val="TableParagraph"/>
              <w:spacing w:before="76"/>
              <w:ind w:left="114"/>
              <w:rPr>
                <w:sz w:val="21"/>
              </w:rPr>
            </w:pPr>
            <w:r>
              <w:rPr>
                <w:sz w:val="21"/>
              </w:rPr>
              <w:t>Gestão</w:t>
            </w:r>
            <w:r>
              <w:rPr>
                <w:spacing w:val="-6"/>
                <w:sz w:val="21"/>
              </w:rPr>
              <w:t> </w:t>
            </w:r>
            <w:r>
              <w:rPr>
                <w:sz w:val="21"/>
              </w:rPr>
              <w:t>do</w:t>
            </w:r>
            <w:r>
              <w:rPr>
                <w:spacing w:val="-5"/>
                <w:sz w:val="21"/>
              </w:rPr>
              <w:t> </w:t>
            </w:r>
            <w:r>
              <w:rPr>
                <w:spacing w:val="-2"/>
                <w:sz w:val="21"/>
              </w:rPr>
              <w:t>Duration</w:t>
            </w:r>
          </w:p>
        </w:tc>
        <w:tc>
          <w:tcPr>
            <w:tcW w:w="1123" w:type="dxa"/>
            <w:tcBorders>
              <w:top w:val="nil"/>
              <w:bottom w:val="nil"/>
            </w:tcBorders>
          </w:tcPr>
          <w:p>
            <w:pPr>
              <w:pStyle w:val="TableParagraph"/>
              <w:spacing w:before="76"/>
              <w:rPr>
                <w:sz w:val="21"/>
              </w:rPr>
            </w:pPr>
            <w:r>
              <w:rPr>
                <w:spacing w:val="-5"/>
                <w:sz w:val="21"/>
              </w:rPr>
              <w:t>5%</w:t>
            </w:r>
          </w:p>
        </w:tc>
      </w:tr>
      <w:tr>
        <w:trPr>
          <w:trHeight w:val="435" w:hRule="atLeast"/>
        </w:trPr>
        <w:tc>
          <w:tcPr>
            <w:tcW w:w="7566" w:type="dxa"/>
            <w:tcBorders>
              <w:top w:val="nil"/>
              <w:bottom w:val="nil"/>
            </w:tcBorders>
          </w:tcPr>
          <w:p>
            <w:pPr>
              <w:pStyle w:val="TableParagraph"/>
              <w:ind w:left="114"/>
              <w:rPr>
                <w:sz w:val="21"/>
              </w:rPr>
            </w:pPr>
            <w:r>
              <w:rPr>
                <w:sz w:val="21"/>
              </w:rPr>
              <w:t>Médio</w:t>
            </w:r>
            <w:r>
              <w:rPr>
                <w:spacing w:val="-8"/>
                <w:sz w:val="21"/>
              </w:rPr>
              <w:t> </w:t>
            </w:r>
            <w:r>
              <w:rPr>
                <w:sz w:val="21"/>
              </w:rPr>
              <w:t>Prazo</w:t>
            </w:r>
            <w:r>
              <w:rPr>
                <w:spacing w:val="-3"/>
                <w:sz w:val="21"/>
              </w:rPr>
              <w:t> </w:t>
            </w:r>
            <w:r>
              <w:rPr>
                <w:sz w:val="21"/>
              </w:rPr>
              <w:t>(IMA-B</w:t>
            </w:r>
            <w:r>
              <w:rPr>
                <w:spacing w:val="-4"/>
                <w:sz w:val="21"/>
              </w:rPr>
              <w:t> </w:t>
            </w:r>
            <w:r>
              <w:rPr>
                <w:sz w:val="21"/>
              </w:rPr>
              <w:t>5</w:t>
            </w:r>
            <w:r>
              <w:rPr>
                <w:spacing w:val="-6"/>
                <w:sz w:val="21"/>
              </w:rPr>
              <w:t> </w:t>
            </w:r>
            <w:r>
              <w:rPr>
                <w:sz w:val="21"/>
              </w:rPr>
              <w:t>e</w:t>
            </w:r>
            <w:r>
              <w:rPr>
                <w:spacing w:val="-5"/>
                <w:sz w:val="21"/>
              </w:rPr>
              <w:t> </w:t>
            </w:r>
            <w:r>
              <w:rPr>
                <w:sz w:val="21"/>
              </w:rPr>
              <w:t>IDKA</w:t>
            </w:r>
            <w:r>
              <w:rPr>
                <w:spacing w:val="-5"/>
                <w:sz w:val="21"/>
              </w:rPr>
              <w:t> 2)</w:t>
            </w:r>
          </w:p>
        </w:tc>
        <w:tc>
          <w:tcPr>
            <w:tcW w:w="1123" w:type="dxa"/>
            <w:tcBorders>
              <w:top w:val="nil"/>
              <w:bottom w:val="nil"/>
            </w:tcBorders>
          </w:tcPr>
          <w:p>
            <w:pPr>
              <w:pStyle w:val="TableParagraph"/>
              <w:rPr>
                <w:sz w:val="21"/>
              </w:rPr>
            </w:pPr>
            <w:r>
              <w:rPr>
                <w:spacing w:val="-5"/>
                <w:sz w:val="21"/>
              </w:rPr>
              <w:t>10%</w:t>
            </w:r>
          </w:p>
        </w:tc>
      </w:tr>
      <w:tr>
        <w:trPr>
          <w:trHeight w:val="435" w:hRule="atLeast"/>
        </w:trPr>
        <w:tc>
          <w:tcPr>
            <w:tcW w:w="7566" w:type="dxa"/>
            <w:tcBorders>
              <w:top w:val="nil"/>
              <w:bottom w:val="nil"/>
            </w:tcBorders>
          </w:tcPr>
          <w:p>
            <w:pPr>
              <w:pStyle w:val="TableParagraph"/>
              <w:spacing w:before="70"/>
              <w:ind w:left="114"/>
              <w:rPr>
                <w:sz w:val="21"/>
              </w:rPr>
            </w:pPr>
            <w:r>
              <w:rPr>
                <w:sz w:val="21"/>
              </w:rPr>
              <w:t>Curto</w:t>
            </w:r>
            <w:r>
              <w:rPr>
                <w:spacing w:val="-8"/>
                <w:sz w:val="21"/>
              </w:rPr>
              <w:t> </w:t>
            </w:r>
            <w:r>
              <w:rPr>
                <w:sz w:val="21"/>
              </w:rPr>
              <w:t>Prazo</w:t>
            </w:r>
            <w:r>
              <w:rPr>
                <w:spacing w:val="-2"/>
                <w:sz w:val="21"/>
              </w:rPr>
              <w:t> </w:t>
            </w:r>
            <w:r>
              <w:rPr>
                <w:sz w:val="21"/>
              </w:rPr>
              <w:t>(CDI</w:t>
            </w:r>
            <w:r>
              <w:rPr>
                <w:spacing w:val="-5"/>
                <w:sz w:val="21"/>
              </w:rPr>
              <w:t> </w:t>
            </w:r>
            <w:r>
              <w:rPr>
                <w:sz w:val="21"/>
              </w:rPr>
              <w:t>e</w:t>
            </w:r>
            <w:r>
              <w:rPr>
                <w:spacing w:val="-2"/>
                <w:sz w:val="21"/>
              </w:rPr>
              <w:t> </w:t>
            </w:r>
            <w:r>
              <w:rPr>
                <w:sz w:val="21"/>
              </w:rPr>
              <w:t>IRF-M</w:t>
            </w:r>
            <w:r>
              <w:rPr>
                <w:spacing w:val="-4"/>
                <w:sz w:val="21"/>
              </w:rPr>
              <w:t> </w:t>
            </w:r>
            <w:r>
              <w:rPr>
                <w:spacing w:val="-5"/>
                <w:sz w:val="21"/>
              </w:rPr>
              <w:t>1)</w:t>
            </w:r>
          </w:p>
        </w:tc>
        <w:tc>
          <w:tcPr>
            <w:tcW w:w="1123" w:type="dxa"/>
            <w:tcBorders>
              <w:top w:val="nil"/>
              <w:bottom w:val="nil"/>
            </w:tcBorders>
          </w:tcPr>
          <w:p>
            <w:pPr>
              <w:pStyle w:val="TableParagraph"/>
              <w:spacing w:before="70"/>
              <w:rPr>
                <w:sz w:val="21"/>
              </w:rPr>
            </w:pPr>
            <w:r>
              <w:rPr>
                <w:spacing w:val="-5"/>
                <w:sz w:val="21"/>
              </w:rPr>
              <w:t>10%</w:t>
            </w:r>
          </w:p>
        </w:tc>
      </w:tr>
      <w:tr>
        <w:trPr>
          <w:trHeight w:val="440" w:hRule="atLeast"/>
        </w:trPr>
        <w:tc>
          <w:tcPr>
            <w:tcW w:w="7566" w:type="dxa"/>
            <w:tcBorders>
              <w:top w:val="nil"/>
              <w:bottom w:val="nil"/>
            </w:tcBorders>
          </w:tcPr>
          <w:p>
            <w:pPr>
              <w:pStyle w:val="TableParagraph"/>
              <w:ind w:left="114"/>
              <w:rPr>
                <w:sz w:val="21"/>
              </w:rPr>
            </w:pPr>
            <w:r>
              <w:rPr>
                <w:sz w:val="21"/>
              </w:rPr>
              <w:t>Títulos</w:t>
            </w:r>
            <w:r>
              <w:rPr>
                <w:spacing w:val="-13"/>
                <w:sz w:val="21"/>
              </w:rPr>
              <w:t> </w:t>
            </w:r>
            <w:r>
              <w:rPr>
                <w:sz w:val="21"/>
              </w:rPr>
              <w:t>Privados</w:t>
            </w:r>
            <w:r>
              <w:rPr>
                <w:spacing w:val="-7"/>
                <w:sz w:val="21"/>
              </w:rPr>
              <w:t> </w:t>
            </w:r>
            <w:r>
              <w:rPr>
                <w:sz w:val="21"/>
              </w:rPr>
              <w:t>(Letra</w:t>
            </w:r>
            <w:r>
              <w:rPr>
                <w:spacing w:val="-9"/>
                <w:sz w:val="21"/>
              </w:rPr>
              <w:t> </w:t>
            </w:r>
            <w:r>
              <w:rPr>
                <w:sz w:val="21"/>
              </w:rPr>
              <w:t>financeira</w:t>
            </w:r>
            <w:r>
              <w:rPr>
                <w:spacing w:val="-7"/>
                <w:sz w:val="21"/>
              </w:rPr>
              <w:t> </w:t>
            </w:r>
            <w:r>
              <w:rPr>
                <w:sz w:val="21"/>
              </w:rPr>
              <w:t>e</w:t>
            </w:r>
            <w:r>
              <w:rPr>
                <w:spacing w:val="-4"/>
                <w:sz w:val="21"/>
              </w:rPr>
              <w:t> </w:t>
            </w:r>
            <w:r>
              <w:rPr>
                <w:spacing w:val="-5"/>
                <w:sz w:val="21"/>
              </w:rPr>
              <w:t>CD)</w:t>
            </w:r>
          </w:p>
        </w:tc>
        <w:tc>
          <w:tcPr>
            <w:tcW w:w="1123" w:type="dxa"/>
            <w:tcBorders>
              <w:top w:val="nil"/>
              <w:bottom w:val="nil"/>
            </w:tcBorders>
          </w:tcPr>
          <w:p>
            <w:pPr>
              <w:pStyle w:val="TableParagraph"/>
              <w:rPr>
                <w:sz w:val="21"/>
              </w:rPr>
            </w:pPr>
            <w:r>
              <w:rPr>
                <w:spacing w:val="-5"/>
                <w:sz w:val="21"/>
              </w:rPr>
              <w:t>10%</w:t>
            </w:r>
          </w:p>
        </w:tc>
      </w:tr>
      <w:tr>
        <w:trPr>
          <w:trHeight w:val="446" w:hRule="atLeast"/>
        </w:trPr>
        <w:tc>
          <w:tcPr>
            <w:tcW w:w="7566" w:type="dxa"/>
            <w:tcBorders>
              <w:top w:val="nil"/>
              <w:bottom w:val="nil"/>
            </w:tcBorders>
          </w:tcPr>
          <w:p>
            <w:pPr>
              <w:pStyle w:val="TableParagraph"/>
              <w:spacing w:before="75"/>
              <w:ind w:left="114"/>
              <w:rPr>
                <w:b/>
                <w:sz w:val="21"/>
              </w:rPr>
            </w:pPr>
            <w:r>
              <w:rPr>
                <w:b/>
                <w:sz w:val="21"/>
                <w:u w:val="single"/>
              </w:rPr>
              <w:t>Renda</w:t>
            </w:r>
            <w:r>
              <w:rPr>
                <w:b/>
                <w:spacing w:val="-6"/>
                <w:sz w:val="21"/>
                <w:u w:val="single"/>
              </w:rPr>
              <w:t> </w:t>
            </w:r>
            <w:r>
              <w:rPr>
                <w:b/>
                <w:spacing w:val="-2"/>
                <w:sz w:val="21"/>
                <w:u w:val="single"/>
              </w:rPr>
              <w:t>Variáve</w:t>
            </w:r>
            <w:r>
              <w:rPr>
                <w:b/>
                <w:spacing w:val="-2"/>
                <w:sz w:val="21"/>
              </w:rPr>
              <w:t>l</w:t>
            </w:r>
          </w:p>
        </w:tc>
        <w:tc>
          <w:tcPr>
            <w:tcW w:w="1123" w:type="dxa"/>
            <w:tcBorders>
              <w:top w:val="nil"/>
              <w:bottom w:val="nil"/>
            </w:tcBorders>
          </w:tcPr>
          <w:p>
            <w:pPr>
              <w:pStyle w:val="TableParagraph"/>
              <w:spacing w:before="75"/>
              <w:rPr>
                <w:b/>
                <w:sz w:val="21"/>
              </w:rPr>
            </w:pPr>
            <w:r>
              <w:rPr>
                <w:b/>
                <w:spacing w:val="-5"/>
                <w:sz w:val="21"/>
              </w:rPr>
              <w:t>50%</w:t>
            </w:r>
          </w:p>
        </w:tc>
      </w:tr>
      <w:tr>
        <w:trPr>
          <w:trHeight w:val="449" w:hRule="atLeast"/>
        </w:trPr>
        <w:tc>
          <w:tcPr>
            <w:tcW w:w="7566" w:type="dxa"/>
            <w:tcBorders>
              <w:top w:val="nil"/>
              <w:bottom w:val="nil"/>
            </w:tcBorders>
          </w:tcPr>
          <w:p>
            <w:pPr>
              <w:pStyle w:val="TableParagraph"/>
              <w:spacing w:before="77"/>
              <w:ind w:left="114"/>
              <w:rPr>
                <w:sz w:val="21"/>
              </w:rPr>
            </w:pPr>
            <w:r>
              <w:rPr>
                <w:sz w:val="21"/>
              </w:rPr>
              <w:t>Fundos</w:t>
            </w:r>
            <w:r>
              <w:rPr>
                <w:spacing w:val="-5"/>
                <w:sz w:val="21"/>
              </w:rPr>
              <w:t> </w:t>
            </w:r>
            <w:r>
              <w:rPr>
                <w:sz w:val="21"/>
              </w:rPr>
              <w:t>de</w:t>
            </w:r>
            <w:r>
              <w:rPr>
                <w:spacing w:val="-8"/>
                <w:sz w:val="21"/>
              </w:rPr>
              <w:t> </w:t>
            </w:r>
            <w:r>
              <w:rPr>
                <w:spacing w:val="-2"/>
                <w:sz w:val="21"/>
              </w:rPr>
              <w:t>Ações</w:t>
            </w:r>
          </w:p>
        </w:tc>
        <w:tc>
          <w:tcPr>
            <w:tcW w:w="1123" w:type="dxa"/>
            <w:tcBorders>
              <w:top w:val="nil"/>
              <w:bottom w:val="nil"/>
            </w:tcBorders>
          </w:tcPr>
          <w:p>
            <w:pPr>
              <w:pStyle w:val="TableParagraph"/>
              <w:spacing w:before="77"/>
              <w:rPr>
                <w:sz w:val="21"/>
              </w:rPr>
            </w:pPr>
            <w:r>
              <w:rPr>
                <w:spacing w:val="-5"/>
                <w:sz w:val="21"/>
              </w:rPr>
              <w:t>40%</w:t>
            </w:r>
          </w:p>
        </w:tc>
      </w:tr>
      <w:tr>
        <w:trPr>
          <w:trHeight w:val="450" w:hRule="atLeast"/>
        </w:trPr>
        <w:tc>
          <w:tcPr>
            <w:tcW w:w="7566" w:type="dxa"/>
            <w:tcBorders>
              <w:top w:val="nil"/>
              <w:bottom w:val="nil"/>
            </w:tcBorders>
          </w:tcPr>
          <w:p>
            <w:pPr>
              <w:pStyle w:val="TableParagraph"/>
              <w:spacing w:before="78"/>
              <w:ind w:left="114"/>
              <w:rPr>
                <w:sz w:val="21"/>
              </w:rPr>
            </w:pPr>
            <w:r>
              <w:rPr>
                <w:spacing w:val="-2"/>
                <w:sz w:val="21"/>
              </w:rPr>
              <w:t>Multimercados</w:t>
            </w:r>
          </w:p>
        </w:tc>
        <w:tc>
          <w:tcPr>
            <w:tcW w:w="1123" w:type="dxa"/>
            <w:tcBorders>
              <w:top w:val="nil"/>
              <w:bottom w:val="nil"/>
            </w:tcBorders>
          </w:tcPr>
          <w:p>
            <w:pPr>
              <w:pStyle w:val="TableParagraph"/>
              <w:spacing w:before="78"/>
              <w:rPr>
                <w:sz w:val="21"/>
              </w:rPr>
            </w:pPr>
            <w:r>
              <w:rPr>
                <w:spacing w:val="-4"/>
                <w:sz w:val="21"/>
              </w:rPr>
              <w:t>2,5%</w:t>
            </w:r>
          </w:p>
        </w:tc>
      </w:tr>
      <w:tr>
        <w:trPr>
          <w:trHeight w:val="447" w:hRule="atLeast"/>
        </w:trPr>
        <w:tc>
          <w:tcPr>
            <w:tcW w:w="7566" w:type="dxa"/>
            <w:tcBorders>
              <w:top w:val="nil"/>
              <w:bottom w:val="nil"/>
            </w:tcBorders>
          </w:tcPr>
          <w:p>
            <w:pPr>
              <w:pStyle w:val="TableParagraph"/>
              <w:spacing w:before="77"/>
              <w:ind w:left="114"/>
              <w:rPr>
                <w:sz w:val="21"/>
              </w:rPr>
            </w:pPr>
            <w:r>
              <w:rPr>
                <w:sz w:val="21"/>
              </w:rPr>
              <w:t>Fundos</w:t>
            </w:r>
            <w:r>
              <w:rPr>
                <w:spacing w:val="-7"/>
                <w:sz w:val="21"/>
              </w:rPr>
              <w:t> </w:t>
            </w:r>
            <w:r>
              <w:rPr>
                <w:sz w:val="21"/>
              </w:rPr>
              <w:t>de</w:t>
            </w:r>
            <w:r>
              <w:rPr>
                <w:spacing w:val="-10"/>
                <w:sz w:val="21"/>
              </w:rPr>
              <w:t> </w:t>
            </w:r>
            <w:r>
              <w:rPr>
                <w:sz w:val="21"/>
              </w:rPr>
              <w:t>Participações</w:t>
            </w:r>
            <w:r>
              <w:rPr>
                <w:spacing w:val="-7"/>
                <w:sz w:val="21"/>
              </w:rPr>
              <w:t> </w:t>
            </w:r>
            <w:r>
              <w:rPr>
                <w:spacing w:val="-10"/>
                <w:sz w:val="21"/>
              </w:rPr>
              <w:t>*</w:t>
            </w:r>
          </w:p>
        </w:tc>
        <w:tc>
          <w:tcPr>
            <w:tcW w:w="1123" w:type="dxa"/>
            <w:tcBorders>
              <w:top w:val="nil"/>
              <w:bottom w:val="nil"/>
            </w:tcBorders>
          </w:tcPr>
          <w:p>
            <w:pPr>
              <w:pStyle w:val="TableParagraph"/>
              <w:spacing w:before="77"/>
              <w:rPr>
                <w:sz w:val="21"/>
              </w:rPr>
            </w:pPr>
            <w:r>
              <w:rPr>
                <w:spacing w:val="-4"/>
                <w:sz w:val="21"/>
              </w:rPr>
              <w:t>2,5%</w:t>
            </w:r>
          </w:p>
        </w:tc>
      </w:tr>
      <w:tr>
        <w:trPr>
          <w:trHeight w:val="445" w:hRule="atLeast"/>
        </w:trPr>
        <w:tc>
          <w:tcPr>
            <w:tcW w:w="7566" w:type="dxa"/>
            <w:tcBorders>
              <w:top w:val="nil"/>
              <w:bottom w:val="nil"/>
            </w:tcBorders>
          </w:tcPr>
          <w:p>
            <w:pPr>
              <w:pStyle w:val="TableParagraph"/>
              <w:spacing w:before="76"/>
              <w:ind w:left="114"/>
              <w:rPr>
                <w:sz w:val="21"/>
              </w:rPr>
            </w:pPr>
            <w:r>
              <w:rPr>
                <w:sz w:val="21"/>
              </w:rPr>
              <w:t>Fundos</w:t>
            </w:r>
            <w:r>
              <w:rPr>
                <w:spacing w:val="-10"/>
                <w:sz w:val="21"/>
              </w:rPr>
              <w:t> </w:t>
            </w:r>
            <w:r>
              <w:rPr>
                <w:sz w:val="21"/>
              </w:rPr>
              <w:t>Imobiliários</w:t>
            </w:r>
            <w:r>
              <w:rPr>
                <w:spacing w:val="-9"/>
                <w:sz w:val="21"/>
              </w:rPr>
              <w:t> </w:t>
            </w:r>
            <w:r>
              <w:rPr>
                <w:spacing w:val="-10"/>
                <w:sz w:val="21"/>
              </w:rPr>
              <w:t>*</w:t>
            </w:r>
          </w:p>
        </w:tc>
        <w:tc>
          <w:tcPr>
            <w:tcW w:w="1123" w:type="dxa"/>
            <w:tcBorders>
              <w:top w:val="nil"/>
              <w:bottom w:val="nil"/>
            </w:tcBorders>
          </w:tcPr>
          <w:p>
            <w:pPr>
              <w:pStyle w:val="TableParagraph"/>
              <w:spacing w:before="76"/>
              <w:rPr>
                <w:sz w:val="21"/>
              </w:rPr>
            </w:pPr>
            <w:r>
              <w:rPr>
                <w:spacing w:val="-5"/>
                <w:sz w:val="21"/>
              </w:rPr>
              <w:t>5%</w:t>
            </w:r>
          </w:p>
        </w:tc>
      </w:tr>
      <w:tr>
        <w:trPr>
          <w:trHeight w:val="440" w:hRule="atLeast"/>
        </w:trPr>
        <w:tc>
          <w:tcPr>
            <w:tcW w:w="7566" w:type="dxa"/>
            <w:tcBorders>
              <w:top w:val="nil"/>
              <w:bottom w:val="nil"/>
            </w:tcBorders>
          </w:tcPr>
          <w:p>
            <w:pPr>
              <w:pStyle w:val="TableParagraph"/>
              <w:spacing w:before="75"/>
              <w:ind w:left="114"/>
              <w:rPr>
                <w:b/>
                <w:sz w:val="21"/>
              </w:rPr>
            </w:pPr>
            <w:r>
              <w:rPr>
                <w:b/>
                <w:sz w:val="21"/>
                <w:u w:val="single"/>
              </w:rPr>
              <w:t>Investimento</w:t>
            </w:r>
            <w:r>
              <w:rPr>
                <w:b/>
                <w:spacing w:val="-8"/>
                <w:sz w:val="21"/>
                <w:u w:val="single"/>
              </w:rPr>
              <w:t> </w:t>
            </w:r>
            <w:r>
              <w:rPr>
                <w:b/>
                <w:sz w:val="21"/>
                <w:u w:val="single"/>
              </w:rPr>
              <w:t>no</w:t>
            </w:r>
            <w:r>
              <w:rPr>
                <w:b/>
                <w:spacing w:val="-7"/>
                <w:sz w:val="21"/>
                <w:u w:val="single"/>
              </w:rPr>
              <w:t> </w:t>
            </w:r>
            <w:r>
              <w:rPr>
                <w:b/>
                <w:spacing w:val="-2"/>
                <w:sz w:val="21"/>
                <w:u w:val="single"/>
              </w:rPr>
              <w:t>Exterior</w:t>
            </w:r>
          </w:p>
        </w:tc>
        <w:tc>
          <w:tcPr>
            <w:tcW w:w="1123" w:type="dxa"/>
            <w:tcBorders>
              <w:top w:val="nil"/>
              <w:bottom w:val="nil"/>
            </w:tcBorders>
          </w:tcPr>
          <w:p>
            <w:pPr>
              <w:pStyle w:val="TableParagraph"/>
              <w:spacing w:before="75"/>
              <w:rPr>
                <w:b/>
                <w:sz w:val="21"/>
              </w:rPr>
            </w:pPr>
            <w:r>
              <w:rPr>
                <w:b/>
                <w:spacing w:val="-5"/>
                <w:sz w:val="21"/>
              </w:rPr>
              <w:t>10%</w:t>
            </w:r>
          </w:p>
        </w:tc>
      </w:tr>
      <w:tr>
        <w:trPr>
          <w:trHeight w:val="437" w:hRule="atLeast"/>
        </w:trPr>
        <w:tc>
          <w:tcPr>
            <w:tcW w:w="7566" w:type="dxa"/>
            <w:tcBorders>
              <w:top w:val="nil"/>
              <w:bottom w:val="nil"/>
            </w:tcBorders>
          </w:tcPr>
          <w:p>
            <w:pPr>
              <w:pStyle w:val="TableParagraph"/>
              <w:ind w:left="114"/>
              <w:rPr>
                <w:sz w:val="21"/>
              </w:rPr>
            </w:pPr>
            <w:r>
              <w:rPr>
                <w:sz w:val="21"/>
              </w:rPr>
              <w:t>Fundos</w:t>
            </w:r>
            <w:r>
              <w:rPr>
                <w:spacing w:val="-9"/>
                <w:sz w:val="21"/>
              </w:rPr>
              <w:t> </w:t>
            </w:r>
            <w:r>
              <w:rPr>
                <w:sz w:val="21"/>
              </w:rPr>
              <w:t>de</w:t>
            </w:r>
            <w:r>
              <w:rPr>
                <w:spacing w:val="-7"/>
                <w:sz w:val="21"/>
              </w:rPr>
              <w:t> </w:t>
            </w:r>
            <w:r>
              <w:rPr>
                <w:sz w:val="21"/>
              </w:rPr>
              <w:t>Investimentos</w:t>
            </w:r>
            <w:r>
              <w:rPr>
                <w:spacing w:val="-9"/>
                <w:sz w:val="21"/>
              </w:rPr>
              <w:t> </w:t>
            </w:r>
            <w:r>
              <w:rPr>
                <w:sz w:val="21"/>
              </w:rPr>
              <w:t>no</w:t>
            </w:r>
            <w:r>
              <w:rPr>
                <w:spacing w:val="-12"/>
                <w:sz w:val="21"/>
              </w:rPr>
              <w:t> </w:t>
            </w:r>
            <w:r>
              <w:rPr>
                <w:sz w:val="21"/>
              </w:rPr>
              <w:t>Exterior</w:t>
            </w:r>
            <w:r>
              <w:rPr>
                <w:spacing w:val="-7"/>
                <w:sz w:val="21"/>
              </w:rPr>
              <w:t> </w:t>
            </w:r>
            <w:r>
              <w:rPr>
                <w:spacing w:val="-2"/>
                <w:sz w:val="21"/>
              </w:rPr>
              <w:t>(Hedge)</w:t>
            </w:r>
          </w:p>
        </w:tc>
        <w:tc>
          <w:tcPr>
            <w:tcW w:w="1123" w:type="dxa"/>
            <w:tcBorders>
              <w:top w:val="nil"/>
              <w:bottom w:val="nil"/>
            </w:tcBorders>
          </w:tcPr>
          <w:p>
            <w:pPr>
              <w:pStyle w:val="TableParagraph"/>
              <w:rPr>
                <w:sz w:val="21"/>
              </w:rPr>
            </w:pPr>
            <w:r>
              <w:rPr>
                <w:spacing w:val="-5"/>
                <w:sz w:val="21"/>
              </w:rPr>
              <w:t>5%</w:t>
            </w:r>
          </w:p>
        </w:tc>
      </w:tr>
      <w:tr>
        <w:trPr>
          <w:trHeight w:val="509" w:hRule="atLeast"/>
        </w:trPr>
        <w:tc>
          <w:tcPr>
            <w:tcW w:w="7566" w:type="dxa"/>
            <w:tcBorders>
              <w:top w:val="nil"/>
            </w:tcBorders>
          </w:tcPr>
          <w:p>
            <w:pPr>
              <w:pStyle w:val="TableParagraph"/>
              <w:spacing w:before="72"/>
              <w:ind w:left="114"/>
              <w:rPr>
                <w:sz w:val="21"/>
              </w:rPr>
            </w:pPr>
            <w:r>
              <w:rPr>
                <w:sz w:val="21"/>
              </w:rPr>
              <w:t>Fundos</w:t>
            </w:r>
            <w:r>
              <w:rPr>
                <w:spacing w:val="-9"/>
                <w:sz w:val="21"/>
              </w:rPr>
              <w:t> </w:t>
            </w:r>
            <w:r>
              <w:rPr>
                <w:sz w:val="21"/>
              </w:rPr>
              <w:t>de</w:t>
            </w:r>
            <w:r>
              <w:rPr>
                <w:spacing w:val="-8"/>
                <w:sz w:val="21"/>
              </w:rPr>
              <w:t> </w:t>
            </w:r>
            <w:r>
              <w:rPr>
                <w:sz w:val="21"/>
              </w:rPr>
              <w:t>Investimentos</w:t>
            </w:r>
            <w:r>
              <w:rPr>
                <w:spacing w:val="-10"/>
                <w:sz w:val="21"/>
              </w:rPr>
              <w:t> </w:t>
            </w:r>
            <w:r>
              <w:rPr>
                <w:sz w:val="21"/>
              </w:rPr>
              <w:t>no</w:t>
            </w:r>
            <w:r>
              <w:rPr>
                <w:spacing w:val="-11"/>
                <w:sz w:val="21"/>
              </w:rPr>
              <w:t> </w:t>
            </w:r>
            <w:r>
              <w:rPr>
                <w:spacing w:val="-2"/>
                <w:sz w:val="21"/>
              </w:rPr>
              <w:t>Exterior</w:t>
            </w:r>
          </w:p>
        </w:tc>
        <w:tc>
          <w:tcPr>
            <w:tcW w:w="1123" w:type="dxa"/>
            <w:tcBorders>
              <w:top w:val="nil"/>
            </w:tcBorders>
          </w:tcPr>
          <w:p>
            <w:pPr>
              <w:pStyle w:val="TableParagraph"/>
              <w:spacing w:before="72"/>
              <w:rPr>
                <w:sz w:val="21"/>
              </w:rPr>
            </w:pPr>
            <w:r>
              <w:rPr>
                <w:spacing w:val="-5"/>
                <w:sz w:val="21"/>
              </w:rPr>
              <w:t>5%</w:t>
            </w:r>
          </w:p>
        </w:tc>
      </w:tr>
    </w:tbl>
    <w:p>
      <w:pPr>
        <w:spacing w:line="254" w:lineRule="auto" w:before="10"/>
        <w:ind w:left="102" w:right="590" w:firstLine="0"/>
        <w:jc w:val="left"/>
        <w:rPr>
          <w:sz w:val="20"/>
        </w:rPr>
      </w:pPr>
      <w:r>
        <w:rPr>
          <w:sz w:val="20"/>
        </w:rPr>
        <w:t>* Aos clientes que investem em Fundos de Participações e Fundos Imobiliários em percentual superior</w:t>
      </w:r>
      <w:r>
        <w:rPr>
          <w:spacing w:val="-9"/>
          <w:sz w:val="20"/>
        </w:rPr>
        <w:t> </w:t>
      </w:r>
      <w:r>
        <w:rPr>
          <w:sz w:val="20"/>
        </w:rPr>
        <w:t>a</w:t>
      </w:r>
      <w:r>
        <w:rPr>
          <w:spacing w:val="-3"/>
          <w:sz w:val="20"/>
        </w:rPr>
        <w:t> </w:t>
      </w:r>
      <w:r>
        <w:rPr>
          <w:sz w:val="20"/>
        </w:rPr>
        <w:t>2,5%</w:t>
      </w:r>
      <w:r>
        <w:rPr>
          <w:spacing w:val="-4"/>
          <w:sz w:val="20"/>
        </w:rPr>
        <w:t> </w:t>
      </w:r>
      <w:r>
        <w:rPr>
          <w:sz w:val="20"/>
        </w:rPr>
        <w:t>em</w:t>
      </w:r>
      <w:r>
        <w:rPr>
          <w:spacing w:val="-4"/>
          <w:sz w:val="20"/>
        </w:rPr>
        <w:t> </w:t>
      </w:r>
      <w:r>
        <w:rPr>
          <w:sz w:val="20"/>
        </w:rPr>
        <w:t>cada,</w:t>
      </w:r>
      <w:r>
        <w:rPr>
          <w:spacing w:val="-1"/>
          <w:sz w:val="20"/>
        </w:rPr>
        <w:t> </w:t>
      </w:r>
      <w:r>
        <w:rPr>
          <w:sz w:val="20"/>
        </w:rPr>
        <w:t>reduzir</w:t>
      </w:r>
      <w:r>
        <w:rPr>
          <w:spacing w:val="-5"/>
          <w:sz w:val="20"/>
        </w:rPr>
        <w:t> </w:t>
      </w:r>
      <w:r>
        <w:rPr>
          <w:sz w:val="20"/>
        </w:rPr>
        <w:t>a</w:t>
      </w:r>
      <w:r>
        <w:rPr>
          <w:spacing w:val="-3"/>
          <w:sz w:val="20"/>
        </w:rPr>
        <w:t> </w:t>
      </w:r>
      <w:r>
        <w:rPr>
          <w:sz w:val="20"/>
        </w:rPr>
        <w:t>exposição</w:t>
      </w:r>
      <w:r>
        <w:rPr>
          <w:spacing w:val="-6"/>
          <w:sz w:val="20"/>
        </w:rPr>
        <w:t> </w:t>
      </w:r>
      <w:r>
        <w:rPr>
          <w:sz w:val="20"/>
        </w:rPr>
        <w:t>aos</w:t>
      </w:r>
      <w:r>
        <w:rPr>
          <w:spacing w:val="-4"/>
          <w:sz w:val="20"/>
        </w:rPr>
        <w:t> </w:t>
      </w:r>
      <w:r>
        <w:rPr>
          <w:sz w:val="20"/>
        </w:rPr>
        <w:t>Fundos</w:t>
      </w:r>
      <w:r>
        <w:rPr>
          <w:spacing w:val="-5"/>
          <w:sz w:val="20"/>
        </w:rPr>
        <w:t> </w:t>
      </w:r>
      <w:r>
        <w:rPr>
          <w:sz w:val="20"/>
        </w:rPr>
        <w:t>de Ações</w:t>
      </w:r>
      <w:r>
        <w:rPr>
          <w:spacing w:val="-3"/>
          <w:sz w:val="20"/>
        </w:rPr>
        <w:t> </w:t>
      </w:r>
      <w:r>
        <w:rPr>
          <w:sz w:val="20"/>
        </w:rPr>
        <w:t>na</w:t>
      </w:r>
      <w:r>
        <w:rPr>
          <w:spacing w:val="-4"/>
          <w:sz w:val="20"/>
        </w:rPr>
        <w:t> </w:t>
      </w:r>
      <w:r>
        <w:rPr>
          <w:sz w:val="20"/>
        </w:rPr>
        <w:t>proporção</w:t>
      </w:r>
      <w:r>
        <w:rPr>
          <w:spacing w:val="-3"/>
          <w:sz w:val="20"/>
        </w:rPr>
        <w:t> </w:t>
      </w:r>
      <w:r>
        <w:rPr>
          <w:sz w:val="20"/>
        </w:rPr>
        <w:t>desse</w:t>
      </w:r>
      <w:r>
        <w:rPr>
          <w:spacing w:val="-1"/>
          <w:sz w:val="20"/>
        </w:rPr>
        <w:t> </w:t>
      </w:r>
      <w:r>
        <w:rPr>
          <w:sz w:val="20"/>
        </w:rPr>
        <w:t>excesso.</w:t>
      </w:r>
    </w:p>
    <w:sectPr>
      <w:pgSz w:w="11910" w:h="16840"/>
      <w:pgMar w:top="1360" w:bottom="280" w:left="1700"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4"/>
      <w:szCs w:val="24"/>
      <w:lang w:val="pt-PT" w:eastAsia="en-US" w:bidi="ar-SA"/>
    </w:rPr>
  </w:style>
  <w:style w:styleId="Heading1" w:type="paragraph">
    <w:name w:val="Heading 1"/>
    <w:basedOn w:val="Normal"/>
    <w:uiPriority w:val="1"/>
    <w:qFormat/>
    <w:pPr>
      <w:spacing w:before="19"/>
      <w:ind w:left="609"/>
      <w:outlineLvl w:val="1"/>
    </w:pPr>
    <w:rPr>
      <w:rFonts w:ascii="Calibri" w:hAnsi="Calibri" w:eastAsia="Calibri" w:cs="Calibri"/>
      <w:b/>
      <w:bCs/>
      <w:sz w:val="28"/>
      <w:szCs w:val="28"/>
      <w:lang w:val="pt-PT" w:eastAsia="en-US" w:bidi="ar-SA"/>
    </w:rPr>
  </w:style>
  <w:style w:styleId="Heading2" w:type="paragraph">
    <w:name w:val="Heading 2"/>
    <w:basedOn w:val="Normal"/>
    <w:uiPriority w:val="1"/>
    <w:qFormat/>
    <w:pPr>
      <w:ind w:left="1317"/>
      <w:outlineLvl w:val="2"/>
    </w:pPr>
    <w:rPr>
      <w:rFonts w:ascii="Calibri" w:hAnsi="Calibri" w:eastAsia="Calibri" w:cs="Calibri"/>
      <w:sz w:val="28"/>
      <w:szCs w:val="28"/>
      <w:lang w:val="pt-PT" w:eastAsia="en-US" w:bidi="ar-SA"/>
    </w:rPr>
  </w:style>
  <w:style w:styleId="Heading3" w:type="paragraph">
    <w:name w:val="Heading 3"/>
    <w:basedOn w:val="Normal"/>
    <w:uiPriority w:val="1"/>
    <w:qFormat/>
    <w:pPr>
      <w:ind w:left="609"/>
      <w:outlineLvl w:val="3"/>
    </w:pPr>
    <w:rPr>
      <w:rFonts w:ascii="Calibri" w:hAnsi="Calibri" w:eastAsia="Calibri" w:cs="Calibri"/>
      <w:sz w:val="28"/>
      <w:szCs w:val="28"/>
      <w:lang w:val="pt-PT" w:eastAsia="en-US" w:bidi="ar-SA"/>
    </w:rPr>
  </w:style>
  <w:style w:styleId="Title" w:type="paragraph">
    <w:name w:val="Title"/>
    <w:basedOn w:val="Normal"/>
    <w:uiPriority w:val="1"/>
    <w:qFormat/>
    <w:pPr>
      <w:ind w:left="3907"/>
    </w:pPr>
    <w:rPr>
      <w:rFonts w:ascii="Calibri" w:hAnsi="Calibri" w:eastAsia="Calibri" w:cs="Calibri"/>
      <w:b/>
      <w:bCs/>
      <w:sz w:val="64"/>
      <w:szCs w:val="6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spacing w:before="71"/>
      <w:ind w:left="112"/>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2025-05-16T16:49:59Z</dcterms:created>
  <dcterms:modified xsi:type="dcterms:W3CDTF">2025-05-16T16:49:59Z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3-Heights(TM) PDF Security Shell 4.8.25.2 (http://www.pdf-tools.com)</vt:lpwstr>
  </property>
</Properties>
</file>