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spacing w:before="515"/>
        <w:rPr>
          <w:rFonts w:ascii="Times New Roman"/>
          <w:sz w:val="64"/>
        </w:rPr>
      </w:pPr>
    </w:p>
    <w:p>
      <w:pPr>
        <w:pStyle w:val="Title"/>
      </w:pPr>
      <w:r>
        <w:rPr>
          <w:color w:val="0D0E0E"/>
        </w:rPr>
        <w:t>PANORAMA</w:t>
      </w:r>
      <w:r>
        <w:rPr>
          <w:color w:val="0D0E0E"/>
          <w:spacing w:val="-6"/>
        </w:rPr>
        <w:t> </w:t>
      </w:r>
      <w:r>
        <w:rPr>
          <w:color w:val="0D0E0E"/>
          <w:spacing w:val="-2"/>
        </w:rPr>
        <w:t>ECONÔMICO</w:t>
      </w:r>
    </w:p>
    <w:p>
      <w:pPr>
        <w:spacing w:line="669" w:lineRule="exact" w:before="0"/>
        <w:ind w:left="5885" w:right="0" w:firstLine="0"/>
        <w:jc w:val="left"/>
        <w:rPr>
          <w:rFonts w:ascii="Calibri"/>
          <w:sz w:val="56"/>
        </w:rPr>
      </w:pPr>
      <w:r>
        <w:rPr>
          <w:rFonts w:ascii="Calibri"/>
          <w:color w:val="0D0E0E"/>
          <w:sz w:val="56"/>
        </w:rPr>
        <w:t>NOVEMBRO</w:t>
      </w:r>
      <w:r>
        <w:rPr>
          <w:rFonts w:ascii="Calibri"/>
          <w:color w:val="0D0E0E"/>
          <w:spacing w:val="-24"/>
          <w:sz w:val="56"/>
        </w:rPr>
        <w:t> </w:t>
      </w:r>
      <w:r>
        <w:rPr>
          <w:rFonts w:ascii="Calibri"/>
          <w:color w:val="0D0E0E"/>
          <w:spacing w:val="-4"/>
          <w:sz w:val="56"/>
        </w:rPr>
        <w:t>2023</w:t>
      </w:r>
    </w:p>
    <w:p>
      <w:pPr>
        <w:spacing w:after="0" w:line="669" w:lineRule="exact"/>
        <w:jc w:val="left"/>
        <w:rPr>
          <w:rFonts w:ascii="Calibri"/>
          <w:sz w:val="56"/>
        </w:rPr>
        <w:sectPr>
          <w:type w:val="continuous"/>
          <w:pgSz w:w="11920" w:h="16850"/>
          <w:pgMar w:top="1940" w:bottom="280" w:left="1417" w:right="141"/>
        </w:sectPr>
      </w:pPr>
    </w:p>
    <w:p>
      <w:pPr>
        <w:pStyle w:val="Heading1"/>
        <w:spacing w:line="408" w:lineRule="auto"/>
        <w:ind w:right="7217"/>
      </w:pPr>
      <w:r>
        <w:rPr>
          <w:color w:val="0D0E0E"/>
          <w:spacing w:val="-2"/>
        </w:rPr>
        <w:t>INTERNACIONAL </w:t>
      </w:r>
      <w:r>
        <w:rPr>
          <w:color w:val="0D0E0E"/>
        </w:rPr>
        <w:t>ESTADOS</w:t>
      </w:r>
      <w:r>
        <w:rPr>
          <w:color w:val="0D0E0E"/>
          <w:spacing w:val="-6"/>
        </w:rPr>
        <w:t> </w:t>
      </w:r>
      <w:r>
        <w:rPr>
          <w:color w:val="0D0E0E"/>
          <w:spacing w:val="-2"/>
        </w:rPr>
        <w:t>UNIDOS</w:t>
      </w:r>
    </w:p>
    <w:p>
      <w:pPr>
        <w:spacing w:before="0"/>
        <w:ind w:left="184" w:right="0" w:firstLine="0"/>
        <w:jc w:val="left"/>
        <w:rPr>
          <w:rFonts w:ascii="Calibri"/>
          <w:i/>
          <w:sz w:val="28"/>
        </w:rPr>
      </w:pPr>
      <w:r>
        <w:rPr>
          <w:rFonts w:ascii="Calibri"/>
          <w:i/>
          <w:color w:val="FF0000"/>
          <w:sz w:val="26"/>
        </w:rPr>
        <w:t>Curva</w:t>
      </w:r>
      <w:r>
        <w:rPr>
          <w:rFonts w:ascii="Calibri"/>
          <w:i/>
          <w:color w:val="FF0000"/>
          <w:spacing w:val="-1"/>
          <w:sz w:val="26"/>
        </w:rPr>
        <w:t> </w:t>
      </w:r>
      <w:r>
        <w:rPr>
          <w:rFonts w:ascii="Calibri"/>
          <w:i/>
          <w:color w:val="FF0000"/>
          <w:sz w:val="28"/>
        </w:rPr>
        <w:t>de</w:t>
      </w:r>
      <w:r>
        <w:rPr>
          <w:rFonts w:ascii="Calibri"/>
          <w:i/>
          <w:color w:val="FF0000"/>
          <w:spacing w:val="-5"/>
          <w:sz w:val="28"/>
        </w:rPr>
        <w:t> </w:t>
      </w:r>
      <w:r>
        <w:rPr>
          <w:rFonts w:ascii="Calibri"/>
          <w:i/>
          <w:color w:val="FF0000"/>
          <w:spacing w:val="-2"/>
          <w:sz w:val="28"/>
        </w:rPr>
        <w:t>Juros</w:t>
      </w:r>
    </w:p>
    <w:p>
      <w:pPr>
        <w:pStyle w:val="BodyText"/>
        <w:spacing w:before="242"/>
        <w:ind w:left="184" w:right="1257" w:firstLine="707"/>
        <w:jc w:val="both"/>
      </w:pPr>
      <w:r>
        <w:rPr>
          <w:color w:val="0D0E0E"/>
        </w:rPr>
        <w:t>O</w:t>
      </w:r>
      <w:r>
        <w:rPr>
          <w:color w:val="0D0E0E"/>
          <w:spacing w:val="-13"/>
        </w:rPr>
        <w:t> </w:t>
      </w:r>
      <w:r>
        <w:rPr>
          <w:color w:val="0D0E0E"/>
        </w:rPr>
        <w:t>movimento</w:t>
      </w:r>
      <w:r>
        <w:rPr>
          <w:color w:val="0D0E0E"/>
          <w:spacing w:val="-12"/>
        </w:rPr>
        <w:t> </w:t>
      </w:r>
      <w:r>
        <w:rPr>
          <w:color w:val="0D0E0E"/>
        </w:rPr>
        <w:t>de</w:t>
      </w:r>
      <w:r>
        <w:rPr>
          <w:color w:val="0D0E0E"/>
          <w:spacing w:val="-12"/>
        </w:rPr>
        <w:t> </w:t>
      </w:r>
      <w:r>
        <w:rPr>
          <w:color w:val="0D0E0E"/>
        </w:rPr>
        <w:t>alta</w:t>
      </w:r>
      <w:r>
        <w:rPr>
          <w:color w:val="0D0E0E"/>
          <w:spacing w:val="-12"/>
        </w:rPr>
        <w:t> </w:t>
      </w:r>
      <w:r>
        <w:rPr>
          <w:color w:val="0D0E0E"/>
        </w:rPr>
        <w:t>dos</w:t>
      </w:r>
      <w:r>
        <w:rPr>
          <w:color w:val="0D0E0E"/>
          <w:spacing w:val="-12"/>
        </w:rPr>
        <w:t> </w:t>
      </w:r>
      <w:r>
        <w:rPr>
          <w:color w:val="0D0E0E"/>
        </w:rPr>
        <w:t>juros</w:t>
      </w:r>
      <w:r>
        <w:rPr>
          <w:color w:val="0D0E0E"/>
          <w:spacing w:val="-12"/>
        </w:rPr>
        <w:t> </w:t>
      </w:r>
      <w:r>
        <w:rPr>
          <w:color w:val="0D0E0E"/>
        </w:rPr>
        <w:t>norte-americanos</w:t>
      </w:r>
      <w:r>
        <w:rPr>
          <w:color w:val="0D0E0E"/>
          <w:spacing w:val="-12"/>
        </w:rPr>
        <w:t> </w:t>
      </w:r>
      <w:r>
        <w:rPr>
          <w:color w:val="0D0E0E"/>
        </w:rPr>
        <w:t>finalmente</w:t>
      </w:r>
      <w:r>
        <w:rPr>
          <w:color w:val="0D0E0E"/>
          <w:spacing w:val="-11"/>
        </w:rPr>
        <w:t> </w:t>
      </w:r>
      <w:r>
        <w:rPr>
          <w:color w:val="0D0E0E"/>
        </w:rPr>
        <w:t>aliviou</w:t>
      </w:r>
      <w:r>
        <w:rPr>
          <w:color w:val="0D0E0E"/>
          <w:spacing w:val="-12"/>
        </w:rPr>
        <w:t> </w:t>
      </w:r>
      <w:r>
        <w:rPr>
          <w:color w:val="0D0E0E"/>
        </w:rPr>
        <w:t>os</w:t>
      </w:r>
      <w:r>
        <w:rPr>
          <w:color w:val="0D0E0E"/>
          <w:spacing w:val="-10"/>
        </w:rPr>
        <w:t> </w:t>
      </w:r>
      <w:r>
        <w:rPr>
          <w:color w:val="0D0E0E"/>
        </w:rPr>
        <w:t>mercados. Após atingir o maior patamar dos últimos 15 anos, a Treasury de 10 anos recuou de 4,92% para 4,33% em novembro, o que diminuiu a pressão nos juros globais e reduziu o diferencial de juros nos mercados.</w:t>
      </w:r>
    </w:p>
    <w:p>
      <w:pPr>
        <w:pStyle w:val="Heading4"/>
        <w:spacing w:before="240"/>
        <w:ind w:left="711"/>
      </w:pPr>
      <w:r>
        <w:rPr>
          <w:color w:val="0D0E0E"/>
        </w:rPr>
        <w:t>EUA</w:t>
      </w:r>
      <w:r>
        <w:rPr>
          <w:color w:val="0D0E0E"/>
          <w:spacing w:val="-2"/>
        </w:rPr>
        <w:t> </w:t>
      </w:r>
      <w:r>
        <w:rPr>
          <w:color w:val="0D0E0E"/>
        </w:rPr>
        <w:t>Treasury –</w:t>
      </w:r>
      <w:r>
        <w:rPr>
          <w:color w:val="0D0E0E"/>
          <w:spacing w:val="-1"/>
        </w:rPr>
        <w:t> </w:t>
      </w:r>
      <w:r>
        <w:rPr>
          <w:color w:val="0D0E0E"/>
        </w:rPr>
        <w:t>10</w:t>
      </w:r>
      <w:r>
        <w:rPr>
          <w:color w:val="0D0E0E"/>
          <w:spacing w:val="-2"/>
        </w:rPr>
        <w:t> anos:</w:t>
      </w:r>
    </w:p>
    <w:p>
      <w:pPr>
        <w:pStyle w:val="BodyText"/>
        <w:spacing w:before="2"/>
        <w:rPr>
          <w:b/>
          <w:sz w:val="6"/>
        </w:rPr>
      </w:pPr>
      <w:r>
        <w:rPr>
          <w:b/>
          <w:sz w:val="6"/>
        </w:rPr>
        <w:drawing>
          <wp:anchor distT="0" distB="0" distL="0" distR="0" allowOverlap="1" layoutInCell="1" locked="0" behindDoc="1" simplePos="0" relativeHeight="487587840">
            <wp:simplePos x="0" y="0"/>
            <wp:positionH relativeFrom="page">
              <wp:posOffset>1016000</wp:posOffset>
            </wp:positionH>
            <wp:positionV relativeFrom="paragraph">
              <wp:posOffset>61758</wp:posOffset>
            </wp:positionV>
            <wp:extent cx="5645702" cy="2759487"/>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645702" cy="2759487"/>
                    </a:xfrm>
                    <a:prstGeom prst="rect">
                      <a:avLst/>
                    </a:prstGeom>
                  </pic:spPr>
                </pic:pic>
              </a:graphicData>
            </a:graphic>
          </wp:anchor>
        </w:drawing>
      </w:r>
    </w:p>
    <w:p>
      <w:pPr>
        <w:spacing w:before="11"/>
        <w:ind w:left="708" w:right="1073" w:firstLine="0"/>
        <w:jc w:val="center"/>
        <w:rPr>
          <w:rFonts w:ascii="Calibri"/>
          <w:i/>
          <w:sz w:val="20"/>
        </w:rPr>
      </w:pPr>
      <w:r>
        <w:rPr>
          <w:rFonts w:ascii="Calibri"/>
          <w:i/>
          <w:color w:val="0D0E0E"/>
          <w:spacing w:val="-2"/>
          <w:sz w:val="20"/>
        </w:rPr>
        <w:t>https://tradingeconomics.com/united-states/government-bond-yield</w:t>
      </w:r>
    </w:p>
    <w:p>
      <w:pPr>
        <w:pStyle w:val="BodyText"/>
        <w:spacing w:before="239"/>
        <w:ind w:left="184" w:right="1259" w:firstLine="707"/>
        <w:jc w:val="both"/>
      </w:pPr>
      <w:r>
        <w:rPr>
          <w:color w:val="0D0E0E"/>
        </w:rPr>
        <w:t>A</w:t>
      </w:r>
      <w:r>
        <w:rPr>
          <w:color w:val="0D0E0E"/>
          <w:spacing w:val="-2"/>
        </w:rPr>
        <w:t> </w:t>
      </w:r>
      <w:r>
        <w:rPr>
          <w:color w:val="0D0E0E"/>
        </w:rPr>
        <w:t>curva</w:t>
      </w:r>
      <w:r>
        <w:rPr>
          <w:color w:val="0D0E0E"/>
          <w:spacing w:val="-2"/>
        </w:rPr>
        <w:t> </w:t>
      </w:r>
      <w:r>
        <w:rPr>
          <w:color w:val="0D0E0E"/>
        </w:rPr>
        <w:t>voltou</w:t>
      </w:r>
      <w:r>
        <w:rPr>
          <w:color w:val="0D0E0E"/>
          <w:spacing w:val="-2"/>
        </w:rPr>
        <w:t> </w:t>
      </w:r>
      <w:r>
        <w:rPr>
          <w:color w:val="0D0E0E"/>
        </w:rPr>
        <w:t>a</w:t>
      </w:r>
      <w:r>
        <w:rPr>
          <w:color w:val="0D0E0E"/>
          <w:spacing w:val="-2"/>
        </w:rPr>
        <w:t> </w:t>
      </w:r>
      <w:r>
        <w:rPr>
          <w:color w:val="0D0E0E"/>
        </w:rPr>
        <w:t>se</w:t>
      </w:r>
      <w:r>
        <w:rPr>
          <w:color w:val="0D0E0E"/>
          <w:spacing w:val="-1"/>
        </w:rPr>
        <w:t> </w:t>
      </w:r>
      <w:r>
        <w:rPr>
          <w:color w:val="0D0E0E"/>
        </w:rPr>
        <w:t>fechar</w:t>
      </w:r>
      <w:r>
        <w:rPr>
          <w:color w:val="0D0E0E"/>
          <w:spacing w:val="-1"/>
        </w:rPr>
        <w:t> </w:t>
      </w:r>
      <w:r>
        <w:rPr>
          <w:color w:val="0D0E0E"/>
        </w:rPr>
        <w:t>e,</w:t>
      </w:r>
      <w:r>
        <w:rPr>
          <w:color w:val="0D0E0E"/>
          <w:spacing w:val="-1"/>
        </w:rPr>
        <w:t> </w:t>
      </w:r>
      <w:r>
        <w:rPr>
          <w:color w:val="0D0E0E"/>
        </w:rPr>
        <w:t>com</w:t>
      </w:r>
      <w:r>
        <w:rPr>
          <w:color w:val="0D0E0E"/>
          <w:spacing w:val="-3"/>
        </w:rPr>
        <w:t> </w:t>
      </w:r>
      <w:r>
        <w:rPr>
          <w:color w:val="0D0E0E"/>
        </w:rPr>
        <w:t>isso, as</w:t>
      </w:r>
      <w:r>
        <w:rPr>
          <w:color w:val="0D0E0E"/>
          <w:spacing w:val="-1"/>
        </w:rPr>
        <w:t> </w:t>
      </w:r>
      <w:r>
        <w:rPr>
          <w:color w:val="0D0E0E"/>
        </w:rPr>
        <w:t>discussões</w:t>
      </w:r>
      <w:r>
        <w:rPr>
          <w:color w:val="0D0E0E"/>
          <w:spacing w:val="-1"/>
        </w:rPr>
        <w:t> </w:t>
      </w:r>
      <w:r>
        <w:rPr>
          <w:color w:val="0D0E0E"/>
        </w:rPr>
        <w:t>sobre</w:t>
      </w:r>
      <w:r>
        <w:rPr>
          <w:color w:val="0D0E0E"/>
          <w:spacing w:val="-1"/>
        </w:rPr>
        <w:t> </w:t>
      </w:r>
      <w:r>
        <w:rPr>
          <w:color w:val="0D0E0E"/>
        </w:rPr>
        <w:t>o</w:t>
      </w:r>
      <w:r>
        <w:rPr>
          <w:color w:val="0D0E0E"/>
          <w:spacing w:val="-1"/>
        </w:rPr>
        <w:t> </w:t>
      </w:r>
      <w:r>
        <w:rPr>
          <w:color w:val="0D0E0E"/>
        </w:rPr>
        <w:t>fim</w:t>
      </w:r>
      <w:r>
        <w:rPr>
          <w:color w:val="0D0E0E"/>
          <w:spacing w:val="-2"/>
        </w:rPr>
        <w:t> </w:t>
      </w:r>
      <w:r>
        <w:rPr>
          <w:color w:val="0D0E0E"/>
        </w:rPr>
        <w:t>da</w:t>
      </w:r>
      <w:r>
        <w:rPr>
          <w:color w:val="0D0E0E"/>
          <w:spacing w:val="-2"/>
        </w:rPr>
        <w:t> </w:t>
      </w:r>
      <w:r>
        <w:rPr>
          <w:color w:val="0D0E0E"/>
        </w:rPr>
        <w:t>alta dos</w:t>
      </w:r>
      <w:r>
        <w:rPr>
          <w:color w:val="0D0E0E"/>
          <w:spacing w:val="-1"/>
        </w:rPr>
        <w:t> </w:t>
      </w:r>
      <w:r>
        <w:rPr>
          <w:color w:val="0D0E0E"/>
        </w:rPr>
        <w:t>juros se fortaleceram. A expectativa agora é que o FED mantenha esse nível até meados de 2024, quando começará a fazer cortes graduais.</w:t>
      </w:r>
    </w:p>
    <w:p>
      <w:pPr>
        <w:pStyle w:val="BodyText"/>
        <w:spacing w:before="241"/>
        <w:ind w:left="184" w:right="1253" w:firstLine="707"/>
        <w:jc w:val="both"/>
      </w:pPr>
      <w:r>
        <w:rPr>
          <w:color w:val="0D0E0E"/>
        </w:rPr>
        <w:t>A</w:t>
      </w:r>
      <w:r>
        <w:rPr>
          <w:color w:val="0D0E0E"/>
          <w:spacing w:val="-3"/>
        </w:rPr>
        <w:t> </w:t>
      </w:r>
      <w:r>
        <w:rPr>
          <w:color w:val="0D0E0E"/>
        </w:rPr>
        <w:t>curva</w:t>
      </w:r>
      <w:r>
        <w:rPr>
          <w:color w:val="0D0E0E"/>
          <w:spacing w:val="-3"/>
        </w:rPr>
        <w:t> </w:t>
      </w:r>
      <w:r>
        <w:rPr>
          <w:color w:val="0D0E0E"/>
        </w:rPr>
        <w:t>de</w:t>
      </w:r>
      <w:r>
        <w:rPr>
          <w:color w:val="0D0E0E"/>
          <w:spacing w:val="-2"/>
        </w:rPr>
        <w:t> </w:t>
      </w:r>
      <w:r>
        <w:rPr>
          <w:color w:val="0D0E0E"/>
        </w:rPr>
        <w:t>juros</w:t>
      </w:r>
      <w:r>
        <w:rPr>
          <w:color w:val="0D0E0E"/>
          <w:spacing w:val="-2"/>
        </w:rPr>
        <w:t> </w:t>
      </w:r>
      <w:r>
        <w:rPr>
          <w:color w:val="0D0E0E"/>
        </w:rPr>
        <w:t>em</w:t>
      </w:r>
      <w:r>
        <w:rPr>
          <w:color w:val="0D0E0E"/>
          <w:spacing w:val="-3"/>
        </w:rPr>
        <w:t> </w:t>
      </w:r>
      <w:r>
        <w:rPr>
          <w:color w:val="0D0E0E"/>
        </w:rPr>
        <w:t>patamares</w:t>
      </w:r>
      <w:r>
        <w:rPr>
          <w:color w:val="0D0E0E"/>
          <w:spacing w:val="-2"/>
        </w:rPr>
        <w:t> </w:t>
      </w:r>
      <w:r>
        <w:rPr>
          <w:color w:val="0D0E0E"/>
        </w:rPr>
        <w:t>mais</w:t>
      </w:r>
      <w:r>
        <w:rPr>
          <w:color w:val="0D0E0E"/>
          <w:spacing w:val="-2"/>
        </w:rPr>
        <w:t> </w:t>
      </w:r>
      <w:r>
        <w:rPr>
          <w:color w:val="0D0E0E"/>
        </w:rPr>
        <w:t>elevados</w:t>
      </w:r>
      <w:r>
        <w:rPr>
          <w:color w:val="0D0E0E"/>
          <w:spacing w:val="-2"/>
        </w:rPr>
        <w:t> </w:t>
      </w:r>
      <w:r>
        <w:rPr>
          <w:color w:val="0D0E0E"/>
        </w:rPr>
        <w:t>apresenta um</w:t>
      </w:r>
      <w:r>
        <w:rPr>
          <w:color w:val="0D0E0E"/>
          <w:spacing w:val="-4"/>
        </w:rPr>
        <w:t> </w:t>
      </w:r>
      <w:r>
        <w:rPr>
          <w:color w:val="0D0E0E"/>
        </w:rPr>
        <w:t>possível</w:t>
      </w:r>
      <w:r>
        <w:rPr>
          <w:color w:val="0D0E0E"/>
          <w:spacing w:val="-3"/>
        </w:rPr>
        <w:t> </w:t>
      </w:r>
      <w:r>
        <w:rPr>
          <w:color w:val="0D0E0E"/>
        </w:rPr>
        <w:t>impacto</w:t>
      </w:r>
      <w:r>
        <w:rPr>
          <w:color w:val="0D0E0E"/>
          <w:spacing w:val="-2"/>
        </w:rPr>
        <w:t> </w:t>
      </w:r>
      <w:r>
        <w:rPr>
          <w:color w:val="0D0E0E"/>
        </w:rPr>
        <w:t>de frear a economia global a partir de uma reestruturação de dívida ao redor do mundo, encarecendo o crédito para toda a cadeia global vinculada ao dólar americano.</w:t>
      </w:r>
      <w:r>
        <w:rPr>
          <w:color w:val="0D0E0E"/>
          <w:spacing w:val="40"/>
        </w:rPr>
        <w:t> </w:t>
      </w:r>
      <w:r>
        <w:rPr>
          <w:color w:val="0D0E0E"/>
        </w:rPr>
        <w:t>Além disso, a curva de juros em altos níveis por um período prolongado prejudica os EUA e pode representar uma recessão na economia.</w:t>
      </w:r>
    </w:p>
    <w:p>
      <w:pPr>
        <w:pStyle w:val="BodyText"/>
        <w:spacing w:before="240"/>
        <w:ind w:left="184" w:right="1253" w:firstLine="707"/>
        <w:jc w:val="both"/>
      </w:pPr>
      <w:r>
        <w:rPr>
          <w:color w:val="0D0E0E"/>
        </w:rPr>
        <w:t>Os principais fatores que ajudam a explicar esse fechamento se devem primeiramente ao discurso mais “dovish” (conservador) do presidente do FED, Jerome Powel,</w:t>
      </w:r>
      <w:r>
        <w:rPr>
          <w:color w:val="0D0E0E"/>
          <w:spacing w:val="-6"/>
        </w:rPr>
        <w:t> </w:t>
      </w:r>
      <w:r>
        <w:rPr>
          <w:color w:val="0D0E0E"/>
        </w:rPr>
        <w:t>que</w:t>
      </w:r>
      <w:r>
        <w:rPr>
          <w:color w:val="0D0E0E"/>
          <w:spacing w:val="-7"/>
        </w:rPr>
        <w:t> </w:t>
      </w:r>
      <w:r>
        <w:rPr>
          <w:color w:val="0D0E0E"/>
        </w:rPr>
        <w:t>avaliou</w:t>
      </w:r>
      <w:r>
        <w:rPr>
          <w:color w:val="0D0E0E"/>
          <w:spacing w:val="-10"/>
        </w:rPr>
        <w:t> </w:t>
      </w:r>
      <w:r>
        <w:rPr>
          <w:color w:val="0D0E0E"/>
        </w:rPr>
        <w:t>positivamente</w:t>
      </w:r>
      <w:r>
        <w:rPr>
          <w:color w:val="0D0E0E"/>
          <w:spacing w:val="-7"/>
        </w:rPr>
        <w:t> </w:t>
      </w:r>
      <w:r>
        <w:rPr>
          <w:color w:val="0D0E0E"/>
        </w:rPr>
        <w:t>o</w:t>
      </w:r>
      <w:r>
        <w:rPr>
          <w:color w:val="0D0E0E"/>
          <w:spacing w:val="-8"/>
        </w:rPr>
        <w:t> </w:t>
      </w:r>
      <w:r>
        <w:rPr>
          <w:color w:val="0D0E0E"/>
        </w:rPr>
        <w:t>combate</w:t>
      </w:r>
      <w:r>
        <w:rPr>
          <w:color w:val="0D0E0E"/>
          <w:spacing w:val="-7"/>
        </w:rPr>
        <w:t> </w:t>
      </w:r>
      <w:r>
        <w:rPr>
          <w:color w:val="0D0E0E"/>
        </w:rPr>
        <w:t>à</w:t>
      </w:r>
      <w:r>
        <w:rPr>
          <w:color w:val="0D0E0E"/>
          <w:spacing w:val="-9"/>
        </w:rPr>
        <w:t> </w:t>
      </w:r>
      <w:r>
        <w:rPr>
          <w:color w:val="0D0E0E"/>
        </w:rPr>
        <w:t>inflação</w:t>
      </w:r>
      <w:r>
        <w:rPr>
          <w:color w:val="0D0E0E"/>
          <w:spacing w:val="-7"/>
        </w:rPr>
        <w:t> </w:t>
      </w:r>
      <w:r>
        <w:rPr>
          <w:color w:val="0D0E0E"/>
        </w:rPr>
        <w:t>e</w:t>
      </w:r>
      <w:r>
        <w:rPr>
          <w:color w:val="0D0E0E"/>
          <w:spacing w:val="-7"/>
        </w:rPr>
        <w:t> </w:t>
      </w:r>
      <w:r>
        <w:rPr>
          <w:color w:val="0D0E0E"/>
        </w:rPr>
        <w:t>repetiu</w:t>
      </w:r>
      <w:r>
        <w:rPr>
          <w:color w:val="0D0E0E"/>
          <w:spacing w:val="-7"/>
        </w:rPr>
        <w:t> </w:t>
      </w:r>
      <w:r>
        <w:rPr>
          <w:color w:val="0D0E0E"/>
        </w:rPr>
        <w:t>que</w:t>
      </w:r>
      <w:r>
        <w:rPr>
          <w:color w:val="0D0E0E"/>
          <w:spacing w:val="-7"/>
        </w:rPr>
        <w:t> </w:t>
      </w:r>
      <w:r>
        <w:rPr>
          <w:color w:val="0D0E0E"/>
        </w:rPr>
        <w:t>um</w:t>
      </w:r>
      <w:r>
        <w:rPr>
          <w:color w:val="0D0E0E"/>
          <w:spacing w:val="-8"/>
        </w:rPr>
        <w:t> </w:t>
      </w:r>
      <w:r>
        <w:rPr>
          <w:color w:val="0D0E0E"/>
        </w:rPr>
        <w:t>pouso</w:t>
      </w:r>
      <w:r>
        <w:rPr>
          <w:color w:val="0D0E0E"/>
          <w:spacing w:val="-8"/>
        </w:rPr>
        <w:t> </w:t>
      </w:r>
      <w:r>
        <w:rPr>
          <w:color w:val="0D0E0E"/>
        </w:rPr>
        <w:t>suave</w:t>
      </w:r>
      <w:r>
        <w:rPr>
          <w:color w:val="0D0E0E"/>
          <w:spacing w:val="-7"/>
        </w:rPr>
        <w:t> </w:t>
      </w:r>
      <w:r>
        <w:rPr>
          <w:color w:val="0D0E0E"/>
        </w:rPr>
        <w:t>na economia norte-americana deve acontecer. Além disso, a visão do mercado que a taxa básica de juros está em seu pico e que em breve haverá redução nas taxas também corroborou para este fechamento.</w:t>
      </w:r>
    </w:p>
    <w:p>
      <w:pPr>
        <w:pStyle w:val="BodyText"/>
      </w:pPr>
    </w:p>
    <w:p>
      <w:pPr>
        <w:pStyle w:val="BodyText"/>
        <w:spacing w:before="209"/>
      </w:pPr>
    </w:p>
    <w:p>
      <w:pPr>
        <w:pStyle w:val="Heading3"/>
      </w:pPr>
      <w:r>
        <w:rPr>
          <w:color w:val="FF0000"/>
        </w:rPr>
        <w:t>Mercado</w:t>
      </w:r>
      <w:r>
        <w:rPr>
          <w:color w:val="FF0000"/>
          <w:spacing w:val="-9"/>
        </w:rPr>
        <w:t> </w:t>
      </w:r>
      <w:r>
        <w:rPr>
          <w:color w:val="FF0000"/>
        </w:rPr>
        <w:t>de</w:t>
      </w:r>
      <w:r>
        <w:rPr>
          <w:color w:val="FF0000"/>
          <w:spacing w:val="-8"/>
        </w:rPr>
        <w:t> </w:t>
      </w:r>
      <w:r>
        <w:rPr>
          <w:color w:val="FF0000"/>
          <w:spacing w:val="-2"/>
        </w:rPr>
        <w:t>Trabalho</w:t>
      </w:r>
    </w:p>
    <w:p>
      <w:pPr>
        <w:pStyle w:val="Heading3"/>
        <w:spacing w:after="0"/>
        <w:sectPr>
          <w:pgSz w:w="11920" w:h="16850"/>
          <w:pgMar w:top="1340" w:bottom="280" w:left="1417" w:right="141"/>
        </w:sectPr>
      </w:pPr>
    </w:p>
    <w:p>
      <w:pPr>
        <w:pStyle w:val="BodyText"/>
        <w:spacing w:before="80"/>
        <w:ind w:left="184" w:right="1257" w:firstLine="707"/>
        <w:jc w:val="both"/>
      </w:pPr>
      <w:r>
        <w:rPr>
          <w:color w:val="0D0E0E"/>
        </w:rPr>
        <w:t>O mercado de trabalho é um dos principais indicadores de atividade econômica usados pelo Banco Central para definição de política monetária. Os indicadores de emprego são termômetros perfeitos para compor análise do nível de atividade econômica de uma economia, e, portanto, a partir disso calibrar com mais acurácia os patamares de juros a serem determinados. Níveis de desemprego baixos pressupõem uma</w:t>
      </w:r>
      <w:r>
        <w:rPr>
          <w:color w:val="0D0E0E"/>
          <w:spacing w:val="-14"/>
        </w:rPr>
        <w:t> </w:t>
      </w:r>
      <w:r>
        <w:rPr>
          <w:color w:val="0D0E0E"/>
        </w:rPr>
        <w:t>economia</w:t>
      </w:r>
      <w:r>
        <w:rPr>
          <w:color w:val="0D0E0E"/>
          <w:spacing w:val="-13"/>
        </w:rPr>
        <w:t> </w:t>
      </w:r>
      <w:r>
        <w:rPr>
          <w:color w:val="0D0E0E"/>
        </w:rPr>
        <w:t>aquecida,</w:t>
      </w:r>
      <w:r>
        <w:rPr>
          <w:color w:val="0D0E0E"/>
          <w:spacing w:val="-13"/>
        </w:rPr>
        <w:t> </w:t>
      </w:r>
      <w:r>
        <w:rPr>
          <w:color w:val="0D0E0E"/>
        </w:rPr>
        <w:t>logo,</w:t>
      </w:r>
      <w:r>
        <w:rPr>
          <w:color w:val="0D0E0E"/>
          <w:spacing w:val="-13"/>
        </w:rPr>
        <w:t> </w:t>
      </w:r>
      <w:r>
        <w:rPr>
          <w:color w:val="0D0E0E"/>
        </w:rPr>
        <w:t>predispostos</w:t>
      </w:r>
      <w:r>
        <w:rPr>
          <w:color w:val="0D0E0E"/>
          <w:spacing w:val="-14"/>
        </w:rPr>
        <w:t> </w:t>
      </w:r>
      <w:r>
        <w:rPr>
          <w:color w:val="0D0E0E"/>
        </w:rPr>
        <w:t>a</w:t>
      </w:r>
      <w:r>
        <w:rPr>
          <w:color w:val="0D0E0E"/>
          <w:spacing w:val="-13"/>
        </w:rPr>
        <w:t> </w:t>
      </w:r>
      <w:r>
        <w:rPr>
          <w:color w:val="0D0E0E"/>
        </w:rPr>
        <w:t>consumir,</w:t>
      </w:r>
      <w:r>
        <w:rPr>
          <w:color w:val="0D0E0E"/>
          <w:spacing w:val="-13"/>
        </w:rPr>
        <w:t> </w:t>
      </w:r>
      <w:r>
        <w:rPr>
          <w:color w:val="0D0E0E"/>
        </w:rPr>
        <w:t>que</w:t>
      </w:r>
      <w:r>
        <w:rPr>
          <w:color w:val="0D0E0E"/>
          <w:spacing w:val="-13"/>
        </w:rPr>
        <w:t> </w:t>
      </w:r>
      <w:r>
        <w:rPr>
          <w:color w:val="0D0E0E"/>
        </w:rPr>
        <w:t>por</w:t>
      </w:r>
      <w:r>
        <w:rPr>
          <w:color w:val="0D0E0E"/>
          <w:spacing w:val="-13"/>
        </w:rPr>
        <w:t> </w:t>
      </w:r>
      <w:r>
        <w:rPr>
          <w:color w:val="0D0E0E"/>
        </w:rPr>
        <w:t>sua</w:t>
      </w:r>
      <w:r>
        <w:rPr>
          <w:color w:val="0D0E0E"/>
          <w:spacing w:val="-14"/>
        </w:rPr>
        <w:t> </w:t>
      </w:r>
      <w:r>
        <w:rPr>
          <w:color w:val="0D0E0E"/>
        </w:rPr>
        <w:t>vez</w:t>
      </w:r>
      <w:r>
        <w:rPr>
          <w:color w:val="0D0E0E"/>
          <w:spacing w:val="-13"/>
        </w:rPr>
        <w:t> </w:t>
      </w:r>
      <w:r>
        <w:rPr>
          <w:color w:val="0D0E0E"/>
        </w:rPr>
        <w:t>possui</w:t>
      </w:r>
      <w:r>
        <w:rPr>
          <w:color w:val="0D0E0E"/>
          <w:spacing w:val="-13"/>
        </w:rPr>
        <w:t> </w:t>
      </w:r>
      <w:r>
        <w:rPr>
          <w:color w:val="0D0E0E"/>
        </w:rPr>
        <w:t>potencial </w:t>
      </w:r>
      <w:r>
        <w:rPr>
          <w:color w:val="0D0E0E"/>
          <w:spacing w:val="-2"/>
        </w:rPr>
        <w:t>inflacionário.</w:t>
      </w:r>
    </w:p>
    <w:p>
      <w:pPr>
        <w:pStyle w:val="BodyText"/>
        <w:spacing w:before="238"/>
        <w:ind w:left="184" w:right="1252" w:firstLine="707"/>
        <w:jc w:val="both"/>
      </w:pPr>
      <w:r>
        <w:rPr>
          <w:color w:val="0D0E0E"/>
        </w:rPr>
        <w:t>O mercado de trabalho nos EUA vem se mostrando muito resiliente, e, como já indicou</w:t>
      </w:r>
      <w:r>
        <w:rPr>
          <w:color w:val="0D0E0E"/>
          <w:spacing w:val="-10"/>
        </w:rPr>
        <w:t> </w:t>
      </w:r>
      <w:r>
        <w:rPr>
          <w:color w:val="0D0E0E"/>
        </w:rPr>
        <w:t>algumas</w:t>
      </w:r>
      <w:r>
        <w:rPr>
          <w:color w:val="0D0E0E"/>
          <w:spacing w:val="-9"/>
        </w:rPr>
        <w:t> </w:t>
      </w:r>
      <w:r>
        <w:rPr>
          <w:color w:val="0D0E0E"/>
        </w:rPr>
        <w:t>vezes,</w:t>
      </w:r>
      <w:r>
        <w:rPr>
          <w:color w:val="0D0E0E"/>
          <w:spacing w:val="-8"/>
        </w:rPr>
        <w:t> </w:t>
      </w:r>
      <w:r>
        <w:rPr>
          <w:color w:val="0D0E0E"/>
        </w:rPr>
        <w:t>o</w:t>
      </w:r>
      <w:r>
        <w:rPr>
          <w:color w:val="0D0E0E"/>
          <w:spacing w:val="-10"/>
        </w:rPr>
        <w:t> </w:t>
      </w:r>
      <w:r>
        <w:rPr>
          <w:color w:val="0D0E0E"/>
        </w:rPr>
        <w:t>presidente</w:t>
      </w:r>
      <w:r>
        <w:rPr>
          <w:color w:val="0D0E0E"/>
          <w:spacing w:val="-9"/>
        </w:rPr>
        <w:t> </w:t>
      </w:r>
      <w:r>
        <w:rPr>
          <w:color w:val="0D0E0E"/>
        </w:rPr>
        <w:t>do</w:t>
      </w:r>
      <w:r>
        <w:rPr>
          <w:color w:val="0D0E0E"/>
          <w:spacing w:val="-12"/>
        </w:rPr>
        <w:t> </w:t>
      </w:r>
      <w:r>
        <w:rPr>
          <w:color w:val="0D0E0E"/>
        </w:rPr>
        <w:t>FED,</w:t>
      </w:r>
      <w:r>
        <w:rPr>
          <w:color w:val="0D0E0E"/>
          <w:spacing w:val="-11"/>
        </w:rPr>
        <w:t> </w:t>
      </w:r>
      <w:r>
        <w:rPr>
          <w:color w:val="0D0E0E"/>
        </w:rPr>
        <w:t>Jerome</w:t>
      </w:r>
      <w:r>
        <w:rPr>
          <w:color w:val="0D0E0E"/>
          <w:spacing w:val="-9"/>
        </w:rPr>
        <w:t> </w:t>
      </w:r>
      <w:r>
        <w:rPr>
          <w:color w:val="0D0E0E"/>
        </w:rPr>
        <w:t>Powell,</w:t>
      </w:r>
      <w:r>
        <w:rPr>
          <w:color w:val="0D0E0E"/>
          <w:spacing w:val="-9"/>
        </w:rPr>
        <w:t> </w:t>
      </w:r>
      <w:r>
        <w:rPr>
          <w:color w:val="0D0E0E"/>
        </w:rPr>
        <w:t>a</w:t>
      </w:r>
      <w:r>
        <w:rPr>
          <w:color w:val="0D0E0E"/>
          <w:spacing w:val="-9"/>
        </w:rPr>
        <w:t> </w:t>
      </w:r>
      <w:r>
        <w:rPr>
          <w:color w:val="0D0E0E"/>
        </w:rPr>
        <w:t>economia</w:t>
      </w:r>
      <w:r>
        <w:rPr>
          <w:color w:val="0D0E0E"/>
          <w:spacing w:val="-11"/>
        </w:rPr>
        <w:t> </w:t>
      </w:r>
      <w:r>
        <w:rPr>
          <w:color w:val="0D0E0E"/>
        </w:rPr>
        <w:t>precisa</w:t>
      </w:r>
      <w:r>
        <w:rPr>
          <w:color w:val="0D0E0E"/>
          <w:spacing w:val="-9"/>
        </w:rPr>
        <w:t> </w:t>
      </w:r>
      <w:r>
        <w:rPr>
          <w:color w:val="0D0E0E"/>
        </w:rPr>
        <w:t>mostrar sinais</w:t>
      </w:r>
      <w:r>
        <w:rPr>
          <w:color w:val="0D0E0E"/>
          <w:spacing w:val="-13"/>
        </w:rPr>
        <w:t> </w:t>
      </w:r>
      <w:r>
        <w:rPr>
          <w:color w:val="0D0E0E"/>
        </w:rPr>
        <w:t>de</w:t>
      </w:r>
      <w:r>
        <w:rPr>
          <w:color w:val="0D0E0E"/>
          <w:spacing w:val="-12"/>
        </w:rPr>
        <w:t> </w:t>
      </w:r>
      <w:r>
        <w:rPr>
          <w:color w:val="0D0E0E"/>
        </w:rPr>
        <w:t>desaquecimento</w:t>
      </w:r>
      <w:r>
        <w:rPr>
          <w:color w:val="0D0E0E"/>
          <w:spacing w:val="-12"/>
        </w:rPr>
        <w:t> </w:t>
      </w:r>
      <w:r>
        <w:rPr>
          <w:color w:val="0D0E0E"/>
        </w:rPr>
        <w:t>para</w:t>
      </w:r>
      <w:r>
        <w:rPr>
          <w:color w:val="0D0E0E"/>
          <w:spacing w:val="-12"/>
        </w:rPr>
        <w:t> </w:t>
      </w:r>
      <w:r>
        <w:rPr>
          <w:color w:val="0D0E0E"/>
        </w:rPr>
        <w:t>que</w:t>
      </w:r>
      <w:r>
        <w:rPr>
          <w:color w:val="0D0E0E"/>
          <w:spacing w:val="-12"/>
        </w:rPr>
        <w:t> </w:t>
      </w:r>
      <w:r>
        <w:rPr>
          <w:color w:val="0D0E0E"/>
        </w:rPr>
        <w:t>o</w:t>
      </w:r>
      <w:r>
        <w:rPr>
          <w:color w:val="0D0E0E"/>
          <w:spacing w:val="-12"/>
        </w:rPr>
        <w:t> </w:t>
      </w:r>
      <w:r>
        <w:rPr>
          <w:color w:val="0D0E0E"/>
        </w:rPr>
        <w:t>ciclo</w:t>
      </w:r>
      <w:r>
        <w:rPr>
          <w:color w:val="0D0E0E"/>
          <w:spacing w:val="-14"/>
        </w:rPr>
        <w:t> </w:t>
      </w:r>
      <w:r>
        <w:rPr>
          <w:color w:val="0D0E0E"/>
        </w:rPr>
        <w:t>de</w:t>
      </w:r>
      <w:r>
        <w:rPr>
          <w:color w:val="0D0E0E"/>
          <w:spacing w:val="-11"/>
        </w:rPr>
        <w:t> </w:t>
      </w:r>
      <w:r>
        <w:rPr>
          <w:color w:val="0D0E0E"/>
        </w:rPr>
        <w:t>alta</w:t>
      </w:r>
      <w:r>
        <w:rPr>
          <w:color w:val="0D0E0E"/>
          <w:spacing w:val="-12"/>
        </w:rPr>
        <w:t> </w:t>
      </w:r>
      <w:r>
        <w:rPr>
          <w:color w:val="0D0E0E"/>
        </w:rPr>
        <w:t>dos</w:t>
      </w:r>
      <w:r>
        <w:rPr>
          <w:color w:val="0D0E0E"/>
          <w:spacing w:val="-12"/>
        </w:rPr>
        <w:t> </w:t>
      </w:r>
      <w:r>
        <w:rPr>
          <w:color w:val="0D0E0E"/>
        </w:rPr>
        <w:t>juros</w:t>
      </w:r>
      <w:r>
        <w:rPr>
          <w:color w:val="0D0E0E"/>
          <w:spacing w:val="-12"/>
        </w:rPr>
        <w:t> </w:t>
      </w:r>
      <w:r>
        <w:rPr>
          <w:color w:val="0D0E0E"/>
        </w:rPr>
        <w:t>se</w:t>
      </w:r>
      <w:r>
        <w:rPr>
          <w:color w:val="0D0E0E"/>
          <w:spacing w:val="-12"/>
        </w:rPr>
        <w:t> </w:t>
      </w:r>
      <w:r>
        <w:rPr>
          <w:color w:val="0D0E0E"/>
        </w:rPr>
        <w:t>encerre.</w:t>
      </w:r>
      <w:r>
        <w:rPr>
          <w:color w:val="0D0E0E"/>
          <w:spacing w:val="-11"/>
        </w:rPr>
        <w:t> </w:t>
      </w:r>
      <w:r>
        <w:rPr>
          <w:color w:val="0D0E0E"/>
        </w:rPr>
        <w:t>Os</w:t>
      </w:r>
      <w:r>
        <w:rPr>
          <w:color w:val="0D0E0E"/>
          <w:spacing w:val="-13"/>
        </w:rPr>
        <w:t> </w:t>
      </w:r>
      <w:r>
        <w:rPr>
          <w:color w:val="0D0E0E"/>
        </w:rPr>
        <w:t>dois</w:t>
      </w:r>
      <w:r>
        <w:rPr>
          <w:color w:val="0D0E0E"/>
          <w:spacing w:val="-12"/>
        </w:rPr>
        <w:t> </w:t>
      </w:r>
      <w:r>
        <w:rPr>
          <w:color w:val="0D0E0E"/>
        </w:rPr>
        <w:t>principais indicadores para avaliar o mercado de trabalho são o </w:t>
      </w:r>
      <w:r>
        <w:rPr>
          <w:i/>
          <w:color w:val="0D0E0E"/>
        </w:rPr>
        <w:t>Nonfarm Payroll </w:t>
      </w:r>
      <w:r>
        <w:rPr>
          <w:color w:val="0D0E0E"/>
        </w:rPr>
        <w:t>e o relatório </w:t>
      </w:r>
      <w:r>
        <w:rPr>
          <w:color w:val="0D0E0E"/>
          <w:spacing w:val="-2"/>
        </w:rPr>
        <w:t>“JOLTS”.</w:t>
      </w:r>
    </w:p>
    <w:p>
      <w:pPr>
        <w:pStyle w:val="BodyText"/>
        <w:spacing w:before="243"/>
        <w:ind w:left="184" w:right="1251" w:firstLine="707"/>
        <w:jc w:val="both"/>
      </w:pPr>
      <w:r>
        <w:rPr>
          <w:color w:val="0D0E0E"/>
        </w:rPr>
        <w:t>O </w:t>
      </w:r>
      <w:r>
        <w:rPr>
          <w:i/>
          <w:color w:val="0D0E0E"/>
        </w:rPr>
        <w:t>Nonfarm Payroll </w:t>
      </w:r>
      <w:r>
        <w:rPr>
          <w:color w:val="0D0E0E"/>
        </w:rPr>
        <w:t>é um relatório mensal dos EUA que fornece dados sobre o número de empregos não agrícolas criados no mês anterior, incluindo a taxa de desemprego.</w:t>
      </w:r>
      <w:r>
        <w:rPr>
          <w:color w:val="0D0E0E"/>
          <w:spacing w:val="-4"/>
        </w:rPr>
        <w:t> </w:t>
      </w:r>
      <w:r>
        <w:rPr>
          <w:color w:val="0D0E0E"/>
        </w:rPr>
        <w:t>Após</w:t>
      </w:r>
      <w:r>
        <w:rPr>
          <w:color w:val="0D0E0E"/>
          <w:spacing w:val="-5"/>
        </w:rPr>
        <w:t> </w:t>
      </w:r>
      <w:r>
        <w:rPr>
          <w:color w:val="0D0E0E"/>
        </w:rPr>
        <w:t>o</w:t>
      </w:r>
      <w:r>
        <w:rPr>
          <w:color w:val="0D0E0E"/>
          <w:spacing w:val="-5"/>
        </w:rPr>
        <w:t> </w:t>
      </w:r>
      <w:r>
        <w:rPr>
          <w:color w:val="0D0E0E"/>
        </w:rPr>
        <w:t>mês</w:t>
      </w:r>
      <w:r>
        <w:rPr>
          <w:color w:val="0D0E0E"/>
          <w:spacing w:val="-5"/>
        </w:rPr>
        <w:t> </w:t>
      </w:r>
      <w:r>
        <w:rPr>
          <w:color w:val="0D0E0E"/>
        </w:rPr>
        <w:t>de</w:t>
      </w:r>
      <w:r>
        <w:rPr>
          <w:color w:val="0D0E0E"/>
          <w:spacing w:val="-3"/>
        </w:rPr>
        <w:t> </w:t>
      </w:r>
      <w:r>
        <w:rPr>
          <w:color w:val="0D0E0E"/>
        </w:rPr>
        <w:t>outubro</w:t>
      </w:r>
      <w:r>
        <w:rPr>
          <w:color w:val="0D0E0E"/>
          <w:spacing w:val="-5"/>
        </w:rPr>
        <w:t> </w:t>
      </w:r>
      <w:r>
        <w:rPr>
          <w:color w:val="0D0E0E"/>
        </w:rPr>
        <w:t>trazer</w:t>
      </w:r>
      <w:r>
        <w:rPr>
          <w:color w:val="0D0E0E"/>
          <w:spacing w:val="-5"/>
        </w:rPr>
        <w:t> </w:t>
      </w:r>
      <w:r>
        <w:rPr>
          <w:color w:val="0D0E0E"/>
        </w:rPr>
        <w:t>dados</w:t>
      </w:r>
      <w:r>
        <w:rPr>
          <w:color w:val="0D0E0E"/>
          <w:spacing w:val="-5"/>
        </w:rPr>
        <w:t> </w:t>
      </w:r>
      <w:r>
        <w:rPr>
          <w:color w:val="0D0E0E"/>
        </w:rPr>
        <w:t>abaixo</w:t>
      </w:r>
      <w:r>
        <w:rPr>
          <w:color w:val="0D0E0E"/>
          <w:spacing w:val="-5"/>
        </w:rPr>
        <w:t> </w:t>
      </w:r>
      <w:r>
        <w:rPr>
          <w:color w:val="0D0E0E"/>
        </w:rPr>
        <w:t>do</w:t>
      </w:r>
      <w:r>
        <w:rPr>
          <w:color w:val="0D0E0E"/>
          <w:spacing w:val="-8"/>
        </w:rPr>
        <w:t> </w:t>
      </w:r>
      <w:r>
        <w:rPr>
          <w:color w:val="0D0E0E"/>
        </w:rPr>
        <w:t>esperado,</w:t>
      </w:r>
      <w:r>
        <w:rPr>
          <w:color w:val="0D0E0E"/>
          <w:spacing w:val="-6"/>
        </w:rPr>
        <w:t> </w:t>
      </w:r>
      <w:r>
        <w:rPr>
          <w:color w:val="0D0E0E"/>
        </w:rPr>
        <w:t>a</w:t>
      </w:r>
      <w:r>
        <w:rPr>
          <w:color w:val="0D0E0E"/>
          <w:spacing w:val="-2"/>
        </w:rPr>
        <w:t> </w:t>
      </w:r>
      <w:r>
        <w:rPr>
          <w:color w:val="0D0E0E"/>
        </w:rPr>
        <w:t>geração</w:t>
      </w:r>
      <w:r>
        <w:rPr>
          <w:color w:val="0D0E0E"/>
          <w:spacing w:val="-5"/>
        </w:rPr>
        <w:t> </w:t>
      </w:r>
      <w:r>
        <w:rPr>
          <w:color w:val="0D0E0E"/>
        </w:rPr>
        <w:t>liquida de</w:t>
      </w:r>
      <w:r>
        <w:rPr>
          <w:color w:val="0D0E0E"/>
          <w:spacing w:val="-9"/>
        </w:rPr>
        <w:t> </w:t>
      </w:r>
      <w:r>
        <w:rPr>
          <w:color w:val="0D0E0E"/>
        </w:rPr>
        <w:t>empregos</w:t>
      </w:r>
      <w:r>
        <w:rPr>
          <w:color w:val="0D0E0E"/>
          <w:spacing w:val="-10"/>
        </w:rPr>
        <w:t> </w:t>
      </w:r>
      <w:r>
        <w:rPr>
          <w:color w:val="0D0E0E"/>
        </w:rPr>
        <w:t>ficou</w:t>
      </w:r>
      <w:r>
        <w:rPr>
          <w:color w:val="0D0E0E"/>
          <w:spacing w:val="-10"/>
        </w:rPr>
        <w:t> </w:t>
      </w:r>
      <w:r>
        <w:rPr>
          <w:color w:val="0D0E0E"/>
        </w:rPr>
        <w:t>em</w:t>
      </w:r>
      <w:r>
        <w:rPr>
          <w:color w:val="0D0E0E"/>
          <w:spacing w:val="-10"/>
        </w:rPr>
        <w:t> </w:t>
      </w:r>
      <w:r>
        <w:rPr>
          <w:color w:val="0D0E0E"/>
        </w:rPr>
        <w:t>199</w:t>
      </w:r>
      <w:r>
        <w:rPr>
          <w:color w:val="0D0E0E"/>
          <w:spacing w:val="-11"/>
        </w:rPr>
        <w:t> </w:t>
      </w:r>
      <w:r>
        <w:rPr>
          <w:color w:val="0D0E0E"/>
        </w:rPr>
        <w:t>mil</w:t>
      </w:r>
      <w:r>
        <w:rPr>
          <w:color w:val="0D0E0E"/>
          <w:spacing w:val="-10"/>
        </w:rPr>
        <w:t> </w:t>
      </w:r>
      <w:r>
        <w:rPr>
          <w:color w:val="0D0E0E"/>
        </w:rPr>
        <w:t>em</w:t>
      </w:r>
      <w:r>
        <w:rPr>
          <w:color w:val="0D0E0E"/>
          <w:spacing w:val="-10"/>
        </w:rPr>
        <w:t> </w:t>
      </w:r>
      <w:r>
        <w:rPr>
          <w:color w:val="0D0E0E"/>
        </w:rPr>
        <w:t>novembro,</w:t>
      </w:r>
      <w:r>
        <w:rPr>
          <w:color w:val="0D0E0E"/>
          <w:spacing w:val="-9"/>
        </w:rPr>
        <w:t> </w:t>
      </w:r>
      <w:r>
        <w:rPr>
          <w:color w:val="0D0E0E"/>
        </w:rPr>
        <w:t>acima</w:t>
      </w:r>
      <w:r>
        <w:rPr>
          <w:color w:val="0D0E0E"/>
          <w:spacing w:val="-9"/>
        </w:rPr>
        <w:t> </w:t>
      </w:r>
      <w:r>
        <w:rPr>
          <w:color w:val="0D0E0E"/>
        </w:rPr>
        <w:t>das</w:t>
      </w:r>
      <w:r>
        <w:rPr>
          <w:color w:val="0D0E0E"/>
          <w:spacing w:val="-12"/>
        </w:rPr>
        <w:t> </w:t>
      </w:r>
      <w:r>
        <w:rPr>
          <w:color w:val="0D0E0E"/>
        </w:rPr>
        <w:t>expectativas</w:t>
      </w:r>
      <w:r>
        <w:rPr>
          <w:color w:val="0D0E0E"/>
          <w:spacing w:val="-12"/>
        </w:rPr>
        <w:t> </w:t>
      </w:r>
      <w:r>
        <w:rPr>
          <w:color w:val="0D0E0E"/>
        </w:rPr>
        <w:t>do</w:t>
      </w:r>
      <w:r>
        <w:rPr>
          <w:color w:val="0D0E0E"/>
          <w:spacing w:val="-12"/>
        </w:rPr>
        <w:t> </w:t>
      </w:r>
      <w:r>
        <w:rPr>
          <w:color w:val="0D0E0E"/>
        </w:rPr>
        <w:t>mercado</w:t>
      </w:r>
      <w:r>
        <w:rPr>
          <w:color w:val="0D0E0E"/>
          <w:spacing w:val="-10"/>
        </w:rPr>
        <w:t> </w:t>
      </w:r>
      <w:r>
        <w:rPr>
          <w:color w:val="0D0E0E"/>
        </w:rPr>
        <w:t>de</w:t>
      </w:r>
      <w:r>
        <w:rPr>
          <w:color w:val="0D0E0E"/>
          <w:spacing w:val="-12"/>
        </w:rPr>
        <w:t> </w:t>
      </w:r>
      <w:r>
        <w:rPr>
          <w:color w:val="0D0E0E"/>
        </w:rPr>
        <w:t>185 mil,</w:t>
      </w:r>
      <w:r>
        <w:rPr>
          <w:color w:val="0D0E0E"/>
          <w:spacing w:val="-3"/>
        </w:rPr>
        <w:t> </w:t>
      </w:r>
      <w:r>
        <w:rPr>
          <w:color w:val="0D0E0E"/>
        </w:rPr>
        <w:t>enquanto</w:t>
      </w:r>
      <w:r>
        <w:rPr>
          <w:color w:val="0D0E0E"/>
          <w:spacing w:val="-4"/>
        </w:rPr>
        <w:t> </w:t>
      </w:r>
      <w:r>
        <w:rPr>
          <w:color w:val="0D0E0E"/>
        </w:rPr>
        <w:t>a</w:t>
      </w:r>
      <w:r>
        <w:rPr>
          <w:color w:val="0D0E0E"/>
          <w:spacing w:val="-4"/>
        </w:rPr>
        <w:t> </w:t>
      </w:r>
      <w:r>
        <w:rPr>
          <w:color w:val="0D0E0E"/>
        </w:rPr>
        <w:t>taxa</w:t>
      </w:r>
      <w:r>
        <w:rPr>
          <w:color w:val="0D0E0E"/>
          <w:spacing w:val="-4"/>
        </w:rPr>
        <w:t> </w:t>
      </w:r>
      <w:r>
        <w:rPr>
          <w:color w:val="0D0E0E"/>
        </w:rPr>
        <w:t>de</w:t>
      </w:r>
      <w:r>
        <w:rPr>
          <w:color w:val="0D0E0E"/>
          <w:spacing w:val="-3"/>
        </w:rPr>
        <w:t> </w:t>
      </w:r>
      <w:r>
        <w:rPr>
          <w:color w:val="0D0E0E"/>
        </w:rPr>
        <w:t>desemprego,</w:t>
      </w:r>
      <w:r>
        <w:rPr>
          <w:color w:val="0D0E0E"/>
          <w:spacing w:val="-3"/>
        </w:rPr>
        <w:t> </w:t>
      </w:r>
      <w:r>
        <w:rPr>
          <w:color w:val="0D0E0E"/>
        </w:rPr>
        <w:t>que</w:t>
      </w:r>
      <w:r>
        <w:rPr>
          <w:color w:val="0D0E0E"/>
          <w:spacing w:val="-4"/>
        </w:rPr>
        <w:t> </w:t>
      </w:r>
      <w:r>
        <w:rPr>
          <w:color w:val="0D0E0E"/>
        </w:rPr>
        <w:t>já</w:t>
      </w:r>
      <w:r>
        <w:rPr>
          <w:color w:val="0D0E0E"/>
          <w:spacing w:val="-4"/>
        </w:rPr>
        <w:t> </w:t>
      </w:r>
      <w:r>
        <w:rPr>
          <w:color w:val="0D0E0E"/>
        </w:rPr>
        <w:t>se</w:t>
      </w:r>
      <w:r>
        <w:rPr>
          <w:color w:val="0D0E0E"/>
          <w:spacing w:val="-3"/>
        </w:rPr>
        <w:t> </w:t>
      </w:r>
      <w:r>
        <w:rPr>
          <w:color w:val="0D0E0E"/>
        </w:rPr>
        <w:t>encontrava</w:t>
      </w:r>
      <w:r>
        <w:rPr>
          <w:color w:val="0D0E0E"/>
          <w:spacing w:val="-4"/>
        </w:rPr>
        <w:t> </w:t>
      </w:r>
      <w:r>
        <w:rPr>
          <w:color w:val="0D0E0E"/>
        </w:rPr>
        <w:t>em</w:t>
      </w:r>
      <w:r>
        <w:rPr>
          <w:color w:val="0D0E0E"/>
          <w:spacing w:val="-4"/>
        </w:rPr>
        <w:t> </w:t>
      </w:r>
      <w:r>
        <w:rPr>
          <w:color w:val="0D0E0E"/>
        </w:rPr>
        <w:t>patamares</w:t>
      </w:r>
      <w:r>
        <w:rPr>
          <w:color w:val="0D0E0E"/>
          <w:spacing w:val="-4"/>
        </w:rPr>
        <w:t> </w:t>
      </w:r>
      <w:r>
        <w:rPr>
          <w:color w:val="0D0E0E"/>
        </w:rPr>
        <w:t>baixos,</w:t>
      </w:r>
      <w:r>
        <w:rPr>
          <w:color w:val="0D0E0E"/>
          <w:spacing w:val="-3"/>
        </w:rPr>
        <w:t> </w:t>
      </w:r>
      <w:r>
        <w:rPr>
          <w:color w:val="0D0E0E"/>
        </w:rPr>
        <w:t>caiu</w:t>
      </w:r>
      <w:r>
        <w:rPr>
          <w:color w:val="0D0E0E"/>
          <w:spacing w:val="-4"/>
        </w:rPr>
        <w:t> </w:t>
      </w:r>
      <w:r>
        <w:rPr>
          <w:color w:val="0D0E0E"/>
        </w:rPr>
        <w:t>de 3,9% para 3,7%. Já o</w:t>
      </w:r>
      <w:r>
        <w:rPr>
          <w:color w:val="0D0E0E"/>
          <w:spacing w:val="-1"/>
        </w:rPr>
        <w:t> </w:t>
      </w:r>
      <w:r>
        <w:rPr>
          <w:color w:val="0D0E0E"/>
        </w:rPr>
        <w:t>salário</w:t>
      </w:r>
      <w:r>
        <w:rPr>
          <w:color w:val="0D0E0E"/>
          <w:spacing w:val="-1"/>
        </w:rPr>
        <w:t> </w:t>
      </w:r>
      <w:r>
        <w:rPr>
          <w:color w:val="0D0E0E"/>
        </w:rPr>
        <w:t>médio avançou</w:t>
      </w:r>
      <w:r>
        <w:rPr>
          <w:color w:val="0D0E0E"/>
          <w:spacing w:val="-1"/>
        </w:rPr>
        <w:t> </w:t>
      </w:r>
      <w:r>
        <w:rPr>
          <w:color w:val="0D0E0E"/>
        </w:rPr>
        <w:t>0,4% m/m</w:t>
      </w:r>
      <w:r>
        <w:rPr>
          <w:color w:val="0D0E0E"/>
          <w:spacing w:val="-1"/>
        </w:rPr>
        <w:t> </w:t>
      </w:r>
      <w:r>
        <w:rPr>
          <w:color w:val="0D0E0E"/>
        </w:rPr>
        <w:t>em outubro, também acima das </w:t>
      </w:r>
      <w:r>
        <w:rPr>
          <w:color w:val="0D0E0E"/>
          <w:spacing w:val="-2"/>
        </w:rPr>
        <w:t>expectativas.</w:t>
      </w:r>
    </w:p>
    <w:p>
      <w:pPr>
        <w:pStyle w:val="Heading4"/>
        <w:spacing w:before="238"/>
        <w:ind w:left="715"/>
      </w:pPr>
      <w:r>
        <w:rPr>
          <w:color w:val="0D0E0E"/>
        </w:rPr>
        <w:t>Criação</w:t>
      </w:r>
      <w:r>
        <w:rPr>
          <w:color w:val="0D0E0E"/>
          <w:spacing w:val="-6"/>
        </w:rPr>
        <w:t> </w:t>
      </w:r>
      <w:r>
        <w:rPr>
          <w:color w:val="0D0E0E"/>
        </w:rPr>
        <w:t>Novos</w:t>
      </w:r>
      <w:r>
        <w:rPr>
          <w:color w:val="0D0E0E"/>
          <w:spacing w:val="-3"/>
        </w:rPr>
        <w:t> </w:t>
      </w:r>
      <w:r>
        <w:rPr>
          <w:color w:val="0D0E0E"/>
        </w:rPr>
        <w:t>Empregos</w:t>
      </w:r>
      <w:r>
        <w:rPr>
          <w:color w:val="0D0E0E"/>
          <w:spacing w:val="-4"/>
        </w:rPr>
        <w:t> </w:t>
      </w:r>
      <w:r>
        <w:rPr>
          <w:color w:val="0D0E0E"/>
        </w:rPr>
        <w:t>(Nonfarm</w:t>
      </w:r>
      <w:r>
        <w:rPr>
          <w:color w:val="0D0E0E"/>
          <w:spacing w:val="-4"/>
        </w:rPr>
        <w:t> </w:t>
      </w:r>
      <w:r>
        <w:rPr>
          <w:color w:val="0D0E0E"/>
        </w:rPr>
        <w:t>Payroll)</w:t>
      </w:r>
      <w:r>
        <w:rPr>
          <w:color w:val="0D0E0E"/>
          <w:spacing w:val="-3"/>
        </w:rPr>
        <w:t> </w:t>
      </w:r>
      <w:r>
        <w:rPr>
          <w:color w:val="0D0E0E"/>
        </w:rPr>
        <w:t>-</w:t>
      </w:r>
      <w:r>
        <w:rPr>
          <w:color w:val="0D0E0E"/>
          <w:spacing w:val="-3"/>
        </w:rPr>
        <w:t> </w:t>
      </w:r>
      <w:r>
        <w:rPr>
          <w:color w:val="0D0E0E"/>
          <w:spacing w:val="-5"/>
        </w:rPr>
        <w:t>EUA</w:t>
      </w:r>
    </w:p>
    <w:p>
      <w:pPr>
        <w:pStyle w:val="BodyText"/>
        <w:spacing w:before="1"/>
        <w:rPr>
          <w:b/>
          <w:sz w:val="18"/>
        </w:rPr>
      </w:pPr>
      <w:r>
        <w:rPr>
          <w:b/>
          <w:sz w:val="18"/>
        </w:rPr>
        <w:drawing>
          <wp:anchor distT="0" distB="0" distL="0" distR="0" allowOverlap="1" layoutInCell="1" locked="0" behindDoc="1" simplePos="0" relativeHeight="487588352">
            <wp:simplePos x="0" y="0"/>
            <wp:positionH relativeFrom="page">
              <wp:posOffset>1016000</wp:posOffset>
            </wp:positionH>
            <wp:positionV relativeFrom="paragraph">
              <wp:posOffset>150022</wp:posOffset>
            </wp:positionV>
            <wp:extent cx="5640169" cy="255231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640169" cy="2552319"/>
                    </a:xfrm>
                    <a:prstGeom prst="rect">
                      <a:avLst/>
                    </a:prstGeom>
                  </pic:spPr>
                </pic:pic>
              </a:graphicData>
            </a:graphic>
          </wp:anchor>
        </w:drawing>
      </w:r>
    </w:p>
    <w:p>
      <w:pPr>
        <w:spacing w:before="16"/>
        <w:ind w:left="708" w:right="1073" w:firstLine="0"/>
        <w:jc w:val="center"/>
        <w:rPr>
          <w:rFonts w:ascii="Calibri"/>
          <w:i/>
          <w:sz w:val="20"/>
        </w:rPr>
      </w:pPr>
      <w:r>
        <w:rPr>
          <w:rFonts w:ascii="Calibri"/>
          <w:i/>
          <w:color w:val="0D0E0E"/>
          <w:spacing w:val="-2"/>
          <w:sz w:val="20"/>
        </w:rPr>
        <w:t>https://tradingeconomics.com/united-states/non-farm-payrolls</w:t>
      </w:r>
    </w:p>
    <w:p>
      <w:pPr>
        <w:pStyle w:val="BodyText"/>
        <w:spacing w:before="237"/>
        <w:ind w:left="184" w:right="1254" w:firstLine="707"/>
        <w:jc w:val="both"/>
      </w:pPr>
      <w:r>
        <w:rPr>
          <w:color w:val="0D0E0E"/>
        </w:rPr>
        <w:t>Por sua vez o relatório JOLTS, responsável por informar o número de vagas abertas,</w:t>
      </w:r>
      <w:r>
        <w:rPr>
          <w:color w:val="0D0E0E"/>
          <w:spacing w:val="-8"/>
        </w:rPr>
        <w:t> </w:t>
      </w:r>
      <w:r>
        <w:rPr>
          <w:color w:val="0D0E0E"/>
        </w:rPr>
        <w:t>foi</w:t>
      </w:r>
      <w:r>
        <w:rPr>
          <w:color w:val="0D0E0E"/>
          <w:spacing w:val="-9"/>
        </w:rPr>
        <w:t> </w:t>
      </w:r>
      <w:r>
        <w:rPr>
          <w:color w:val="0D0E0E"/>
        </w:rPr>
        <w:t>positivo,</w:t>
      </w:r>
      <w:r>
        <w:rPr>
          <w:color w:val="0D0E0E"/>
          <w:spacing w:val="-9"/>
        </w:rPr>
        <w:t> </w:t>
      </w:r>
      <w:r>
        <w:rPr>
          <w:color w:val="0D0E0E"/>
        </w:rPr>
        <w:t>pois</w:t>
      </w:r>
      <w:r>
        <w:rPr>
          <w:color w:val="0D0E0E"/>
          <w:spacing w:val="-8"/>
        </w:rPr>
        <w:t> </w:t>
      </w:r>
      <w:r>
        <w:rPr>
          <w:color w:val="0D0E0E"/>
        </w:rPr>
        <w:t>mostrou</w:t>
      </w:r>
      <w:r>
        <w:rPr>
          <w:color w:val="0D0E0E"/>
          <w:spacing w:val="-10"/>
        </w:rPr>
        <w:t> </w:t>
      </w:r>
      <w:r>
        <w:rPr>
          <w:color w:val="0D0E0E"/>
        </w:rPr>
        <w:t>que</w:t>
      </w:r>
      <w:r>
        <w:rPr>
          <w:color w:val="0D0E0E"/>
          <w:spacing w:val="-10"/>
        </w:rPr>
        <w:t> </w:t>
      </w:r>
      <w:r>
        <w:rPr>
          <w:color w:val="0D0E0E"/>
        </w:rPr>
        <w:t>o</w:t>
      </w:r>
      <w:r>
        <w:rPr>
          <w:color w:val="0D0E0E"/>
          <w:spacing w:val="-10"/>
        </w:rPr>
        <w:t> </w:t>
      </w:r>
      <w:r>
        <w:rPr>
          <w:color w:val="0D0E0E"/>
        </w:rPr>
        <w:t>mercado</w:t>
      </w:r>
      <w:r>
        <w:rPr>
          <w:color w:val="0D0E0E"/>
          <w:spacing w:val="-10"/>
        </w:rPr>
        <w:t> </w:t>
      </w:r>
      <w:r>
        <w:rPr>
          <w:color w:val="0D0E0E"/>
        </w:rPr>
        <w:t>de</w:t>
      </w:r>
      <w:r>
        <w:rPr>
          <w:color w:val="0D0E0E"/>
          <w:spacing w:val="-9"/>
        </w:rPr>
        <w:t> </w:t>
      </w:r>
      <w:r>
        <w:rPr>
          <w:color w:val="0D0E0E"/>
        </w:rPr>
        <w:t>trabalho</w:t>
      </w:r>
      <w:r>
        <w:rPr>
          <w:color w:val="0D0E0E"/>
          <w:spacing w:val="-10"/>
        </w:rPr>
        <w:t> </w:t>
      </w:r>
      <w:r>
        <w:rPr>
          <w:color w:val="0D0E0E"/>
        </w:rPr>
        <w:t>está</w:t>
      </w:r>
      <w:r>
        <w:rPr>
          <w:color w:val="0D0E0E"/>
          <w:spacing w:val="-9"/>
        </w:rPr>
        <w:t> </w:t>
      </w:r>
      <w:r>
        <w:rPr>
          <w:color w:val="0D0E0E"/>
        </w:rPr>
        <w:t>se</w:t>
      </w:r>
      <w:r>
        <w:rPr>
          <w:color w:val="0D0E0E"/>
          <w:spacing w:val="-9"/>
        </w:rPr>
        <w:t> </w:t>
      </w:r>
      <w:r>
        <w:rPr>
          <w:color w:val="0D0E0E"/>
        </w:rPr>
        <w:t>reequilibrando</w:t>
      </w:r>
      <w:r>
        <w:rPr>
          <w:color w:val="0D0E0E"/>
          <w:spacing w:val="-10"/>
        </w:rPr>
        <w:t> </w:t>
      </w:r>
      <w:r>
        <w:rPr>
          <w:color w:val="0D0E0E"/>
        </w:rPr>
        <w:t>aos poucos.</w:t>
      </w:r>
      <w:r>
        <w:rPr>
          <w:color w:val="0D0E0E"/>
          <w:spacing w:val="-2"/>
        </w:rPr>
        <w:t> </w:t>
      </w:r>
      <w:r>
        <w:rPr>
          <w:color w:val="0D0E0E"/>
        </w:rPr>
        <w:t>O</w:t>
      </w:r>
      <w:r>
        <w:rPr>
          <w:color w:val="0D0E0E"/>
          <w:spacing w:val="-2"/>
        </w:rPr>
        <w:t> </w:t>
      </w:r>
      <w:r>
        <w:rPr>
          <w:color w:val="0D0E0E"/>
        </w:rPr>
        <w:t>relatório</w:t>
      </w:r>
      <w:r>
        <w:rPr>
          <w:color w:val="0D0E0E"/>
          <w:spacing w:val="-1"/>
        </w:rPr>
        <w:t> </w:t>
      </w:r>
      <w:r>
        <w:rPr>
          <w:color w:val="0D0E0E"/>
        </w:rPr>
        <w:t>mostrou</w:t>
      </w:r>
      <w:r>
        <w:rPr>
          <w:color w:val="0D0E0E"/>
          <w:spacing w:val="-2"/>
        </w:rPr>
        <w:t> </w:t>
      </w:r>
      <w:r>
        <w:rPr>
          <w:color w:val="0D0E0E"/>
        </w:rPr>
        <w:t>queda</w:t>
      </w:r>
      <w:r>
        <w:rPr>
          <w:color w:val="0D0E0E"/>
          <w:spacing w:val="-2"/>
        </w:rPr>
        <w:t> </w:t>
      </w:r>
      <w:r>
        <w:rPr>
          <w:color w:val="0D0E0E"/>
        </w:rPr>
        <w:t>de</w:t>
      </w:r>
      <w:r>
        <w:rPr>
          <w:color w:val="0D0E0E"/>
          <w:spacing w:val="-1"/>
        </w:rPr>
        <w:t> </w:t>
      </w:r>
      <w:r>
        <w:rPr>
          <w:color w:val="0D0E0E"/>
        </w:rPr>
        <w:t>vagas</w:t>
      </w:r>
      <w:r>
        <w:rPr>
          <w:color w:val="0D0E0E"/>
          <w:spacing w:val="-1"/>
        </w:rPr>
        <w:t> </w:t>
      </w:r>
      <w:r>
        <w:rPr>
          <w:color w:val="0D0E0E"/>
        </w:rPr>
        <w:t>abertas</w:t>
      </w:r>
      <w:r>
        <w:rPr>
          <w:color w:val="0D0E0E"/>
          <w:spacing w:val="-1"/>
        </w:rPr>
        <w:t> </w:t>
      </w:r>
      <w:r>
        <w:rPr>
          <w:color w:val="0D0E0E"/>
        </w:rPr>
        <w:t>de</w:t>
      </w:r>
      <w:r>
        <w:rPr>
          <w:color w:val="0D0E0E"/>
          <w:spacing w:val="-1"/>
        </w:rPr>
        <w:t> </w:t>
      </w:r>
      <w:r>
        <w:rPr>
          <w:color w:val="0D0E0E"/>
        </w:rPr>
        <w:t>9,35</w:t>
      </w:r>
      <w:r>
        <w:rPr>
          <w:color w:val="0D0E0E"/>
          <w:spacing w:val="-3"/>
        </w:rPr>
        <w:t> </w:t>
      </w:r>
      <w:r>
        <w:rPr>
          <w:color w:val="0D0E0E"/>
        </w:rPr>
        <w:t>milhões</w:t>
      </w:r>
      <w:r>
        <w:rPr>
          <w:color w:val="0D0E0E"/>
          <w:spacing w:val="-1"/>
        </w:rPr>
        <w:t> </w:t>
      </w:r>
      <w:r>
        <w:rPr>
          <w:color w:val="0D0E0E"/>
        </w:rPr>
        <w:t>para</w:t>
      </w:r>
      <w:r>
        <w:rPr>
          <w:color w:val="0D0E0E"/>
          <w:spacing w:val="-2"/>
        </w:rPr>
        <w:t> </w:t>
      </w:r>
      <w:r>
        <w:rPr>
          <w:color w:val="0D0E0E"/>
        </w:rPr>
        <w:t>8,73</w:t>
      </w:r>
      <w:r>
        <w:rPr>
          <w:color w:val="0D0E0E"/>
          <w:spacing w:val="-2"/>
        </w:rPr>
        <w:t> </w:t>
      </w:r>
      <w:r>
        <w:rPr>
          <w:color w:val="0D0E0E"/>
        </w:rPr>
        <w:t>milhões, o que sugere que o excesso de demanda por trabalhadores está diminuindo.</w:t>
      </w:r>
    </w:p>
    <w:p>
      <w:pPr>
        <w:pStyle w:val="BodyText"/>
      </w:pPr>
    </w:p>
    <w:p>
      <w:pPr>
        <w:pStyle w:val="BodyText"/>
        <w:spacing w:before="210"/>
      </w:pPr>
    </w:p>
    <w:p>
      <w:pPr>
        <w:pStyle w:val="Heading4"/>
        <w:spacing w:before="0"/>
        <w:ind w:left="714"/>
      </w:pPr>
      <w:r>
        <w:rPr>
          <w:color w:val="0D0E0E"/>
        </w:rPr>
        <w:t>Vagas</w:t>
      </w:r>
      <w:r>
        <w:rPr>
          <w:color w:val="0D0E0E"/>
          <w:spacing w:val="-4"/>
        </w:rPr>
        <w:t> </w:t>
      </w:r>
      <w:r>
        <w:rPr>
          <w:color w:val="0D0E0E"/>
        </w:rPr>
        <w:t>abertas</w:t>
      </w:r>
      <w:r>
        <w:rPr>
          <w:color w:val="0D0E0E"/>
          <w:spacing w:val="-3"/>
        </w:rPr>
        <w:t> </w:t>
      </w:r>
      <w:r>
        <w:rPr>
          <w:color w:val="0D0E0E"/>
        </w:rPr>
        <w:t>(JOLTS)</w:t>
      </w:r>
      <w:r>
        <w:rPr>
          <w:color w:val="0D0E0E"/>
          <w:spacing w:val="-5"/>
        </w:rPr>
        <w:t> </w:t>
      </w:r>
      <w:r>
        <w:rPr>
          <w:color w:val="0D0E0E"/>
        </w:rPr>
        <w:t>-</w:t>
      </w:r>
      <w:r>
        <w:rPr>
          <w:color w:val="0D0E0E"/>
          <w:spacing w:val="-2"/>
        </w:rPr>
        <w:t> </w:t>
      </w:r>
      <w:r>
        <w:rPr>
          <w:color w:val="0D0E0E"/>
          <w:spacing w:val="-5"/>
        </w:rPr>
        <w:t>EUA</w:t>
      </w:r>
    </w:p>
    <w:p>
      <w:pPr>
        <w:pStyle w:val="Heading4"/>
        <w:spacing w:after="0"/>
        <w:sectPr>
          <w:pgSz w:w="11920" w:h="16850"/>
          <w:pgMar w:top="1280" w:bottom="280" w:left="1417" w:right="141"/>
        </w:sectPr>
      </w:pPr>
    </w:p>
    <w:p>
      <w:pPr>
        <w:pStyle w:val="BodyText"/>
        <w:ind w:left="183"/>
        <w:rPr>
          <w:sz w:val="20"/>
        </w:rPr>
      </w:pPr>
      <w:r>
        <w:rPr>
          <w:sz w:val="20"/>
        </w:rPr>
        <w:drawing>
          <wp:inline distT="0" distB="0" distL="0" distR="0">
            <wp:extent cx="5639105" cy="2502598"/>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639105" cy="2502598"/>
                    </a:xfrm>
                    <a:prstGeom prst="rect">
                      <a:avLst/>
                    </a:prstGeom>
                  </pic:spPr>
                </pic:pic>
              </a:graphicData>
            </a:graphic>
          </wp:inline>
        </w:drawing>
      </w:r>
      <w:r>
        <w:rPr>
          <w:sz w:val="20"/>
        </w:rPr>
      </w:r>
    </w:p>
    <w:p>
      <w:pPr>
        <w:spacing w:before="20"/>
        <w:ind w:left="2407" w:right="0" w:firstLine="0"/>
        <w:jc w:val="left"/>
        <w:rPr>
          <w:rFonts w:ascii="Calibri"/>
          <w:i/>
          <w:sz w:val="20"/>
        </w:rPr>
      </w:pPr>
      <w:r>
        <w:rPr>
          <w:rFonts w:ascii="Calibri"/>
          <w:i/>
          <w:color w:val="0D0E0E"/>
          <w:spacing w:val="-2"/>
          <w:sz w:val="20"/>
        </w:rPr>
        <w:t>https://tradingeconomics.com/united-states/job-offers</w:t>
      </w:r>
    </w:p>
    <w:p>
      <w:pPr>
        <w:pStyle w:val="BodyText"/>
        <w:rPr>
          <w:rFonts w:ascii="Calibri"/>
          <w:i/>
          <w:sz w:val="20"/>
        </w:rPr>
      </w:pPr>
    </w:p>
    <w:p>
      <w:pPr>
        <w:pStyle w:val="BodyText"/>
        <w:rPr>
          <w:rFonts w:ascii="Calibri"/>
          <w:i/>
          <w:sz w:val="20"/>
        </w:rPr>
      </w:pPr>
    </w:p>
    <w:p>
      <w:pPr>
        <w:pStyle w:val="BodyText"/>
        <w:spacing w:before="87"/>
        <w:rPr>
          <w:rFonts w:ascii="Calibri"/>
          <w:i/>
          <w:sz w:val="20"/>
        </w:rPr>
      </w:pPr>
    </w:p>
    <w:p>
      <w:pPr>
        <w:pStyle w:val="Heading3"/>
      </w:pPr>
      <w:r>
        <w:rPr>
          <w:color w:val="FF0000"/>
          <w:spacing w:val="-2"/>
        </w:rPr>
        <w:t>Inflação</w:t>
      </w:r>
    </w:p>
    <w:p>
      <w:pPr>
        <w:pStyle w:val="BodyText"/>
        <w:spacing w:before="240"/>
        <w:ind w:left="184" w:right="1255" w:firstLine="707"/>
        <w:jc w:val="both"/>
      </w:pPr>
      <w:r>
        <w:rPr>
          <w:color w:val="0D0E0E"/>
        </w:rPr>
        <w:t>Ainda mais relevante do que a métrica da criação de empregos e o número de vagas abertas para a tomada de decisão do FED, está sem dúvidas o dado da inflação.</w:t>
      </w:r>
    </w:p>
    <w:p>
      <w:pPr>
        <w:pStyle w:val="BodyText"/>
        <w:spacing w:before="241"/>
        <w:ind w:left="184" w:right="1252" w:firstLine="707"/>
        <w:jc w:val="both"/>
      </w:pPr>
      <w:r>
        <w:rPr>
          <w:color w:val="0D0E0E"/>
        </w:rPr>
        <w:t>O</w:t>
      </w:r>
      <w:r>
        <w:rPr>
          <w:color w:val="0D0E0E"/>
          <w:spacing w:val="-10"/>
        </w:rPr>
        <w:t> </w:t>
      </w:r>
      <w:r>
        <w:rPr>
          <w:color w:val="0D0E0E"/>
        </w:rPr>
        <w:t>fenômeno</w:t>
      </w:r>
      <w:r>
        <w:rPr>
          <w:color w:val="0D0E0E"/>
          <w:spacing w:val="-8"/>
        </w:rPr>
        <w:t> </w:t>
      </w:r>
      <w:r>
        <w:rPr>
          <w:color w:val="0D0E0E"/>
        </w:rPr>
        <w:t>inflacionário</w:t>
      </w:r>
      <w:r>
        <w:rPr>
          <w:color w:val="0D0E0E"/>
          <w:spacing w:val="-9"/>
        </w:rPr>
        <w:t> </w:t>
      </w:r>
      <w:r>
        <w:rPr>
          <w:color w:val="0D0E0E"/>
        </w:rPr>
        <w:t>assolou</w:t>
      </w:r>
      <w:r>
        <w:rPr>
          <w:color w:val="0D0E0E"/>
          <w:spacing w:val="-10"/>
        </w:rPr>
        <w:t> </w:t>
      </w:r>
      <w:r>
        <w:rPr>
          <w:color w:val="0D0E0E"/>
        </w:rPr>
        <w:t>e</w:t>
      </w:r>
      <w:r>
        <w:rPr>
          <w:color w:val="0D0E0E"/>
          <w:spacing w:val="-8"/>
        </w:rPr>
        <w:t> </w:t>
      </w:r>
      <w:r>
        <w:rPr>
          <w:color w:val="0D0E0E"/>
        </w:rPr>
        <w:t>ainda</w:t>
      </w:r>
      <w:r>
        <w:rPr>
          <w:color w:val="0D0E0E"/>
          <w:spacing w:val="-8"/>
        </w:rPr>
        <w:t> </w:t>
      </w:r>
      <w:r>
        <w:rPr>
          <w:color w:val="0D0E0E"/>
        </w:rPr>
        <w:t>preocupa</w:t>
      </w:r>
      <w:r>
        <w:rPr>
          <w:color w:val="0D0E0E"/>
          <w:spacing w:val="-8"/>
        </w:rPr>
        <w:t> </w:t>
      </w:r>
      <w:r>
        <w:rPr>
          <w:color w:val="0D0E0E"/>
        </w:rPr>
        <w:t>o</w:t>
      </w:r>
      <w:r>
        <w:rPr>
          <w:color w:val="0D0E0E"/>
          <w:spacing w:val="-9"/>
        </w:rPr>
        <w:t> </w:t>
      </w:r>
      <w:r>
        <w:rPr>
          <w:color w:val="0D0E0E"/>
        </w:rPr>
        <w:t>mundo,</w:t>
      </w:r>
      <w:r>
        <w:rPr>
          <w:color w:val="0D0E0E"/>
          <w:spacing w:val="-8"/>
        </w:rPr>
        <w:t> </w:t>
      </w:r>
      <w:r>
        <w:rPr>
          <w:color w:val="0D0E0E"/>
        </w:rPr>
        <w:t>e</w:t>
      </w:r>
      <w:r>
        <w:rPr>
          <w:color w:val="0D0E0E"/>
          <w:spacing w:val="-8"/>
        </w:rPr>
        <w:t> </w:t>
      </w:r>
      <w:r>
        <w:rPr>
          <w:color w:val="0D0E0E"/>
        </w:rPr>
        <w:t>permanece</w:t>
      </w:r>
      <w:r>
        <w:rPr>
          <w:color w:val="0D0E0E"/>
          <w:spacing w:val="-8"/>
        </w:rPr>
        <w:t> </w:t>
      </w:r>
      <w:r>
        <w:rPr>
          <w:color w:val="0D0E0E"/>
        </w:rPr>
        <w:t>sendo a principal pauta dos líderes de política monetária ao redor do globo. Esse fenômeno que na última década parecia “morto”, voltou aos holofotes econômicos e reacendeu a preocupação</w:t>
      </w:r>
      <w:r>
        <w:rPr>
          <w:color w:val="0D0E0E"/>
          <w:spacing w:val="-6"/>
        </w:rPr>
        <w:t> </w:t>
      </w:r>
      <w:r>
        <w:rPr>
          <w:color w:val="0D0E0E"/>
        </w:rPr>
        <w:t>de</w:t>
      </w:r>
      <w:r>
        <w:rPr>
          <w:color w:val="0D0E0E"/>
          <w:spacing w:val="-6"/>
        </w:rPr>
        <w:t> </w:t>
      </w:r>
      <w:r>
        <w:rPr>
          <w:color w:val="0D0E0E"/>
        </w:rPr>
        <w:t>todos</w:t>
      </w:r>
      <w:r>
        <w:rPr>
          <w:color w:val="0D0E0E"/>
          <w:spacing w:val="-7"/>
        </w:rPr>
        <w:t> </w:t>
      </w:r>
      <w:r>
        <w:rPr>
          <w:color w:val="0D0E0E"/>
        </w:rPr>
        <w:t>os</w:t>
      </w:r>
      <w:r>
        <w:rPr>
          <w:color w:val="0D0E0E"/>
          <w:spacing w:val="-6"/>
        </w:rPr>
        <w:t> </w:t>
      </w:r>
      <w:r>
        <w:rPr>
          <w:color w:val="0D0E0E"/>
        </w:rPr>
        <w:t>agentes</w:t>
      </w:r>
      <w:r>
        <w:rPr>
          <w:color w:val="0D0E0E"/>
          <w:spacing w:val="-6"/>
        </w:rPr>
        <w:t> </w:t>
      </w:r>
      <w:r>
        <w:rPr>
          <w:color w:val="0D0E0E"/>
        </w:rPr>
        <w:t>econômicos</w:t>
      </w:r>
      <w:r>
        <w:rPr>
          <w:color w:val="0D0E0E"/>
          <w:spacing w:val="-7"/>
        </w:rPr>
        <w:t> </w:t>
      </w:r>
      <w:r>
        <w:rPr>
          <w:color w:val="0D0E0E"/>
        </w:rPr>
        <w:t>desenvolvidos.</w:t>
      </w:r>
      <w:r>
        <w:rPr>
          <w:color w:val="0D0E0E"/>
          <w:spacing w:val="-3"/>
        </w:rPr>
        <w:t> </w:t>
      </w:r>
      <w:r>
        <w:rPr>
          <w:color w:val="0D0E0E"/>
        </w:rPr>
        <w:t>Com</w:t>
      </w:r>
      <w:r>
        <w:rPr>
          <w:color w:val="0D0E0E"/>
          <w:spacing w:val="-7"/>
        </w:rPr>
        <w:t> </w:t>
      </w:r>
      <w:r>
        <w:rPr>
          <w:color w:val="0D0E0E"/>
        </w:rPr>
        <w:t>os</w:t>
      </w:r>
      <w:r>
        <w:rPr>
          <w:color w:val="0D0E0E"/>
          <w:spacing w:val="-7"/>
        </w:rPr>
        <w:t> </w:t>
      </w:r>
      <w:r>
        <w:rPr>
          <w:color w:val="0D0E0E"/>
        </w:rPr>
        <w:t>EUA</w:t>
      </w:r>
      <w:r>
        <w:rPr>
          <w:color w:val="0D0E0E"/>
          <w:spacing w:val="-7"/>
        </w:rPr>
        <w:t> </w:t>
      </w:r>
      <w:r>
        <w:rPr>
          <w:color w:val="0D0E0E"/>
        </w:rPr>
        <w:t>sofrendo</w:t>
      </w:r>
      <w:r>
        <w:rPr>
          <w:color w:val="0D0E0E"/>
          <w:spacing w:val="-7"/>
        </w:rPr>
        <w:t> </w:t>
      </w:r>
      <w:r>
        <w:rPr>
          <w:color w:val="0D0E0E"/>
        </w:rPr>
        <w:t>com a inflação persistente e atividade econômica resiliente ao longo do ano.</w:t>
      </w:r>
    </w:p>
    <w:p>
      <w:pPr>
        <w:pStyle w:val="BodyText"/>
        <w:spacing w:before="240"/>
        <w:ind w:left="184" w:right="1253" w:firstLine="707"/>
        <w:jc w:val="both"/>
      </w:pPr>
      <w:r>
        <w:rPr>
          <w:color w:val="0D0E0E"/>
        </w:rPr>
        <w:t>O </w:t>
      </w:r>
      <w:r>
        <w:rPr>
          <w:i/>
          <w:color w:val="0D0E0E"/>
        </w:rPr>
        <w:t>Consumer Price Index </w:t>
      </w:r>
      <w:r>
        <w:rPr>
          <w:color w:val="0D0E0E"/>
        </w:rPr>
        <w:t>(CPI), principal indicador de inflação dos, começou a apresentar sinais de queda gradual, principalmente se observarmos a variação do núcleo,</w:t>
      </w:r>
      <w:r>
        <w:rPr>
          <w:color w:val="0D0E0E"/>
          <w:spacing w:val="-7"/>
        </w:rPr>
        <w:t> </w:t>
      </w:r>
      <w:r>
        <w:rPr>
          <w:color w:val="0D0E0E"/>
        </w:rPr>
        <w:t>excluindo</w:t>
      </w:r>
      <w:r>
        <w:rPr>
          <w:color w:val="0D0E0E"/>
          <w:spacing w:val="-8"/>
        </w:rPr>
        <w:t> </w:t>
      </w:r>
      <w:r>
        <w:rPr>
          <w:color w:val="0D0E0E"/>
        </w:rPr>
        <w:t>os</w:t>
      </w:r>
      <w:r>
        <w:rPr>
          <w:color w:val="0D0E0E"/>
          <w:spacing w:val="-8"/>
        </w:rPr>
        <w:t> </w:t>
      </w:r>
      <w:r>
        <w:rPr>
          <w:color w:val="0D0E0E"/>
        </w:rPr>
        <w:t>produtos</w:t>
      </w:r>
      <w:r>
        <w:rPr>
          <w:color w:val="0D0E0E"/>
          <w:spacing w:val="-8"/>
        </w:rPr>
        <w:t> </w:t>
      </w:r>
      <w:r>
        <w:rPr>
          <w:color w:val="0D0E0E"/>
        </w:rPr>
        <w:t>voláteis</w:t>
      </w:r>
      <w:r>
        <w:rPr>
          <w:color w:val="0D0E0E"/>
          <w:spacing w:val="-7"/>
        </w:rPr>
        <w:t> </w:t>
      </w:r>
      <w:r>
        <w:rPr>
          <w:color w:val="0D0E0E"/>
        </w:rPr>
        <w:t>do</w:t>
      </w:r>
      <w:r>
        <w:rPr>
          <w:color w:val="0D0E0E"/>
          <w:spacing w:val="-10"/>
        </w:rPr>
        <w:t> </w:t>
      </w:r>
      <w:r>
        <w:rPr>
          <w:color w:val="0D0E0E"/>
        </w:rPr>
        <w:t>índice.</w:t>
      </w:r>
      <w:r>
        <w:rPr>
          <w:color w:val="0D0E0E"/>
          <w:spacing w:val="-6"/>
        </w:rPr>
        <w:t> </w:t>
      </w:r>
      <w:r>
        <w:rPr>
          <w:color w:val="0D0E0E"/>
        </w:rPr>
        <w:t>Com</w:t>
      </w:r>
      <w:r>
        <w:rPr>
          <w:color w:val="0D0E0E"/>
          <w:spacing w:val="-8"/>
        </w:rPr>
        <w:t> </w:t>
      </w:r>
      <w:r>
        <w:rPr>
          <w:color w:val="0D0E0E"/>
        </w:rPr>
        <w:t>uma</w:t>
      </w:r>
      <w:r>
        <w:rPr>
          <w:color w:val="0D0E0E"/>
          <w:spacing w:val="-7"/>
        </w:rPr>
        <w:t> </w:t>
      </w:r>
      <w:r>
        <w:rPr>
          <w:color w:val="0D0E0E"/>
        </w:rPr>
        <w:t>variação</w:t>
      </w:r>
      <w:r>
        <w:rPr>
          <w:color w:val="0D0E0E"/>
          <w:spacing w:val="-7"/>
        </w:rPr>
        <w:t> </w:t>
      </w:r>
      <w:r>
        <w:rPr>
          <w:color w:val="0D0E0E"/>
        </w:rPr>
        <w:t>quase</w:t>
      </w:r>
      <w:r>
        <w:rPr>
          <w:color w:val="0D0E0E"/>
          <w:spacing w:val="-7"/>
        </w:rPr>
        <w:t> </w:t>
      </w:r>
      <w:r>
        <w:rPr>
          <w:color w:val="0D0E0E"/>
        </w:rPr>
        <w:t>nula</w:t>
      </w:r>
      <w:r>
        <w:rPr>
          <w:color w:val="0D0E0E"/>
          <w:spacing w:val="-7"/>
        </w:rPr>
        <w:t> </w:t>
      </w:r>
      <w:r>
        <w:rPr>
          <w:color w:val="0D0E0E"/>
        </w:rPr>
        <w:t>de</w:t>
      </w:r>
      <w:r>
        <w:rPr>
          <w:color w:val="0D0E0E"/>
          <w:spacing w:val="-7"/>
        </w:rPr>
        <w:t> </w:t>
      </w:r>
      <w:r>
        <w:rPr>
          <w:color w:val="0D0E0E"/>
        </w:rPr>
        <w:t>0,1%, a inflação norte-americana veio em linha com o que o mercado esperava.</w:t>
      </w:r>
    </w:p>
    <w:p>
      <w:pPr>
        <w:pStyle w:val="BodyText"/>
        <w:spacing w:after="0"/>
        <w:jc w:val="both"/>
        <w:sectPr>
          <w:pgSz w:w="11920" w:h="16850"/>
          <w:pgMar w:top="1360" w:bottom="280" w:left="1417" w:right="141"/>
        </w:sectPr>
      </w:pPr>
    </w:p>
    <w:p>
      <w:pPr>
        <w:pStyle w:val="Heading4"/>
      </w:pPr>
      <w:r>
        <w:rPr>
          <w:color w:val="0D0E0E"/>
        </w:rPr>
        <w:t>CPI</w:t>
      </w:r>
      <w:r>
        <w:rPr>
          <w:color w:val="0D0E0E"/>
          <w:spacing w:val="-2"/>
        </w:rPr>
        <w:t> </w:t>
      </w:r>
      <w:r>
        <w:rPr>
          <w:color w:val="0D0E0E"/>
        </w:rPr>
        <w:t>Mensal-</w:t>
      </w:r>
      <w:r>
        <w:rPr>
          <w:color w:val="0D0E0E"/>
          <w:spacing w:val="-2"/>
        </w:rPr>
        <w:t> </w:t>
      </w:r>
      <w:r>
        <w:rPr>
          <w:color w:val="0D0E0E"/>
        </w:rPr>
        <w:t>Estados</w:t>
      </w:r>
      <w:r>
        <w:rPr>
          <w:color w:val="0D0E0E"/>
          <w:spacing w:val="-2"/>
        </w:rPr>
        <w:t> Unidos:</w:t>
      </w:r>
    </w:p>
    <w:p>
      <w:pPr>
        <w:pStyle w:val="BodyText"/>
        <w:spacing w:before="4"/>
        <w:rPr>
          <w:b/>
          <w:sz w:val="18"/>
        </w:rPr>
      </w:pPr>
      <w:r>
        <w:rPr>
          <w:b/>
          <w:sz w:val="18"/>
        </w:rPr>
        <w:drawing>
          <wp:anchor distT="0" distB="0" distL="0" distR="0" allowOverlap="1" layoutInCell="1" locked="0" behindDoc="1" simplePos="0" relativeHeight="487588864">
            <wp:simplePos x="0" y="0"/>
            <wp:positionH relativeFrom="page">
              <wp:posOffset>1013142</wp:posOffset>
            </wp:positionH>
            <wp:positionV relativeFrom="paragraph">
              <wp:posOffset>151912</wp:posOffset>
            </wp:positionV>
            <wp:extent cx="5634349" cy="2618613"/>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634349" cy="2618613"/>
                    </a:xfrm>
                    <a:prstGeom prst="rect">
                      <a:avLst/>
                    </a:prstGeom>
                  </pic:spPr>
                </pic:pic>
              </a:graphicData>
            </a:graphic>
          </wp:anchor>
        </w:drawing>
      </w:r>
    </w:p>
    <w:p>
      <w:pPr>
        <w:spacing w:before="21"/>
        <w:ind w:left="712" w:right="1073" w:firstLine="0"/>
        <w:jc w:val="center"/>
        <w:rPr>
          <w:rFonts w:ascii="Calibri"/>
          <w:i/>
          <w:sz w:val="20"/>
        </w:rPr>
      </w:pPr>
      <w:hyperlink r:id="rId9">
        <w:r>
          <w:rPr>
            <w:rFonts w:ascii="Calibri"/>
            <w:i/>
            <w:color w:val="0562C1"/>
            <w:spacing w:val="-2"/>
            <w:sz w:val="20"/>
            <w:u w:val="single" w:color="0562C1"/>
          </w:rPr>
          <w:t>https://tradingeconomics.com/united-states/inflation-rate-</w:t>
        </w:r>
        <w:r>
          <w:rPr>
            <w:rFonts w:ascii="Calibri"/>
            <w:i/>
            <w:color w:val="0562C1"/>
            <w:spacing w:val="-5"/>
            <w:sz w:val="20"/>
            <w:u w:val="single" w:color="0562C1"/>
          </w:rPr>
          <w:t>mom</w:t>
        </w:r>
      </w:hyperlink>
    </w:p>
    <w:p>
      <w:pPr>
        <w:pStyle w:val="BodyText"/>
        <w:rPr>
          <w:rFonts w:ascii="Calibri"/>
          <w:i/>
        </w:rPr>
      </w:pPr>
    </w:p>
    <w:p>
      <w:pPr>
        <w:pStyle w:val="BodyText"/>
        <w:spacing w:before="116"/>
        <w:rPr>
          <w:rFonts w:ascii="Calibri"/>
          <w:i/>
        </w:rPr>
      </w:pPr>
    </w:p>
    <w:p>
      <w:pPr>
        <w:pStyle w:val="BodyText"/>
        <w:ind w:left="184" w:right="1199" w:firstLine="707"/>
      </w:pPr>
      <w:r>
        <w:rPr>
          <w:color w:val="0D0E0E"/>
        </w:rPr>
        <w:t>A</w:t>
      </w:r>
      <w:r>
        <w:rPr>
          <w:color w:val="0D0E0E"/>
          <w:spacing w:val="40"/>
        </w:rPr>
        <w:t> </w:t>
      </w:r>
      <w:r>
        <w:rPr>
          <w:color w:val="0D0E0E"/>
        </w:rPr>
        <w:t>variação</w:t>
      </w:r>
      <w:r>
        <w:rPr>
          <w:color w:val="0D0E0E"/>
          <w:spacing w:val="40"/>
        </w:rPr>
        <w:t> </w:t>
      </w:r>
      <w:r>
        <w:rPr>
          <w:color w:val="0D0E0E"/>
        </w:rPr>
        <w:t>anual</w:t>
      </w:r>
      <w:r>
        <w:rPr>
          <w:color w:val="0D0E0E"/>
          <w:spacing w:val="40"/>
        </w:rPr>
        <w:t> </w:t>
      </w:r>
      <w:r>
        <w:rPr>
          <w:color w:val="0D0E0E"/>
        </w:rPr>
        <w:t>do</w:t>
      </w:r>
      <w:r>
        <w:rPr>
          <w:color w:val="0D0E0E"/>
          <w:spacing w:val="40"/>
        </w:rPr>
        <w:t> </w:t>
      </w:r>
      <w:r>
        <w:rPr>
          <w:color w:val="0D0E0E"/>
        </w:rPr>
        <w:t>indicador</w:t>
      </w:r>
      <w:r>
        <w:rPr>
          <w:color w:val="0D0E0E"/>
          <w:spacing w:val="39"/>
        </w:rPr>
        <w:t> </w:t>
      </w:r>
      <w:r>
        <w:rPr>
          <w:color w:val="0D0E0E"/>
        </w:rPr>
        <w:t>também</w:t>
      </w:r>
      <w:r>
        <w:rPr>
          <w:color w:val="0D0E0E"/>
          <w:spacing w:val="40"/>
        </w:rPr>
        <w:t> </w:t>
      </w:r>
      <w:r>
        <w:rPr>
          <w:color w:val="0D0E0E"/>
        </w:rPr>
        <w:t>veio</w:t>
      </w:r>
      <w:r>
        <w:rPr>
          <w:color w:val="0D0E0E"/>
          <w:spacing w:val="38"/>
        </w:rPr>
        <w:t> </w:t>
      </w:r>
      <w:r>
        <w:rPr>
          <w:color w:val="0D0E0E"/>
        </w:rPr>
        <w:t>abaixo</w:t>
      </w:r>
      <w:r>
        <w:rPr>
          <w:color w:val="0D0E0E"/>
          <w:spacing w:val="40"/>
        </w:rPr>
        <w:t> </w:t>
      </w:r>
      <w:r>
        <w:rPr>
          <w:color w:val="0D0E0E"/>
        </w:rPr>
        <w:t>do</w:t>
      </w:r>
      <w:r>
        <w:rPr>
          <w:color w:val="0D0E0E"/>
          <w:spacing w:val="40"/>
        </w:rPr>
        <w:t> </w:t>
      </w:r>
      <w:r>
        <w:rPr>
          <w:color w:val="0D0E0E"/>
        </w:rPr>
        <w:t>esperado,</w:t>
      </w:r>
      <w:r>
        <w:rPr>
          <w:color w:val="0D0E0E"/>
          <w:spacing w:val="40"/>
        </w:rPr>
        <w:t> </w:t>
      </w:r>
      <w:r>
        <w:rPr>
          <w:color w:val="0D0E0E"/>
        </w:rPr>
        <w:t>registrando 3,1% em novembro versus 3,2% de setembro, menor valor nos últimos 5 meses.</w:t>
      </w:r>
    </w:p>
    <w:p>
      <w:pPr>
        <w:pStyle w:val="BodyText"/>
      </w:pPr>
    </w:p>
    <w:p>
      <w:pPr>
        <w:pStyle w:val="BodyText"/>
        <w:spacing w:before="200"/>
      </w:pPr>
    </w:p>
    <w:p>
      <w:pPr>
        <w:pStyle w:val="Heading4"/>
        <w:spacing w:before="0"/>
        <w:ind w:left="708"/>
      </w:pPr>
      <w:r>
        <w:rPr>
          <w:color w:val="0D0E0E"/>
        </w:rPr>
        <w:t>CPI</w:t>
      </w:r>
      <w:r>
        <w:rPr>
          <w:color w:val="0D0E0E"/>
          <w:spacing w:val="-2"/>
        </w:rPr>
        <w:t> </w:t>
      </w:r>
      <w:r>
        <w:rPr>
          <w:color w:val="0D0E0E"/>
        </w:rPr>
        <w:t>Anual</w:t>
      </w:r>
      <w:r>
        <w:rPr>
          <w:color w:val="0D0E0E"/>
          <w:spacing w:val="-1"/>
        </w:rPr>
        <w:t> </w:t>
      </w:r>
      <w:r>
        <w:rPr>
          <w:color w:val="0D0E0E"/>
        </w:rPr>
        <w:t>-</w:t>
      </w:r>
      <w:r>
        <w:rPr>
          <w:color w:val="0D0E0E"/>
          <w:spacing w:val="-1"/>
        </w:rPr>
        <w:t> </w:t>
      </w:r>
      <w:r>
        <w:rPr>
          <w:color w:val="0D0E0E"/>
        </w:rPr>
        <w:t>Estados</w:t>
      </w:r>
      <w:r>
        <w:rPr>
          <w:color w:val="0D0E0E"/>
          <w:spacing w:val="-2"/>
        </w:rPr>
        <w:t> Unidos:</w:t>
      </w:r>
    </w:p>
    <w:p>
      <w:pPr>
        <w:pStyle w:val="BodyText"/>
        <w:spacing w:before="3"/>
        <w:rPr>
          <w:b/>
          <w:sz w:val="18"/>
        </w:rPr>
      </w:pPr>
      <w:r>
        <w:rPr>
          <w:b/>
          <w:sz w:val="18"/>
        </w:rPr>
        <w:drawing>
          <wp:anchor distT="0" distB="0" distL="0" distR="0" allowOverlap="1" layoutInCell="1" locked="0" behindDoc="1" simplePos="0" relativeHeight="487589376">
            <wp:simplePos x="0" y="0"/>
            <wp:positionH relativeFrom="page">
              <wp:posOffset>1149350</wp:posOffset>
            </wp:positionH>
            <wp:positionV relativeFrom="paragraph">
              <wp:posOffset>151438</wp:posOffset>
            </wp:positionV>
            <wp:extent cx="5373614" cy="238658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5373614" cy="2386584"/>
                    </a:xfrm>
                    <a:prstGeom prst="rect">
                      <a:avLst/>
                    </a:prstGeom>
                  </pic:spPr>
                </pic:pic>
              </a:graphicData>
            </a:graphic>
          </wp:anchor>
        </w:drawing>
      </w:r>
    </w:p>
    <w:p>
      <w:pPr>
        <w:spacing w:before="22"/>
        <w:ind w:left="709" w:right="1073" w:firstLine="0"/>
        <w:jc w:val="center"/>
        <w:rPr>
          <w:rFonts w:ascii="Calibri"/>
          <w:i/>
          <w:sz w:val="20"/>
        </w:rPr>
      </w:pPr>
      <w:hyperlink r:id="rId11">
        <w:r>
          <w:rPr>
            <w:rFonts w:ascii="Calibri"/>
            <w:i/>
            <w:color w:val="0562C1"/>
            <w:spacing w:val="-2"/>
            <w:sz w:val="20"/>
            <w:u w:val="single" w:color="0562C1"/>
          </w:rPr>
          <w:t>https://tradingeconomics.com/united-states/inflation-</w:t>
        </w:r>
        <w:r>
          <w:rPr>
            <w:rFonts w:ascii="Calibri"/>
            <w:i/>
            <w:color w:val="0562C1"/>
            <w:spacing w:val="-5"/>
            <w:sz w:val="20"/>
            <w:u w:val="single" w:color="0562C1"/>
          </w:rPr>
          <w:t>cpi</w:t>
        </w:r>
      </w:hyperlink>
    </w:p>
    <w:p>
      <w:pPr>
        <w:pStyle w:val="BodyText"/>
        <w:rPr>
          <w:rFonts w:ascii="Calibri"/>
          <w:i/>
        </w:rPr>
      </w:pPr>
    </w:p>
    <w:p>
      <w:pPr>
        <w:pStyle w:val="BodyText"/>
        <w:spacing w:before="117"/>
        <w:rPr>
          <w:rFonts w:ascii="Calibri"/>
          <w:i/>
        </w:rPr>
      </w:pPr>
    </w:p>
    <w:p>
      <w:pPr>
        <w:pStyle w:val="BodyText"/>
        <w:ind w:left="184" w:right="1259" w:firstLine="707"/>
        <w:jc w:val="both"/>
      </w:pPr>
      <w:r>
        <w:rPr>
          <w:color w:val="0D0E0E"/>
        </w:rPr>
        <w:t>E ainda mais relevante do que a discussão do dado cheio da inflação, é</w:t>
      </w:r>
      <w:r>
        <w:rPr>
          <w:color w:val="0D0E0E"/>
          <w:spacing w:val="-1"/>
        </w:rPr>
        <w:t> </w:t>
      </w:r>
      <w:r>
        <w:rPr>
          <w:color w:val="0D0E0E"/>
        </w:rPr>
        <w:t>a direção que o núcleo da inflação está tomando. Vale relembrar que o núcleo da inflação desconsidera itens voláteis do cesto, como por exemplo Energia e Alimentos.</w:t>
      </w:r>
    </w:p>
    <w:p>
      <w:pPr>
        <w:pStyle w:val="BodyText"/>
        <w:spacing w:before="238"/>
        <w:ind w:left="184" w:right="1254" w:firstLine="707"/>
        <w:jc w:val="both"/>
      </w:pPr>
      <w:r>
        <w:rPr>
          <w:color w:val="0D0E0E"/>
        </w:rPr>
        <w:t>O Core-PCE (Núcleo Índice de Preços para Gastos de Consumo Pessoal) mede os preços é um dos principais indicadores usados para avaliar o núcleo da inflação, divulgado na última semana do mês.</w:t>
      </w:r>
    </w:p>
    <w:p>
      <w:pPr>
        <w:pStyle w:val="BodyText"/>
        <w:spacing w:after="0"/>
        <w:jc w:val="both"/>
        <w:sectPr>
          <w:pgSz w:w="11920" w:h="16850"/>
          <w:pgMar w:top="1280" w:bottom="280" w:left="1417" w:right="141"/>
        </w:sectPr>
      </w:pPr>
    </w:p>
    <w:p>
      <w:pPr>
        <w:pStyle w:val="Heading4"/>
      </w:pPr>
      <w:r>
        <w:rPr>
          <w:color w:val="0D0E0E"/>
        </w:rPr>
        <w:t>Core</w:t>
      </w:r>
      <w:r>
        <w:rPr>
          <w:color w:val="0D0E0E"/>
          <w:spacing w:val="-4"/>
        </w:rPr>
        <w:t> </w:t>
      </w:r>
      <w:r>
        <w:rPr>
          <w:color w:val="0D0E0E"/>
        </w:rPr>
        <w:t>PCE</w:t>
      </w:r>
      <w:r>
        <w:rPr>
          <w:color w:val="0D0E0E"/>
          <w:spacing w:val="-2"/>
        </w:rPr>
        <w:t> </w:t>
      </w:r>
      <w:r>
        <w:rPr>
          <w:color w:val="0D0E0E"/>
        </w:rPr>
        <w:t>Anual</w:t>
      </w:r>
      <w:r>
        <w:rPr>
          <w:color w:val="0D0E0E"/>
          <w:spacing w:val="-1"/>
        </w:rPr>
        <w:t> </w:t>
      </w:r>
      <w:r>
        <w:rPr>
          <w:color w:val="0D0E0E"/>
        </w:rPr>
        <w:t>-</w:t>
      </w:r>
      <w:r>
        <w:rPr>
          <w:color w:val="0D0E0E"/>
          <w:spacing w:val="-2"/>
        </w:rPr>
        <w:t> </w:t>
      </w:r>
      <w:r>
        <w:rPr>
          <w:color w:val="0D0E0E"/>
        </w:rPr>
        <w:t>Estados</w:t>
      </w:r>
      <w:r>
        <w:rPr>
          <w:color w:val="0D0E0E"/>
          <w:spacing w:val="-2"/>
        </w:rPr>
        <w:t> Unidos:</w:t>
      </w:r>
    </w:p>
    <w:p>
      <w:pPr>
        <w:pStyle w:val="BodyText"/>
        <w:spacing w:before="3"/>
        <w:rPr>
          <w:b/>
          <w:sz w:val="18"/>
        </w:rPr>
      </w:pPr>
      <w:r>
        <w:rPr>
          <w:b/>
          <w:sz w:val="18"/>
        </w:rPr>
        <w:drawing>
          <wp:anchor distT="0" distB="0" distL="0" distR="0" allowOverlap="1" layoutInCell="1" locked="0" behindDoc="1" simplePos="0" relativeHeight="487589888">
            <wp:simplePos x="0" y="0"/>
            <wp:positionH relativeFrom="page">
              <wp:posOffset>1016000</wp:posOffset>
            </wp:positionH>
            <wp:positionV relativeFrom="paragraph">
              <wp:posOffset>151277</wp:posOffset>
            </wp:positionV>
            <wp:extent cx="5632611" cy="2444591"/>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2" cstate="print"/>
                    <a:stretch>
                      <a:fillRect/>
                    </a:stretch>
                  </pic:blipFill>
                  <pic:spPr>
                    <a:xfrm>
                      <a:off x="0" y="0"/>
                      <a:ext cx="5632611" cy="2444591"/>
                    </a:xfrm>
                    <a:prstGeom prst="rect">
                      <a:avLst/>
                    </a:prstGeom>
                  </pic:spPr>
                </pic:pic>
              </a:graphicData>
            </a:graphic>
          </wp:anchor>
        </w:drawing>
      </w:r>
    </w:p>
    <w:p>
      <w:pPr>
        <w:spacing w:before="20"/>
        <w:ind w:left="708" w:right="1073" w:firstLine="0"/>
        <w:jc w:val="center"/>
        <w:rPr>
          <w:rFonts w:ascii="Calibri"/>
          <w:i/>
          <w:sz w:val="20"/>
        </w:rPr>
      </w:pPr>
      <w:r>
        <w:rPr>
          <w:rFonts w:ascii="Calibri"/>
          <w:i/>
          <w:color w:val="0D0E0E"/>
          <w:spacing w:val="-2"/>
          <w:sz w:val="20"/>
        </w:rPr>
        <w:t>https://tradingeconomics.com/united-states/core-inflation-</w:t>
      </w:r>
      <w:r>
        <w:rPr>
          <w:rFonts w:ascii="Calibri"/>
          <w:i/>
          <w:color w:val="0D0E0E"/>
          <w:spacing w:val="-4"/>
          <w:sz w:val="20"/>
        </w:rPr>
        <w:t>rate</w:t>
      </w:r>
    </w:p>
    <w:p>
      <w:pPr>
        <w:pStyle w:val="BodyText"/>
        <w:rPr>
          <w:rFonts w:ascii="Calibri"/>
          <w:i/>
          <w:sz w:val="20"/>
        </w:rPr>
      </w:pPr>
    </w:p>
    <w:p>
      <w:pPr>
        <w:pStyle w:val="BodyText"/>
        <w:spacing w:before="214"/>
        <w:rPr>
          <w:rFonts w:ascii="Calibri"/>
          <w:i/>
          <w:sz w:val="20"/>
        </w:rPr>
      </w:pPr>
    </w:p>
    <w:p>
      <w:pPr>
        <w:pStyle w:val="BodyText"/>
        <w:ind w:left="184" w:right="1259" w:firstLine="707"/>
        <w:jc w:val="both"/>
      </w:pPr>
      <w:r>
        <w:rPr>
          <w:color w:val="0D0E0E"/>
        </w:rPr>
        <w:t>Como pôde ser observado, a inflação nos Estados Unidos continua mostrando sinais de desaceleração. Apesar de ainda estar longe da meta de 2% a.a., a queda dos núcleos</w:t>
      </w:r>
      <w:r>
        <w:rPr>
          <w:color w:val="0D0E0E"/>
          <w:spacing w:val="-1"/>
        </w:rPr>
        <w:t> </w:t>
      </w:r>
      <w:r>
        <w:rPr>
          <w:color w:val="0D0E0E"/>
        </w:rPr>
        <w:t>são sinais animadores e podem significar</w:t>
      </w:r>
      <w:r>
        <w:rPr>
          <w:color w:val="0D0E0E"/>
          <w:spacing w:val="-1"/>
        </w:rPr>
        <w:t> </w:t>
      </w:r>
      <w:r>
        <w:rPr>
          <w:color w:val="0D0E0E"/>
        </w:rPr>
        <w:t>que o</w:t>
      </w:r>
      <w:r>
        <w:rPr>
          <w:color w:val="0D0E0E"/>
          <w:spacing w:val="-1"/>
        </w:rPr>
        <w:t> </w:t>
      </w:r>
      <w:r>
        <w:rPr>
          <w:color w:val="0D0E0E"/>
        </w:rPr>
        <w:t>ciclo</w:t>
      </w:r>
      <w:r>
        <w:rPr>
          <w:color w:val="0D0E0E"/>
          <w:spacing w:val="-1"/>
        </w:rPr>
        <w:t> </w:t>
      </w:r>
      <w:r>
        <w:rPr>
          <w:color w:val="0D0E0E"/>
        </w:rPr>
        <w:t>de alta</w:t>
      </w:r>
      <w:r>
        <w:rPr>
          <w:color w:val="0D0E0E"/>
          <w:spacing w:val="-3"/>
        </w:rPr>
        <w:t> </w:t>
      </w:r>
      <w:r>
        <w:rPr>
          <w:color w:val="0D0E0E"/>
        </w:rPr>
        <w:t>dos juros</w:t>
      </w:r>
      <w:r>
        <w:rPr>
          <w:color w:val="0D0E0E"/>
          <w:spacing w:val="-1"/>
        </w:rPr>
        <w:t> </w:t>
      </w:r>
      <w:r>
        <w:rPr>
          <w:color w:val="0D0E0E"/>
        </w:rPr>
        <w:t>não</w:t>
      </w:r>
      <w:r>
        <w:rPr>
          <w:color w:val="0D0E0E"/>
          <w:spacing w:val="-1"/>
        </w:rPr>
        <w:t> </w:t>
      </w:r>
      <w:r>
        <w:rPr>
          <w:color w:val="0D0E0E"/>
        </w:rPr>
        <w:t>deve permanecer por muito tempo.</w:t>
      </w:r>
    </w:p>
    <w:p>
      <w:pPr>
        <w:pStyle w:val="BodyText"/>
        <w:rPr>
          <w:sz w:val="26"/>
        </w:rPr>
      </w:pPr>
    </w:p>
    <w:p>
      <w:pPr>
        <w:pStyle w:val="BodyText"/>
        <w:spacing w:before="151"/>
        <w:rPr>
          <w:sz w:val="26"/>
        </w:rPr>
      </w:pPr>
    </w:p>
    <w:p>
      <w:pPr>
        <w:pStyle w:val="Heading3"/>
      </w:pPr>
      <w:r>
        <w:rPr>
          <w:color w:val="FF0000"/>
          <w:spacing w:val="-2"/>
        </w:rPr>
        <w:t>Juros</w:t>
      </w:r>
    </w:p>
    <w:p>
      <w:pPr>
        <w:pStyle w:val="BodyText"/>
        <w:spacing w:line="281" w:lineRule="exact" w:before="240"/>
        <w:ind w:left="892"/>
      </w:pPr>
      <w:r>
        <w:rPr>
          <w:color w:val="0D0E0E"/>
        </w:rPr>
        <w:t>A</w:t>
      </w:r>
      <w:r>
        <w:rPr>
          <w:color w:val="0D0E0E"/>
          <w:spacing w:val="6"/>
        </w:rPr>
        <w:t> </w:t>
      </w:r>
      <w:r>
        <w:rPr>
          <w:color w:val="0D0E0E"/>
        </w:rPr>
        <w:t>última</w:t>
      </w:r>
      <w:r>
        <w:rPr>
          <w:color w:val="0D0E0E"/>
          <w:spacing w:val="7"/>
        </w:rPr>
        <w:t> </w:t>
      </w:r>
      <w:r>
        <w:rPr>
          <w:color w:val="0D0E0E"/>
        </w:rPr>
        <w:t>reunião</w:t>
      </w:r>
      <w:r>
        <w:rPr>
          <w:color w:val="0D0E0E"/>
          <w:spacing w:val="8"/>
        </w:rPr>
        <w:t> </w:t>
      </w:r>
      <w:r>
        <w:rPr>
          <w:color w:val="0D0E0E"/>
        </w:rPr>
        <w:t>do</w:t>
      </w:r>
      <w:r>
        <w:rPr>
          <w:color w:val="0D0E0E"/>
          <w:spacing w:val="6"/>
        </w:rPr>
        <w:t> </w:t>
      </w:r>
      <w:r>
        <w:rPr>
          <w:color w:val="0D0E0E"/>
        </w:rPr>
        <w:t>FOMC</w:t>
      </w:r>
      <w:r>
        <w:rPr>
          <w:color w:val="0D0E0E"/>
          <w:spacing w:val="8"/>
        </w:rPr>
        <w:t> </w:t>
      </w:r>
      <w:r>
        <w:rPr>
          <w:color w:val="0D0E0E"/>
        </w:rPr>
        <w:t>do</w:t>
      </w:r>
      <w:r>
        <w:rPr>
          <w:color w:val="0D0E0E"/>
          <w:spacing w:val="4"/>
        </w:rPr>
        <w:t> </w:t>
      </w:r>
      <w:r>
        <w:rPr>
          <w:color w:val="0D0E0E"/>
        </w:rPr>
        <w:t>ano</w:t>
      </w:r>
      <w:r>
        <w:rPr>
          <w:color w:val="0D0E0E"/>
          <w:spacing w:val="8"/>
        </w:rPr>
        <w:t> </w:t>
      </w:r>
      <w:r>
        <w:rPr>
          <w:color w:val="0D0E0E"/>
        </w:rPr>
        <w:t>de</w:t>
      </w:r>
      <w:r>
        <w:rPr>
          <w:color w:val="0D0E0E"/>
          <w:spacing w:val="7"/>
        </w:rPr>
        <w:t> </w:t>
      </w:r>
      <w:r>
        <w:rPr>
          <w:color w:val="0D0E0E"/>
        </w:rPr>
        <w:t>2023</w:t>
      </w:r>
      <w:r>
        <w:rPr>
          <w:color w:val="0D0E0E"/>
          <w:spacing w:val="7"/>
        </w:rPr>
        <w:t> </w:t>
      </w:r>
      <w:r>
        <w:rPr>
          <w:color w:val="0D0E0E"/>
        </w:rPr>
        <w:t>(Comitê</w:t>
      </w:r>
      <w:r>
        <w:rPr>
          <w:color w:val="0D0E0E"/>
          <w:spacing w:val="8"/>
        </w:rPr>
        <w:t> </w:t>
      </w:r>
      <w:r>
        <w:rPr>
          <w:color w:val="0D0E0E"/>
        </w:rPr>
        <w:t>Federal</w:t>
      </w:r>
      <w:r>
        <w:rPr>
          <w:color w:val="0D0E0E"/>
          <w:spacing w:val="5"/>
        </w:rPr>
        <w:t> </w:t>
      </w:r>
      <w:r>
        <w:rPr>
          <w:color w:val="0D0E0E"/>
        </w:rPr>
        <w:t>de</w:t>
      </w:r>
      <w:r>
        <w:rPr>
          <w:color w:val="0D0E0E"/>
          <w:spacing w:val="5"/>
        </w:rPr>
        <w:t> </w:t>
      </w:r>
      <w:r>
        <w:rPr>
          <w:color w:val="0D0E0E"/>
        </w:rPr>
        <w:t>Mercado</w:t>
      </w:r>
      <w:r>
        <w:rPr>
          <w:color w:val="0D0E0E"/>
          <w:spacing w:val="8"/>
        </w:rPr>
        <w:t> </w:t>
      </w:r>
      <w:r>
        <w:rPr>
          <w:color w:val="0D0E0E"/>
          <w:spacing w:val="-2"/>
        </w:rPr>
        <w:t>Aberto,</w:t>
      </w:r>
    </w:p>
    <w:p>
      <w:pPr>
        <w:pStyle w:val="BodyText"/>
        <w:ind w:left="184" w:right="1199"/>
      </w:pPr>
      <w:r>
        <w:rPr>
          <w:color w:val="0D0E0E"/>
        </w:rPr>
        <w:t>em</w:t>
      </w:r>
      <w:r>
        <w:rPr>
          <w:color w:val="0D0E0E"/>
          <w:spacing w:val="21"/>
        </w:rPr>
        <w:t> </w:t>
      </w:r>
      <w:r>
        <w:rPr>
          <w:color w:val="0D0E0E"/>
        </w:rPr>
        <w:t>inglês)</w:t>
      </w:r>
      <w:r>
        <w:rPr>
          <w:color w:val="0D0E0E"/>
          <w:spacing w:val="21"/>
        </w:rPr>
        <w:t> </w:t>
      </w:r>
      <w:r>
        <w:rPr>
          <w:color w:val="0D0E0E"/>
        </w:rPr>
        <w:t>do Fed</w:t>
      </w:r>
      <w:r>
        <w:rPr>
          <w:color w:val="0D0E0E"/>
          <w:spacing w:val="22"/>
        </w:rPr>
        <w:t> </w:t>
      </w:r>
      <w:r>
        <w:rPr>
          <w:color w:val="0D0E0E"/>
        </w:rPr>
        <w:t>decidiu</w:t>
      </w:r>
      <w:r>
        <w:rPr>
          <w:color w:val="0D0E0E"/>
          <w:spacing w:val="21"/>
        </w:rPr>
        <w:t> </w:t>
      </w:r>
      <w:r>
        <w:rPr>
          <w:color w:val="0D0E0E"/>
        </w:rPr>
        <w:t>manter a</w:t>
      </w:r>
      <w:r>
        <w:rPr>
          <w:color w:val="0D0E0E"/>
          <w:spacing w:val="22"/>
        </w:rPr>
        <w:t> </w:t>
      </w:r>
      <w:r>
        <w:rPr>
          <w:color w:val="0D0E0E"/>
        </w:rPr>
        <w:t>taxa dos</w:t>
      </w:r>
      <w:r>
        <w:rPr>
          <w:color w:val="0D0E0E"/>
          <w:spacing w:val="24"/>
        </w:rPr>
        <w:t> </w:t>
      </w:r>
      <w:r>
        <w:rPr>
          <w:i/>
          <w:color w:val="0D0E0E"/>
        </w:rPr>
        <w:t>FED FUNDS</w:t>
      </w:r>
      <w:r>
        <w:rPr>
          <w:i/>
          <w:color w:val="0D0E0E"/>
          <w:spacing w:val="23"/>
        </w:rPr>
        <w:t> </w:t>
      </w:r>
      <w:r>
        <w:rPr>
          <w:color w:val="0D0E0E"/>
        </w:rPr>
        <w:t>(equivalente</w:t>
      </w:r>
      <w:r>
        <w:rPr>
          <w:color w:val="0D0E0E"/>
          <w:spacing w:val="22"/>
        </w:rPr>
        <w:t> </w:t>
      </w:r>
      <w:r>
        <w:rPr>
          <w:color w:val="0D0E0E"/>
        </w:rPr>
        <w:t>à</w:t>
      </w:r>
      <w:r>
        <w:rPr>
          <w:color w:val="0D0E0E"/>
          <w:spacing w:val="22"/>
        </w:rPr>
        <w:t> </w:t>
      </w:r>
      <w:r>
        <w:rPr>
          <w:color w:val="0D0E0E"/>
        </w:rPr>
        <w:t>taxa Selic no Brasil) inalterada, em 5,25% a 5,50% ao ano.</w:t>
      </w:r>
    </w:p>
    <w:p>
      <w:pPr>
        <w:pStyle w:val="BodyText"/>
        <w:spacing w:before="241"/>
        <w:ind w:left="184" w:right="1254" w:firstLine="707"/>
        <w:jc w:val="both"/>
      </w:pPr>
      <w:r>
        <w:rPr>
          <w:color w:val="0D0E0E"/>
        </w:rPr>
        <w:t>O comunicado que veio junto a decisão veio mais “</w:t>
      </w:r>
      <w:r>
        <w:rPr>
          <w:i/>
          <w:color w:val="0D0E0E"/>
        </w:rPr>
        <w:t>dovish</w:t>
      </w:r>
      <w:r>
        <w:rPr>
          <w:color w:val="0D0E0E"/>
        </w:rPr>
        <w:t>” que o esperado. As autoridades de política monetária expressaram que apesar da atividade continuar resiliente, a inflação diminuiu ao longo do ano e que será observado a necessidade de aumento de mais um aumento de juros, o que sugere que caso se mantenha desse jeito, o ciclo de alta acabou.</w:t>
      </w:r>
    </w:p>
    <w:p>
      <w:pPr>
        <w:pStyle w:val="BodyText"/>
        <w:spacing w:before="240"/>
        <w:ind w:left="184" w:right="1260" w:firstLine="707"/>
        <w:jc w:val="both"/>
      </w:pPr>
      <w:r>
        <w:rPr>
          <w:color w:val="0D0E0E"/>
        </w:rPr>
        <w:t>O comitê ainda comunicou que irá reduzir suas participações em títulos do tesouro e dívida de agências e títulos garantidos pelas hipotecas das agências, o que implica menor participação no mercado do Banco Central.</w:t>
      </w:r>
    </w:p>
    <w:p>
      <w:pPr>
        <w:pStyle w:val="BodyText"/>
        <w:spacing w:before="241"/>
        <w:ind w:left="892"/>
      </w:pPr>
      <w:r>
        <w:rPr>
          <w:color w:val="0D0E0E"/>
        </w:rPr>
        <w:t>Por</w:t>
      </w:r>
      <w:r>
        <w:rPr>
          <w:color w:val="0D0E0E"/>
          <w:spacing w:val="-3"/>
        </w:rPr>
        <w:t> </w:t>
      </w:r>
      <w:r>
        <w:rPr>
          <w:color w:val="0D0E0E"/>
        </w:rPr>
        <w:t>enquanto,</w:t>
      </w:r>
      <w:r>
        <w:rPr>
          <w:color w:val="0D0E0E"/>
          <w:spacing w:val="-2"/>
        </w:rPr>
        <w:t> </w:t>
      </w:r>
      <w:r>
        <w:rPr>
          <w:color w:val="0D0E0E"/>
        </w:rPr>
        <w:t>seguimos</w:t>
      </w:r>
      <w:r>
        <w:rPr>
          <w:color w:val="0D0E0E"/>
          <w:spacing w:val="-2"/>
        </w:rPr>
        <w:t> </w:t>
      </w:r>
      <w:r>
        <w:rPr>
          <w:color w:val="0D0E0E"/>
        </w:rPr>
        <w:t>com</w:t>
      </w:r>
      <w:r>
        <w:rPr>
          <w:color w:val="0D0E0E"/>
          <w:spacing w:val="-4"/>
        </w:rPr>
        <w:t> </w:t>
      </w:r>
      <w:r>
        <w:rPr>
          <w:color w:val="0D0E0E"/>
        </w:rPr>
        <w:t>a</w:t>
      </w:r>
      <w:r>
        <w:rPr>
          <w:color w:val="0D0E0E"/>
          <w:spacing w:val="-3"/>
        </w:rPr>
        <w:t> </w:t>
      </w:r>
      <w:r>
        <w:rPr>
          <w:color w:val="0D0E0E"/>
        </w:rPr>
        <w:t>Fed</w:t>
      </w:r>
      <w:r>
        <w:rPr>
          <w:color w:val="0D0E0E"/>
          <w:spacing w:val="-1"/>
        </w:rPr>
        <w:t> </w:t>
      </w:r>
      <w:r>
        <w:rPr>
          <w:color w:val="0D0E0E"/>
        </w:rPr>
        <w:t>Founds</w:t>
      </w:r>
      <w:r>
        <w:rPr>
          <w:color w:val="0D0E0E"/>
          <w:spacing w:val="-2"/>
        </w:rPr>
        <w:t> </w:t>
      </w:r>
      <w:r>
        <w:rPr>
          <w:color w:val="0D0E0E"/>
        </w:rPr>
        <w:t>Rate</w:t>
      </w:r>
      <w:r>
        <w:rPr>
          <w:color w:val="0D0E0E"/>
          <w:spacing w:val="-2"/>
        </w:rPr>
        <w:t> </w:t>
      </w:r>
      <w:r>
        <w:rPr>
          <w:color w:val="0D0E0E"/>
        </w:rPr>
        <w:t>na</w:t>
      </w:r>
      <w:r>
        <w:rPr>
          <w:color w:val="0D0E0E"/>
          <w:spacing w:val="-3"/>
        </w:rPr>
        <w:t> </w:t>
      </w:r>
      <w:r>
        <w:rPr>
          <w:color w:val="0D0E0E"/>
        </w:rPr>
        <w:t>janela</w:t>
      </w:r>
      <w:r>
        <w:rPr>
          <w:color w:val="0D0E0E"/>
          <w:spacing w:val="-5"/>
        </w:rPr>
        <w:t> </w:t>
      </w:r>
      <w:r>
        <w:rPr>
          <w:color w:val="0D0E0E"/>
        </w:rPr>
        <w:t>entre</w:t>
      </w:r>
      <w:r>
        <w:rPr>
          <w:color w:val="0D0E0E"/>
          <w:spacing w:val="3"/>
        </w:rPr>
        <w:t> </w:t>
      </w:r>
      <w:r>
        <w:rPr>
          <w:color w:val="0D0E0E"/>
        </w:rPr>
        <w:t>5,25%</w:t>
      </w:r>
      <w:r>
        <w:rPr>
          <w:color w:val="0D0E0E"/>
          <w:spacing w:val="-2"/>
        </w:rPr>
        <w:t> </w:t>
      </w:r>
      <w:r>
        <w:rPr>
          <w:color w:val="0D0E0E"/>
        </w:rPr>
        <w:t>e</w:t>
      </w:r>
      <w:r>
        <w:rPr>
          <w:color w:val="0D0E0E"/>
          <w:spacing w:val="-1"/>
        </w:rPr>
        <w:t> </w:t>
      </w:r>
      <w:r>
        <w:rPr>
          <w:color w:val="0D0E0E"/>
          <w:spacing w:val="-2"/>
        </w:rPr>
        <w:t>5,5%.</w:t>
      </w:r>
    </w:p>
    <w:p>
      <w:pPr>
        <w:pStyle w:val="BodyText"/>
        <w:spacing w:after="0"/>
        <w:sectPr>
          <w:pgSz w:w="11920" w:h="16850"/>
          <w:pgMar w:top="1280" w:bottom="280" w:left="1417" w:right="141"/>
        </w:sectPr>
      </w:pPr>
    </w:p>
    <w:p>
      <w:pPr>
        <w:pStyle w:val="Heading4"/>
      </w:pPr>
      <w:r>
        <w:rPr>
          <w:color w:val="0D0E0E"/>
        </w:rPr>
        <w:t>Taxa</w:t>
      </w:r>
      <w:r>
        <w:rPr>
          <w:color w:val="0D0E0E"/>
          <w:spacing w:val="-3"/>
        </w:rPr>
        <w:t> </w:t>
      </w:r>
      <w:r>
        <w:rPr>
          <w:color w:val="0D0E0E"/>
        </w:rPr>
        <w:t>de</w:t>
      </w:r>
      <w:r>
        <w:rPr>
          <w:color w:val="0D0E0E"/>
          <w:spacing w:val="-1"/>
        </w:rPr>
        <w:t> </w:t>
      </w:r>
      <w:r>
        <w:rPr>
          <w:color w:val="0D0E0E"/>
        </w:rPr>
        <w:t>Juros –</w:t>
      </w:r>
      <w:r>
        <w:rPr>
          <w:color w:val="0D0E0E"/>
          <w:spacing w:val="-2"/>
        </w:rPr>
        <w:t> </w:t>
      </w:r>
      <w:r>
        <w:rPr>
          <w:color w:val="0D0E0E"/>
        </w:rPr>
        <w:t>Estados</w:t>
      </w:r>
      <w:r>
        <w:rPr>
          <w:color w:val="0D0E0E"/>
          <w:spacing w:val="-1"/>
        </w:rPr>
        <w:t> </w:t>
      </w:r>
      <w:r>
        <w:rPr>
          <w:color w:val="0D0E0E"/>
          <w:spacing w:val="-2"/>
        </w:rPr>
        <w:t>Unidos</w:t>
      </w:r>
    </w:p>
    <w:p>
      <w:pPr>
        <w:pStyle w:val="BodyText"/>
        <w:spacing w:before="4"/>
        <w:rPr>
          <w:b/>
          <w:sz w:val="18"/>
        </w:rPr>
      </w:pPr>
      <w:r>
        <w:rPr>
          <w:b/>
          <w:sz w:val="18"/>
        </w:rPr>
        <w:drawing>
          <wp:anchor distT="0" distB="0" distL="0" distR="0" allowOverlap="1" layoutInCell="1" locked="0" behindDoc="1" simplePos="0" relativeHeight="487590400">
            <wp:simplePos x="0" y="0"/>
            <wp:positionH relativeFrom="page">
              <wp:posOffset>1140622</wp:posOffset>
            </wp:positionH>
            <wp:positionV relativeFrom="paragraph">
              <wp:posOffset>151912</wp:posOffset>
            </wp:positionV>
            <wp:extent cx="5513423" cy="2651759"/>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3" cstate="print"/>
                    <a:stretch>
                      <a:fillRect/>
                    </a:stretch>
                  </pic:blipFill>
                  <pic:spPr>
                    <a:xfrm>
                      <a:off x="0" y="0"/>
                      <a:ext cx="5513423" cy="2651759"/>
                    </a:xfrm>
                    <a:prstGeom prst="rect">
                      <a:avLst/>
                    </a:prstGeom>
                  </pic:spPr>
                </pic:pic>
              </a:graphicData>
            </a:graphic>
          </wp:anchor>
        </w:drawing>
      </w:r>
    </w:p>
    <w:p>
      <w:pPr>
        <w:spacing w:before="26"/>
        <w:ind w:left="706" w:right="1073" w:firstLine="0"/>
        <w:jc w:val="center"/>
        <w:rPr>
          <w:rFonts w:ascii="Calibri"/>
          <w:i/>
          <w:sz w:val="20"/>
        </w:rPr>
      </w:pPr>
      <w:r>
        <w:rPr>
          <w:rFonts w:ascii="Calibri"/>
          <w:i/>
          <w:color w:val="0D0E0E"/>
          <w:spacing w:val="-2"/>
          <w:sz w:val="20"/>
        </w:rPr>
        <w:t>https://tradingeconomics.com/united-states/interest-</w:t>
      </w:r>
      <w:r>
        <w:rPr>
          <w:rFonts w:ascii="Calibri"/>
          <w:i/>
          <w:color w:val="0D0E0E"/>
          <w:spacing w:val="-4"/>
          <w:sz w:val="20"/>
        </w:rPr>
        <w:t>rate</w:t>
      </w:r>
    </w:p>
    <w:p>
      <w:pPr>
        <w:pStyle w:val="BodyText"/>
        <w:rPr>
          <w:rFonts w:ascii="Calibri"/>
          <w:i/>
          <w:sz w:val="20"/>
        </w:rPr>
      </w:pPr>
    </w:p>
    <w:p>
      <w:pPr>
        <w:pStyle w:val="BodyText"/>
        <w:rPr>
          <w:rFonts w:ascii="Calibri"/>
          <w:i/>
          <w:sz w:val="20"/>
        </w:rPr>
      </w:pPr>
    </w:p>
    <w:p>
      <w:pPr>
        <w:pStyle w:val="BodyText"/>
        <w:spacing w:before="88"/>
        <w:rPr>
          <w:rFonts w:ascii="Calibri"/>
          <w:i/>
          <w:sz w:val="20"/>
        </w:rPr>
      </w:pPr>
    </w:p>
    <w:p>
      <w:pPr>
        <w:pStyle w:val="Heading1"/>
        <w:spacing w:before="0"/>
      </w:pPr>
      <w:r>
        <w:rPr>
          <w:color w:val="0D0E0E"/>
        </w:rPr>
        <w:t>INDICADORES</w:t>
      </w:r>
      <w:r>
        <w:rPr>
          <w:color w:val="0D0E0E"/>
          <w:spacing w:val="-7"/>
        </w:rPr>
        <w:t> </w:t>
      </w:r>
      <w:r>
        <w:rPr>
          <w:color w:val="0D0E0E"/>
        </w:rPr>
        <w:t>DE</w:t>
      </w:r>
      <w:r>
        <w:rPr>
          <w:color w:val="0D0E0E"/>
          <w:spacing w:val="-5"/>
        </w:rPr>
        <w:t> </w:t>
      </w:r>
      <w:r>
        <w:rPr>
          <w:color w:val="0D0E0E"/>
          <w:spacing w:val="-2"/>
        </w:rPr>
        <w:t>ATIVIDADE</w:t>
      </w:r>
    </w:p>
    <w:p>
      <w:pPr>
        <w:pStyle w:val="Heading2"/>
        <w:spacing w:before="239"/>
      </w:pPr>
      <w:r>
        <w:rPr>
          <w:color w:val="FF0000"/>
          <w:spacing w:val="-5"/>
        </w:rPr>
        <w:t>PIB</w:t>
      </w:r>
    </w:p>
    <w:p>
      <w:pPr>
        <w:pStyle w:val="BodyText"/>
        <w:spacing w:before="242"/>
        <w:ind w:left="892"/>
      </w:pPr>
      <w:r>
        <w:rPr>
          <w:color w:val="0D0E0E"/>
        </w:rPr>
        <w:t>No</w:t>
      </w:r>
      <w:r>
        <w:rPr>
          <w:color w:val="0D0E0E"/>
          <w:spacing w:val="66"/>
        </w:rPr>
        <w:t> </w:t>
      </w:r>
      <w:r>
        <w:rPr>
          <w:color w:val="0D0E0E"/>
        </w:rPr>
        <w:t>final</w:t>
      </w:r>
      <w:r>
        <w:rPr>
          <w:color w:val="0D0E0E"/>
          <w:spacing w:val="66"/>
        </w:rPr>
        <w:t> </w:t>
      </w:r>
      <w:r>
        <w:rPr>
          <w:color w:val="0D0E0E"/>
        </w:rPr>
        <w:t>de</w:t>
      </w:r>
      <w:r>
        <w:rPr>
          <w:color w:val="0D0E0E"/>
          <w:spacing w:val="69"/>
        </w:rPr>
        <w:t> </w:t>
      </w:r>
      <w:r>
        <w:rPr>
          <w:color w:val="0D0E0E"/>
        </w:rPr>
        <w:t>novembro,</w:t>
      </w:r>
      <w:r>
        <w:rPr>
          <w:color w:val="0D0E0E"/>
          <w:spacing w:val="67"/>
        </w:rPr>
        <w:t> </w:t>
      </w:r>
      <w:r>
        <w:rPr>
          <w:color w:val="0D0E0E"/>
        </w:rPr>
        <w:t>a</w:t>
      </w:r>
      <w:r>
        <w:rPr>
          <w:color w:val="0D0E0E"/>
          <w:spacing w:val="66"/>
        </w:rPr>
        <w:t> </w:t>
      </w:r>
      <w:r>
        <w:rPr>
          <w:color w:val="0D0E0E"/>
        </w:rPr>
        <w:t>segunda</w:t>
      </w:r>
      <w:r>
        <w:rPr>
          <w:color w:val="0D0E0E"/>
          <w:spacing w:val="66"/>
        </w:rPr>
        <w:t> </w:t>
      </w:r>
      <w:r>
        <w:rPr>
          <w:color w:val="0D0E0E"/>
        </w:rPr>
        <w:t>estimativa</w:t>
      </w:r>
      <w:r>
        <w:rPr>
          <w:color w:val="0D0E0E"/>
          <w:spacing w:val="70"/>
        </w:rPr>
        <w:t> </w:t>
      </w:r>
      <w:r>
        <w:rPr>
          <w:color w:val="0D0E0E"/>
        </w:rPr>
        <w:t>do</w:t>
      </w:r>
      <w:r>
        <w:rPr>
          <w:color w:val="0D0E0E"/>
          <w:spacing w:val="66"/>
        </w:rPr>
        <w:t> </w:t>
      </w:r>
      <w:r>
        <w:rPr>
          <w:color w:val="0D0E0E"/>
        </w:rPr>
        <w:t>fechamento</w:t>
      </w:r>
      <w:r>
        <w:rPr>
          <w:color w:val="0D0E0E"/>
          <w:spacing w:val="66"/>
        </w:rPr>
        <w:t> </w:t>
      </w:r>
      <w:r>
        <w:rPr>
          <w:color w:val="0D0E0E"/>
        </w:rPr>
        <w:t>do</w:t>
      </w:r>
      <w:r>
        <w:rPr>
          <w:color w:val="0D0E0E"/>
          <w:spacing w:val="63"/>
        </w:rPr>
        <w:t> </w:t>
      </w:r>
      <w:r>
        <w:rPr>
          <w:color w:val="0D0E0E"/>
        </w:rPr>
        <w:t>PIB</w:t>
      </w:r>
      <w:r>
        <w:rPr>
          <w:color w:val="0D0E0E"/>
          <w:spacing w:val="65"/>
        </w:rPr>
        <w:t> </w:t>
      </w:r>
      <w:r>
        <w:rPr>
          <w:color w:val="0D0E0E"/>
        </w:rPr>
        <w:t>do</w:t>
      </w:r>
      <w:r>
        <w:rPr>
          <w:color w:val="0D0E0E"/>
          <w:spacing w:val="67"/>
        </w:rPr>
        <w:t> </w:t>
      </w:r>
      <w:r>
        <w:rPr>
          <w:color w:val="0D0E0E"/>
          <w:spacing w:val="-5"/>
        </w:rPr>
        <w:t>3º</w:t>
      </w:r>
    </w:p>
    <w:p>
      <w:pPr>
        <w:pStyle w:val="BodyText"/>
        <w:ind w:left="184" w:right="1199"/>
      </w:pPr>
      <w:r>
        <w:rPr>
          <w:color w:val="0D0E0E"/>
        </w:rPr>
        <w:t>trimestre foi divulgado, superando as expectativas de analistas. O dado veio em 5,2%, ultrapassando o consenso Refinitiv que apontava alta de 5,0%.</w:t>
      </w:r>
    </w:p>
    <w:p>
      <w:pPr>
        <w:pStyle w:val="BodyText"/>
        <w:spacing w:before="238"/>
        <w:ind w:left="184" w:right="1260" w:firstLine="707"/>
        <w:jc w:val="both"/>
      </w:pPr>
      <w:r>
        <w:rPr>
          <w:color w:val="0D0E0E"/>
        </w:rPr>
        <w:t>A evolução do PIB no terceiro trimestre refletiu o aumento nos gastos dos consumidores,</w:t>
      </w:r>
      <w:r>
        <w:rPr>
          <w:color w:val="0D0E0E"/>
          <w:spacing w:val="-5"/>
        </w:rPr>
        <w:t> </w:t>
      </w:r>
      <w:r>
        <w:rPr>
          <w:color w:val="0D0E0E"/>
        </w:rPr>
        <w:t>o</w:t>
      </w:r>
      <w:r>
        <w:rPr>
          <w:color w:val="0D0E0E"/>
          <w:spacing w:val="-9"/>
        </w:rPr>
        <w:t> </w:t>
      </w:r>
      <w:r>
        <w:rPr>
          <w:color w:val="0D0E0E"/>
        </w:rPr>
        <w:t>investimento</w:t>
      </w:r>
      <w:r>
        <w:rPr>
          <w:color w:val="0D0E0E"/>
          <w:spacing w:val="-6"/>
        </w:rPr>
        <w:t> </w:t>
      </w:r>
      <w:r>
        <w:rPr>
          <w:color w:val="0D0E0E"/>
        </w:rPr>
        <w:t>privado,</w:t>
      </w:r>
      <w:r>
        <w:rPr>
          <w:color w:val="0D0E0E"/>
          <w:spacing w:val="-5"/>
        </w:rPr>
        <w:t> </w:t>
      </w:r>
      <w:r>
        <w:rPr>
          <w:color w:val="0D0E0E"/>
        </w:rPr>
        <w:t>as</w:t>
      </w:r>
      <w:r>
        <w:rPr>
          <w:color w:val="0D0E0E"/>
          <w:spacing w:val="-8"/>
        </w:rPr>
        <w:t> </w:t>
      </w:r>
      <w:r>
        <w:rPr>
          <w:color w:val="0D0E0E"/>
        </w:rPr>
        <w:t>exportações</w:t>
      </w:r>
      <w:r>
        <w:rPr>
          <w:color w:val="0D0E0E"/>
          <w:spacing w:val="-6"/>
        </w:rPr>
        <w:t> </w:t>
      </w:r>
      <w:r>
        <w:rPr>
          <w:color w:val="0D0E0E"/>
        </w:rPr>
        <w:t>e</w:t>
      </w:r>
      <w:r>
        <w:rPr>
          <w:color w:val="0D0E0E"/>
          <w:spacing w:val="-5"/>
        </w:rPr>
        <w:t> </w:t>
      </w:r>
      <w:r>
        <w:rPr>
          <w:color w:val="0D0E0E"/>
        </w:rPr>
        <w:t>os</w:t>
      </w:r>
      <w:r>
        <w:rPr>
          <w:color w:val="0D0E0E"/>
          <w:spacing w:val="-9"/>
        </w:rPr>
        <w:t> </w:t>
      </w:r>
      <w:r>
        <w:rPr>
          <w:color w:val="0D0E0E"/>
        </w:rPr>
        <w:t>gastos</w:t>
      </w:r>
      <w:r>
        <w:rPr>
          <w:color w:val="0D0E0E"/>
          <w:spacing w:val="-6"/>
        </w:rPr>
        <w:t> </w:t>
      </w:r>
      <w:r>
        <w:rPr>
          <w:color w:val="0D0E0E"/>
        </w:rPr>
        <w:t>dos</w:t>
      </w:r>
      <w:r>
        <w:rPr>
          <w:color w:val="0D0E0E"/>
          <w:spacing w:val="-11"/>
        </w:rPr>
        <w:t> </w:t>
      </w:r>
      <w:r>
        <w:rPr>
          <w:color w:val="0D0E0E"/>
        </w:rPr>
        <w:t>governos</w:t>
      </w:r>
      <w:r>
        <w:rPr>
          <w:color w:val="0D0E0E"/>
          <w:spacing w:val="-6"/>
        </w:rPr>
        <w:t> </w:t>
      </w:r>
      <w:r>
        <w:rPr>
          <w:color w:val="0D0E0E"/>
        </w:rPr>
        <w:t>federal, estaduais e locais.</w:t>
      </w:r>
    </w:p>
    <w:p>
      <w:pPr>
        <w:pStyle w:val="BodyText"/>
        <w:spacing w:before="241"/>
        <w:ind w:left="184" w:right="1257" w:firstLine="707"/>
        <w:jc w:val="both"/>
      </w:pPr>
      <w:r>
        <w:rPr>
          <w:color w:val="0D0E0E"/>
        </w:rPr>
        <w:t>Contudo,</w:t>
      </w:r>
      <w:r>
        <w:rPr>
          <w:color w:val="0D0E0E"/>
          <w:spacing w:val="-8"/>
        </w:rPr>
        <w:t> </w:t>
      </w:r>
      <w:r>
        <w:rPr>
          <w:color w:val="0D0E0E"/>
        </w:rPr>
        <w:t>apesar</w:t>
      </w:r>
      <w:r>
        <w:rPr>
          <w:color w:val="0D0E0E"/>
          <w:spacing w:val="-9"/>
        </w:rPr>
        <w:t> </w:t>
      </w:r>
      <w:r>
        <w:rPr>
          <w:color w:val="0D0E0E"/>
        </w:rPr>
        <w:t>do</w:t>
      </w:r>
      <w:r>
        <w:rPr>
          <w:color w:val="0D0E0E"/>
          <w:spacing w:val="-9"/>
        </w:rPr>
        <w:t> </w:t>
      </w:r>
      <w:r>
        <w:rPr>
          <w:color w:val="0D0E0E"/>
        </w:rPr>
        <w:t>resultado</w:t>
      </w:r>
      <w:r>
        <w:rPr>
          <w:color w:val="0D0E0E"/>
          <w:spacing w:val="-7"/>
        </w:rPr>
        <w:t> </w:t>
      </w:r>
      <w:r>
        <w:rPr>
          <w:color w:val="0D0E0E"/>
        </w:rPr>
        <w:t>acima</w:t>
      </w:r>
      <w:r>
        <w:rPr>
          <w:color w:val="0D0E0E"/>
          <w:spacing w:val="-9"/>
        </w:rPr>
        <w:t> </w:t>
      </w:r>
      <w:r>
        <w:rPr>
          <w:color w:val="0D0E0E"/>
        </w:rPr>
        <w:t>do</w:t>
      </w:r>
      <w:r>
        <w:rPr>
          <w:color w:val="0D0E0E"/>
          <w:spacing w:val="-9"/>
        </w:rPr>
        <w:t> </w:t>
      </w:r>
      <w:r>
        <w:rPr>
          <w:color w:val="0D0E0E"/>
        </w:rPr>
        <w:t>esperado,</w:t>
      </w:r>
      <w:r>
        <w:rPr>
          <w:color w:val="0D0E0E"/>
          <w:spacing w:val="-7"/>
        </w:rPr>
        <w:t> </w:t>
      </w:r>
      <w:r>
        <w:rPr>
          <w:color w:val="0D0E0E"/>
        </w:rPr>
        <w:t>a</w:t>
      </w:r>
      <w:r>
        <w:rPr>
          <w:color w:val="0D0E0E"/>
          <w:spacing w:val="-9"/>
        </w:rPr>
        <w:t> </w:t>
      </w:r>
      <w:r>
        <w:rPr>
          <w:color w:val="0D0E0E"/>
        </w:rPr>
        <w:t>expectativa</w:t>
      </w:r>
      <w:r>
        <w:rPr>
          <w:color w:val="0D0E0E"/>
          <w:spacing w:val="-8"/>
        </w:rPr>
        <w:t> </w:t>
      </w:r>
      <w:r>
        <w:rPr>
          <w:color w:val="0D0E0E"/>
        </w:rPr>
        <w:t>é</w:t>
      </w:r>
      <w:r>
        <w:rPr>
          <w:color w:val="0D0E0E"/>
          <w:spacing w:val="-8"/>
        </w:rPr>
        <w:t> </w:t>
      </w:r>
      <w:r>
        <w:rPr>
          <w:color w:val="0D0E0E"/>
        </w:rPr>
        <w:t>de</w:t>
      </w:r>
      <w:r>
        <w:rPr>
          <w:color w:val="0D0E0E"/>
          <w:spacing w:val="-8"/>
        </w:rPr>
        <w:t> </w:t>
      </w:r>
      <w:r>
        <w:rPr>
          <w:color w:val="0D0E0E"/>
        </w:rPr>
        <w:t>pouso</w:t>
      </w:r>
      <w:r>
        <w:rPr>
          <w:color w:val="0D0E0E"/>
          <w:spacing w:val="-9"/>
        </w:rPr>
        <w:t> </w:t>
      </w:r>
      <w:r>
        <w:rPr>
          <w:color w:val="0D0E0E"/>
        </w:rPr>
        <w:t>suave, ou seja, é esperado que o 4º trimestre não venha com o mesmo ritmo de crescimento </w:t>
      </w:r>
      <w:r>
        <w:rPr>
          <w:color w:val="0D0E0E"/>
          <w:spacing w:val="-2"/>
        </w:rPr>
        <w:t>econômico.</w:t>
      </w:r>
    </w:p>
    <w:p>
      <w:pPr>
        <w:pStyle w:val="Heading2"/>
        <w:spacing w:before="240"/>
      </w:pPr>
      <w:r>
        <w:rPr>
          <w:color w:val="FF0000"/>
          <w:spacing w:val="-5"/>
        </w:rPr>
        <w:t>PMI</w:t>
      </w:r>
    </w:p>
    <w:p>
      <w:pPr>
        <w:pStyle w:val="BodyText"/>
        <w:spacing w:before="240"/>
        <w:ind w:left="892"/>
      </w:pPr>
      <w:r>
        <w:rPr>
          <w:color w:val="0D0E0E"/>
        </w:rPr>
        <w:t>Com</w:t>
      </w:r>
      <w:r>
        <w:rPr>
          <w:color w:val="0D0E0E"/>
          <w:spacing w:val="14"/>
        </w:rPr>
        <w:t> </w:t>
      </w:r>
      <w:r>
        <w:rPr>
          <w:color w:val="0D0E0E"/>
        </w:rPr>
        <w:t>melhor</w:t>
      </w:r>
      <w:r>
        <w:rPr>
          <w:color w:val="0D0E0E"/>
          <w:spacing w:val="14"/>
        </w:rPr>
        <w:t> </w:t>
      </w:r>
      <w:r>
        <w:rPr>
          <w:color w:val="0D0E0E"/>
        </w:rPr>
        <w:t>resultado</w:t>
      </w:r>
      <w:r>
        <w:rPr>
          <w:color w:val="0D0E0E"/>
          <w:spacing w:val="15"/>
        </w:rPr>
        <w:t> </w:t>
      </w:r>
      <w:r>
        <w:rPr>
          <w:color w:val="0D0E0E"/>
        </w:rPr>
        <w:t>dos</w:t>
      </w:r>
      <w:r>
        <w:rPr>
          <w:color w:val="0D0E0E"/>
          <w:spacing w:val="15"/>
        </w:rPr>
        <w:t> </w:t>
      </w:r>
      <w:r>
        <w:rPr>
          <w:color w:val="0D0E0E"/>
        </w:rPr>
        <w:t>últimos</w:t>
      </w:r>
      <w:r>
        <w:rPr>
          <w:color w:val="0D0E0E"/>
          <w:spacing w:val="15"/>
        </w:rPr>
        <w:t> </w:t>
      </w:r>
      <w:r>
        <w:rPr>
          <w:color w:val="0D0E0E"/>
        </w:rPr>
        <w:t>quatro</w:t>
      </w:r>
      <w:r>
        <w:rPr>
          <w:color w:val="0D0E0E"/>
          <w:spacing w:val="14"/>
        </w:rPr>
        <w:t> </w:t>
      </w:r>
      <w:r>
        <w:rPr>
          <w:color w:val="0D0E0E"/>
        </w:rPr>
        <w:t>meses,</w:t>
      </w:r>
      <w:r>
        <w:rPr>
          <w:color w:val="0D0E0E"/>
          <w:spacing w:val="16"/>
        </w:rPr>
        <w:t> </w:t>
      </w:r>
      <w:r>
        <w:rPr>
          <w:color w:val="0D0E0E"/>
        </w:rPr>
        <w:t>o</w:t>
      </w:r>
      <w:r>
        <w:rPr>
          <w:color w:val="0D0E0E"/>
          <w:spacing w:val="12"/>
        </w:rPr>
        <w:t> </w:t>
      </w:r>
      <w:r>
        <w:rPr>
          <w:color w:val="0D0E0E"/>
        </w:rPr>
        <w:t>PMI</w:t>
      </w:r>
      <w:r>
        <w:rPr>
          <w:color w:val="0D0E0E"/>
          <w:spacing w:val="12"/>
        </w:rPr>
        <w:t> </w:t>
      </w:r>
      <w:r>
        <w:rPr>
          <w:color w:val="0D0E0E"/>
        </w:rPr>
        <w:t>de</w:t>
      </w:r>
      <w:r>
        <w:rPr>
          <w:color w:val="0D0E0E"/>
          <w:spacing w:val="13"/>
        </w:rPr>
        <w:t> </w:t>
      </w:r>
      <w:r>
        <w:rPr>
          <w:color w:val="0D0E0E"/>
        </w:rPr>
        <w:t>Serviços</w:t>
      </w:r>
      <w:r>
        <w:rPr>
          <w:color w:val="0D0E0E"/>
          <w:spacing w:val="15"/>
        </w:rPr>
        <w:t> </w:t>
      </w:r>
      <w:r>
        <w:rPr>
          <w:color w:val="0D0E0E"/>
        </w:rPr>
        <w:t>foi</w:t>
      </w:r>
      <w:r>
        <w:rPr>
          <w:color w:val="0D0E0E"/>
          <w:spacing w:val="16"/>
        </w:rPr>
        <w:t> </w:t>
      </w:r>
      <w:r>
        <w:rPr>
          <w:color w:val="0D0E0E"/>
        </w:rPr>
        <w:t>de</w:t>
      </w:r>
      <w:r>
        <w:rPr>
          <w:color w:val="0D0E0E"/>
          <w:spacing w:val="14"/>
        </w:rPr>
        <w:t> </w:t>
      </w:r>
      <w:r>
        <w:rPr>
          <w:color w:val="0D0E0E"/>
          <w:spacing w:val="-4"/>
        </w:rPr>
        <w:t>50,8</w:t>
      </w:r>
    </w:p>
    <w:p>
      <w:pPr>
        <w:pStyle w:val="BodyText"/>
        <w:ind w:left="184" w:right="1259"/>
        <w:jc w:val="both"/>
      </w:pPr>
      <w:r>
        <w:rPr>
          <w:color w:val="0D0E0E"/>
        </w:rPr>
        <w:t>em novembro, ante os 50,6 de outubro. O resultado foi acima das expectativas do mercado, que previa um valor de 50,4. No campo de expansão, o setor de serviços vem mostrando força apesar dos juros estarem em patamares elevados.</w:t>
      </w:r>
    </w:p>
    <w:p>
      <w:pPr>
        <w:pStyle w:val="BodyText"/>
        <w:spacing w:after="0"/>
        <w:jc w:val="both"/>
        <w:sectPr>
          <w:pgSz w:w="11920" w:h="16850"/>
          <w:pgMar w:top="1280" w:bottom="280" w:left="1417" w:right="141"/>
        </w:sectPr>
      </w:pPr>
    </w:p>
    <w:p>
      <w:pPr>
        <w:pStyle w:val="Heading4"/>
      </w:pPr>
      <w:r>
        <w:rPr>
          <w:color w:val="0D0E0E"/>
        </w:rPr>
        <w:t>PMI</w:t>
      </w:r>
      <w:r>
        <w:rPr>
          <w:color w:val="0D0E0E"/>
          <w:spacing w:val="-2"/>
        </w:rPr>
        <w:t> </w:t>
      </w:r>
      <w:r>
        <w:rPr>
          <w:color w:val="0D0E0E"/>
        </w:rPr>
        <w:t>Serviços</w:t>
      </w:r>
      <w:r>
        <w:rPr>
          <w:color w:val="0D0E0E"/>
          <w:spacing w:val="-1"/>
        </w:rPr>
        <w:t> </w:t>
      </w:r>
      <w:r>
        <w:rPr>
          <w:color w:val="0D0E0E"/>
        </w:rPr>
        <w:t>-</w:t>
      </w:r>
      <w:r>
        <w:rPr>
          <w:color w:val="0D0E0E"/>
          <w:spacing w:val="-1"/>
        </w:rPr>
        <w:t> </w:t>
      </w:r>
      <w:r>
        <w:rPr>
          <w:color w:val="0D0E0E"/>
        </w:rPr>
        <w:t>Estados</w:t>
      </w:r>
      <w:r>
        <w:rPr>
          <w:color w:val="0D0E0E"/>
          <w:spacing w:val="-3"/>
        </w:rPr>
        <w:t> </w:t>
      </w:r>
      <w:r>
        <w:rPr>
          <w:color w:val="0D0E0E"/>
          <w:spacing w:val="-2"/>
        </w:rPr>
        <w:t>Unidos:</w:t>
      </w:r>
    </w:p>
    <w:p>
      <w:pPr>
        <w:pStyle w:val="BodyText"/>
        <w:spacing w:before="2"/>
        <w:rPr>
          <w:b/>
          <w:sz w:val="18"/>
        </w:rPr>
      </w:pPr>
      <w:r>
        <w:rPr>
          <w:b/>
          <w:sz w:val="18"/>
        </w:rPr>
        <w:drawing>
          <wp:anchor distT="0" distB="0" distL="0" distR="0" allowOverlap="1" layoutInCell="1" locked="0" behindDoc="1" simplePos="0" relativeHeight="487590912">
            <wp:simplePos x="0" y="0"/>
            <wp:positionH relativeFrom="page">
              <wp:posOffset>1016000</wp:posOffset>
            </wp:positionH>
            <wp:positionV relativeFrom="paragraph">
              <wp:posOffset>150642</wp:posOffset>
            </wp:positionV>
            <wp:extent cx="5633851" cy="2668333"/>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4" cstate="print"/>
                    <a:stretch>
                      <a:fillRect/>
                    </a:stretch>
                  </pic:blipFill>
                  <pic:spPr>
                    <a:xfrm>
                      <a:off x="0" y="0"/>
                      <a:ext cx="5633851" cy="2668333"/>
                    </a:xfrm>
                    <a:prstGeom prst="rect">
                      <a:avLst/>
                    </a:prstGeom>
                  </pic:spPr>
                </pic:pic>
              </a:graphicData>
            </a:graphic>
          </wp:anchor>
        </w:drawing>
      </w:r>
    </w:p>
    <w:p>
      <w:pPr>
        <w:spacing w:before="31"/>
        <w:ind w:left="709" w:right="1073" w:firstLine="0"/>
        <w:jc w:val="center"/>
        <w:rPr>
          <w:rFonts w:ascii="Calibri"/>
          <w:i/>
          <w:sz w:val="20"/>
        </w:rPr>
      </w:pPr>
      <w:r>
        <w:rPr>
          <w:rFonts w:ascii="Calibri"/>
          <w:i/>
          <w:color w:val="0D0E0E"/>
          <w:spacing w:val="-2"/>
          <w:sz w:val="20"/>
        </w:rPr>
        <w:t>https://tradingeconomics.com/united-states/services-</w:t>
      </w:r>
      <w:r>
        <w:rPr>
          <w:rFonts w:ascii="Calibri"/>
          <w:i/>
          <w:color w:val="0D0E0E"/>
          <w:spacing w:val="-5"/>
          <w:sz w:val="20"/>
        </w:rPr>
        <w:t>pmi</w:t>
      </w:r>
    </w:p>
    <w:p>
      <w:pPr>
        <w:pStyle w:val="BodyText"/>
        <w:rPr>
          <w:rFonts w:ascii="Calibri"/>
          <w:i/>
          <w:sz w:val="20"/>
        </w:rPr>
      </w:pPr>
    </w:p>
    <w:p>
      <w:pPr>
        <w:pStyle w:val="BodyText"/>
        <w:rPr>
          <w:rFonts w:ascii="Calibri"/>
          <w:i/>
          <w:sz w:val="20"/>
        </w:rPr>
      </w:pPr>
    </w:p>
    <w:p>
      <w:pPr>
        <w:pStyle w:val="BodyText"/>
        <w:spacing w:before="27"/>
        <w:rPr>
          <w:rFonts w:ascii="Calibri"/>
          <w:i/>
          <w:sz w:val="20"/>
        </w:rPr>
      </w:pPr>
    </w:p>
    <w:p>
      <w:pPr>
        <w:pStyle w:val="BodyText"/>
        <w:spacing w:before="1"/>
        <w:ind w:left="184" w:right="1260" w:firstLine="707"/>
        <w:jc w:val="both"/>
      </w:pPr>
      <w:r>
        <w:rPr>
          <w:color w:val="0D0E0E"/>
        </w:rPr>
        <w:t>Enquanto o PMI de Serviços veio acima do esperado, o PMI de Manufatura apresentou</w:t>
      </w:r>
      <w:r>
        <w:rPr>
          <w:color w:val="0D0E0E"/>
          <w:spacing w:val="-3"/>
        </w:rPr>
        <w:t> </w:t>
      </w:r>
      <w:r>
        <w:rPr>
          <w:color w:val="0D0E0E"/>
        </w:rPr>
        <w:t>o</w:t>
      </w:r>
      <w:r>
        <w:rPr>
          <w:color w:val="0D0E0E"/>
          <w:spacing w:val="-2"/>
        </w:rPr>
        <w:t> </w:t>
      </w:r>
      <w:r>
        <w:rPr>
          <w:color w:val="0D0E0E"/>
        </w:rPr>
        <w:t>menor</w:t>
      </w:r>
      <w:r>
        <w:rPr>
          <w:color w:val="0D0E0E"/>
          <w:spacing w:val="-4"/>
        </w:rPr>
        <w:t> </w:t>
      </w:r>
      <w:r>
        <w:rPr>
          <w:color w:val="0D0E0E"/>
        </w:rPr>
        <w:t>resultado</w:t>
      </w:r>
      <w:r>
        <w:rPr>
          <w:color w:val="0D0E0E"/>
          <w:spacing w:val="-2"/>
        </w:rPr>
        <w:t> </w:t>
      </w:r>
      <w:r>
        <w:rPr>
          <w:color w:val="0D0E0E"/>
        </w:rPr>
        <w:t>dos</w:t>
      </w:r>
      <w:r>
        <w:rPr>
          <w:color w:val="0D0E0E"/>
          <w:spacing w:val="-2"/>
        </w:rPr>
        <w:t> </w:t>
      </w:r>
      <w:r>
        <w:rPr>
          <w:color w:val="0D0E0E"/>
        </w:rPr>
        <w:t>últimos</w:t>
      </w:r>
      <w:r>
        <w:rPr>
          <w:color w:val="0D0E0E"/>
          <w:spacing w:val="-2"/>
        </w:rPr>
        <w:t> </w:t>
      </w:r>
      <w:r>
        <w:rPr>
          <w:color w:val="0D0E0E"/>
        </w:rPr>
        <w:t>três meses.</w:t>
      </w:r>
      <w:r>
        <w:rPr>
          <w:color w:val="0D0E0E"/>
          <w:spacing w:val="-1"/>
        </w:rPr>
        <w:t> </w:t>
      </w:r>
      <w:r>
        <w:rPr>
          <w:color w:val="0D0E0E"/>
        </w:rPr>
        <w:t>O</w:t>
      </w:r>
      <w:r>
        <w:rPr>
          <w:color w:val="0D0E0E"/>
          <w:spacing w:val="-3"/>
        </w:rPr>
        <w:t> </w:t>
      </w:r>
      <w:r>
        <w:rPr>
          <w:color w:val="0D0E0E"/>
        </w:rPr>
        <w:t>setor</w:t>
      </w:r>
      <w:r>
        <w:rPr>
          <w:color w:val="0D0E0E"/>
          <w:spacing w:val="-4"/>
        </w:rPr>
        <w:t> </w:t>
      </w:r>
      <w:r>
        <w:rPr>
          <w:color w:val="0D0E0E"/>
        </w:rPr>
        <w:t>de</w:t>
      </w:r>
      <w:r>
        <w:rPr>
          <w:color w:val="0D0E0E"/>
          <w:spacing w:val="-2"/>
        </w:rPr>
        <w:t> </w:t>
      </w:r>
      <w:r>
        <w:rPr>
          <w:color w:val="0D0E0E"/>
        </w:rPr>
        <w:t>manufatura</w:t>
      </w:r>
      <w:r>
        <w:rPr>
          <w:color w:val="0D0E0E"/>
          <w:spacing w:val="-3"/>
        </w:rPr>
        <w:t> </w:t>
      </w:r>
      <w:r>
        <w:rPr>
          <w:color w:val="0D0E0E"/>
        </w:rPr>
        <w:t>voltou</w:t>
      </w:r>
      <w:r>
        <w:rPr>
          <w:color w:val="0D0E0E"/>
          <w:spacing w:val="-3"/>
        </w:rPr>
        <w:t> </w:t>
      </w:r>
      <w:r>
        <w:rPr>
          <w:color w:val="0D0E0E"/>
        </w:rPr>
        <w:t>ao campo de recessão com resultado de 49,4 novembro.</w:t>
      </w:r>
    </w:p>
    <w:p>
      <w:pPr>
        <w:pStyle w:val="BodyText"/>
      </w:pPr>
    </w:p>
    <w:p>
      <w:pPr>
        <w:pStyle w:val="BodyText"/>
        <w:spacing w:before="196"/>
      </w:pPr>
    </w:p>
    <w:p>
      <w:pPr>
        <w:pStyle w:val="Heading4"/>
        <w:spacing w:before="0"/>
        <w:ind w:left="712"/>
      </w:pPr>
      <w:r>
        <w:rPr>
          <w:color w:val="0D0E0E"/>
        </w:rPr>
        <w:t>PMI</w:t>
      </w:r>
      <w:r>
        <w:rPr>
          <w:color w:val="0D0E0E"/>
          <w:spacing w:val="-3"/>
        </w:rPr>
        <w:t> </w:t>
      </w:r>
      <w:r>
        <w:rPr>
          <w:color w:val="0D0E0E"/>
        </w:rPr>
        <w:t>Manufatura</w:t>
      </w:r>
      <w:r>
        <w:rPr>
          <w:color w:val="0D0E0E"/>
          <w:spacing w:val="1"/>
        </w:rPr>
        <w:t> </w:t>
      </w:r>
      <w:r>
        <w:rPr>
          <w:color w:val="0D0E0E"/>
        </w:rPr>
        <w:t>–</w:t>
      </w:r>
      <w:r>
        <w:rPr>
          <w:color w:val="0D0E0E"/>
          <w:spacing w:val="-3"/>
        </w:rPr>
        <w:t> </w:t>
      </w:r>
      <w:r>
        <w:rPr>
          <w:color w:val="0D0E0E"/>
        </w:rPr>
        <w:t>Estados</w:t>
      </w:r>
      <w:r>
        <w:rPr>
          <w:color w:val="0D0E0E"/>
          <w:spacing w:val="-3"/>
        </w:rPr>
        <w:t> </w:t>
      </w:r>
      <w:r>
        <w:rPr>
          <w:color w:val="0D0E0E"/>
          <w:spacing w:val="-2"/>
        </w:rPr>
        <w:t>Unidos:</w:t>
      </w:r>
    </w:p>
    <w:p>
      <w:pPr>
        <w:pStyle w:val="BodyText"/>
        <w:spacing w:before="9"/>
        <w:rPr>
          <w:b/>
          <w:sz w:val="18"/>
        </w:rPr>
      </w:pPr>
      <w:r>
        <w:rPr>
          <w:b/>
          <w:sz w:val="18"/>
        </w:rPr>
        <w:drawing>
          <wp:anchor distT="0" distB="0" distL="0" distR="0" allowOverlap="1" layoutInCell="1" locked="0" behindDoc="1" simplePos="0" relativeHeight="487591424">
            <wp:simplePos x="0" y="0"/>
            <wp:positionH relativeFrom="page">
              <wp:posOffset>1148930</wp:posOffset>
            </wp:positionH>
            <wp:positionV relativeFrom="paragraph">
              <wp:posOffset>155279</wp:posOffset>
            </wp:positionV>
            <wp:extent cx="5508929" cy="2734627"/>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5" cstate="print"/>
                    <a:stretch>
                      <a:fillRect/>
                    </a:stretch>
                  </pic:blipFill>
                  <pic:spPr>
                    <a:xfrm>
                      <a:off x="0" y="0"/>
                      <a:ext cx="5508929" cy="2734627"/>
                    </a:xfrm>
                    <a:prstGeom prst="rect">
                      <a:avLst/>
                    </a:prstGeom>
                  </pic:spPr>
                </pic:pic>
              </a:graphicData>
            </a:graphic>
          </wp:anchor>
        </w:drawing>
      </w:r>
    </w:p>
    <w:p>
      <w:pPr>
        <w:spacing w:before="16"/>
        <w:ind w:left="711" w:right="1073" w:firstLine="0"/>
        <w:jc w:val="center"/>
        <w:rPr>
          <w:rFonts w:ascii="Calibri"/>
          <w:i/>
          <w:sz w:val="20"/>
        </w:rPr>
      </w:pPr>
      <w:r>
        <w:rPr>
          <w:rFonts w:ascii="Calibri"/>
          <w:i/>
          <w:color w:val="0D0E0E"/>
          <w:spacing w:val="-2"/>
          <w:sz w:val="20"/>
        </w:rPr>
        <w:t>https://tradingeconomics.com/united-states/manufacturing-</w:t>
      </w:r>
      <w:r>
        <w:rPr>
          <w:rFonts w:ascii="Calibri"/>
          <w:i/>
          <w:color w:val="0D0E0E"/>
          <w:spacing w:val="-5"/>
          <w:sz w:val="20"/>
        </w:rPr>
        <w:t>pmi</w:t>
      </w:r>
    </w:p>
    <w:p>
      <w:pPr>
        <w:pStyle w:val="BodyText"/>
        <w:spacing w:before="239"/>
        <w:ind w:left="184" w:right="1252" w:firstLine="707"/>
        <w:jc w:val="both"/>
      </w:pPr>
      <w:r>
        <w:rPr>
          <w:color w:val="0D0E0E"/>
        </w:rPr>
        <w:t>Na</w:t>
      </w:r>
      <w:r>
        <w:rPr>
          <w:color w:val="0D0E0E"/>
          <w:spacing w:val="-5"/>
        </w:rPr>
        <w:t> </w:t>
      </w:r>
      <w:r>
        <w:rPr>
          <w:color w:val="0D0E0E"/>
        </w:rPr>
        <w:t>síntese,</w:t>
      </w:r>
      <w:r>
        <w:rPr>
          <w:color w:val="0D0E0E"/>
          <w:spacing w:val="-4"/>
        </w:rPr>
        <w:t> </w:t>
      </w:r>
      <w:r>
        <w:rPr>
          <w:color w:val="0D0E0E"/>
        </w:rPr>
        <w:t>o</w:t>
      </w:r>
      <w:r>
        <w:rPr>
          <w:color w:val="0D0E0E"/>
          <w:spacing w:val="-8"/>
        </w:rPr>
        <w:t> </w:t>
      </w:r>
      <w:r>
        <w:rPr>
          <w:color w:val="0D0E0E"/>
        </w:rPr>
        <w:t>índice</w:t>
      </w:r>
      <w:r>
        <w:rPr>
          <w:color w:val="0D0E0E"/>
          <w:spacing w:val="-4"/>
        </w:rPr>
        <w:t> </w:t>
      </w:r>
      <w:r>
        <w:rPr>
          <w:color w:val="0D0E0E"/>
        </w:rPr>
        <w:t>composto</w:t>
      </w:r>
      <w:r>
        <w:rPr>
          <w:color w:val="0D0E0E"/>
          <w:spacing w:val="-4"/>
        </w:rPr>
        <w:t> </w:t>
      </w:r>
      <w:r>
        <w:rPr>
          <w:color w:val="0D0E0E"/>
        </w:rPr>
        <w:t>trouxe</w:t>
      </w:r>
      <w:r>
        <w:rPr>
          <w:color w:val="0D0E0E"/>
          <w:spacing w:val="-4"/>
        </w:rPr>
        <w:t> </w:t>
      </w:r>
      <w:r>
        <w:rPr>
          <w:color w:val="0D0E0E"/>
        </w:rPr>
        <w:t>um</w:t>
      </w:r>
      <w:r>
        <w:rPr>
          <w:color w:val="0D0E0E"/>
          <w:spacing w:val="-6"/>
        </w:rPr>
        <w:t> </w:t>
      </w:r>
      <w:r>
        <w:rPr>
          <w:color w:val="0D0E0E"/>
        </w:rPr>
        <w:t>dado</w:t>
      </w:r>
      <w:r>
        <w:rPr>
          <w:color w:val="0D0E0E"/>
          <w:spacing w:val="-8"/>
        </w:rPr>
        <w:t> </w:t>
      </w:r>
      <w:r>
        <w:rPr>
          <w:color w:val="0D0E0E"/>
        </w:rPr>
        <w:t>mais</w:t>
      </w:r>
      <w:r>
        <w:rPr>
          <w:color w:val="0D0E0E"/>
          <w:spacing w:val="-4"/>
        </w:rPr>
        <w:t> </w:t>
      </w:r>
      <w:r>
        <w:rPr>
          <w:color w:val="0D0E0E"/>
        </w:rPr>
        <w:t>otimista</w:t>
      </w:r>
      <w:r>
        <w:rPr>
          <w:color w:val="0D0E0E"/>
          <w:spacing w:val="-6"/>
        </w:rPr>
        <w:t> </w:t>
      </w:r>
      <w:r>
        <w:rPr>
          <w:color w:val="0D0E0E"/>
        </w:rPr>
        <w:t>que</w:t>
      </w:r>
      <w:r>
        <w:rPr>
          <w:color w:val="0D0E0E"/>
          <w:spacing w:val="-7"/>
        </w:rPr>
        <w:t> </w:t>
      </w:r>
      <w:r>
        <w:rPr>
          <w:color w:val="0D0E0E"/>
        </w:rPr>
        <w:t>no</w:t>
      </w:r>
      <w:r>
        <w:rPr>
          <w:color w:val="0D0E0E"/>
          <w:spacing w:val="-5"/>
        </w:rPr>
        <w:t> </w:t>
      </w:r>
      <w:r>
        <w:rPr>
          <w:color w:val="0D0E0E"/>
        </w:rPr>
        <w:t>mês</w:t>
      </w:r>
      <w:r>
        <w:rPr>
          <w:color w:val="0D0E0E"/>
          <w:spacing w:val="-4"/>
        </w:rPr>
        <w:t> </w:t>
      </w:r>
      <w:r>
        <w:rPr>
          <w:color w:val="0D0E0E"/>
        </w:rPr>
        <w:t>anterior impulsionado</w:t>
      </w:r>
      <w:r>
        <w:rPr>
          <w:color w:val="0D0E0E"/>
          <w:spacing w:val="-14"/>
        </w:rPr>
        <w:t> </w:t>
      </w:r>
      <w:r>
        <w:rPr>
          <w:color w:val="0D0E0E"/>
        </w:rPr>
        <w:t>pela</w:t>
      </w:r>
      <w:r>
        <w:rPr>
          <w:color w:val="0D0E0E"/>
          <w:spacing w:val="-13"/>
        </w:rPr>
        <w:t> </w:t>
      </w:r>
      <w:r>
        <w:rPr>
          <w:color w:val="0D0E0E"/>
        </w:rPr>
        <w:t>melhora</w:t>
      </w:r>
      <w:r>
        <w:rPr>
          <w:color w:val="0D0E0E"/>
          <w:spacing w:val="-13"/>
        </w:rPr>
        <w:t> </w:t>
      </w:r>
      <w:r>
        <w:rPr>
          <w:color w:val="0D0E0E"/>
        </w:rPr>
        <w:t>de</w:t>
      </w:r>
      <w:r>
        <w:rPr>
          <w:color w:val="0D0E0E"/>
          <w:spacing w:val="-13"/>
        </w:rPr>
        <w:t> </w:t>
      </w:r>
      <w:r>
        <w:rPr>
          <w:color w:val="0D0E0E"/>
        </w:rPr>
        <w:t>perspectiva</w:t>
      </w:r>
      <w:r>
        <w:rPr>
          <w:color w:val="0D0E0E"/>
          <w:spacing w:val="-14"/>
        </w:rPr>
        <w:t> </w:t>
      </w:r>
      <w:r>
        <w:rPr>
          <w:color w:val="0D0E0E"/>
        </w:rPr>
        <w:t>do</w:t>
      </w:r>
      <w:r>
        <w:rPr>
          <w:color w:val="0D0E0E"/>
          <w:spacing w:val="-13"/>
        </w:rPr>
        <w:t> </w:t>
      </w:r>
      <w:r>
        <w:rPr>
          <w:color w:val="0D0E0E"/>
        </w:rPr>
        <w:t>setor</w:t>
      </w:r>
      <w:r>
        <w:rPr>
          <w:color w:val="0D0E0E"/>
          <w:spacing w:val="-13"/>
        </w:rPr>
        <w:t> </w:t>
      </w:r>
      <w:r>
        <w:rPr>
          <w:color w:val="0D0E0E"/>
        </w:rPr>
        <w:t>de</w:t>
      </w:r>
      <w:r>
        <w:rPr>
          <w:color w:val="0D0E0E"/>
          <w:spacing w:val="-13"/>
        </w:rPr>
        <w:t> </w:t>
      </w:r>
      <w:r>
        <w:rPr>
          <w:color w:val="0D0E0E"/>
        </w:rPr>
        <w:t>serviços.</w:t>
      </w:r>
      <w:r>
        <w:rPr>
          <w:color w:val="0D0E0E"/>
          <w:spacing w:val="-13"/>
        </w:rPr>
        <w:t> </w:t>
      </w:r>
      <w:r>
        <w:rPr>
          <w:color w:val="0D0E0E"/>
        </w:rPr>
        <w:t>O</w:t>
      </w:r>
      <w:r>
        <w:rPr>
          <w:color w:val="0D0E0E"/>
          <w:spacing w:val="-14"/>
        </w:rPr>
        <w:t> </w:t>
      </w:r>
      <w:r>
        <w:rPr>
          <w:color w:val="0D0E0E"/>
        </w:rPr>
        <w:t>PMI</w:t>
      </w:r>
      <w:r>
        <w:rPr>
          <w:color w:val="0D0E0E"/>
          <w:spacing w:val="-13"/>
        </w:rPr>
        <w:t> </w:t>
      </w:r>
      <w:r>
        <w:rPr>
          <w:color w:val="0D0E0E"/>
        </w:rPr>
        <w:t>composto</w:t>
      </w:r>
      <w:r>
        <w:rPr>
          <w:color w:val="0D0E0E"/>
          <w:spacing w:val="-13"/>
        </w:rPr>
        <w:t> </w:t>
      </w:r>
      <w:r>
        <w:rPr>
          <w:color w:val="0D0E0E"/>
        </w:rPr>
        <w:t>medido pelo</w:t>
      </w:r>
      <w:r>
        <w:rPr>
          <w:color w:val="0D0E0E"/>
          <w:spacing w:val="-10"/>
        </w:rPr>
        <w:t> </w:t>
      </w:r>
      <w:r>
        <w:rPr>
          <w:color w:val="0D0E0E"/>
        </w:rPr>
        <w:t>S&amp;P</w:t>
      </w:r>
      <w:r>
        <w:rPr>
          <w:color w:val="0D0E0E"/>
          <w:spacing w:val="-9"/>
        </w:rPr>
        <w:t> </w:t>
      </w:r>
      <w:r>
        <w:rPr>
          <w:color w:val="0D0E0E"/>
        </w:rPr>
        <w:t>Global</w:t>
      </w:r>
      <w:r>
        <w:rPr>
          <w:color w:val="0D0E0E"/>
          <w:spacing w:val="-12"/>
        </w:rPr>
        <w:t> </w:t>
      </w:r>
      <w:r>
        <w:rPr>
          <w:color w:val="0D0E0E"/>
        </w:rPr>
        <w:t>para</w:t>
      </w:r>
      <w:r>
        <w:rPr>
          <w:color w:val="0D0E0E"/>
          <w:spacing w:val="-10"/>
        </w:rPr>
        <w:t> </w:t>
      </w:r>
      <w:r>
        <w:rPr>
          <w:color w:val="0D0E0E"/>
        </w:rPr>
        <w:t>o</w:t>
      </w:r>
      <w:r>
        <w:rPr>
          <w:color w:val="0D0E0E"/>
          <w:spacing w:val="-10"/>
        </w:rPr>
        <w:t> </w:t>
      </w:r>
      <w:r>
        <w:rPr>
          <w:color w:val="0D0E0E"/>
        </w:rPr>
        <w:t>mês</w:t>
      </w:r>
      <w:r>
        <w:rPr>
          <w:color w:val="0D0E0E"/>
          <w:spacing w:val="-10"/>
        </w:rPr>
        <w:t> </w:t>
      </w:r>
      <w:r>
        <w:rPr>
          <w:color w:val="0D0E0E"/>
        </w:rPr>
        <w:t>de</w:t>
      </w:r>
      <w:r>
        <w:rPr>
          <w:color w:val="0D0E0E"/>
          <w:spacing w:val="-7"/>
        </w:rPr>
        <w:t> </w:t>
      </w:r>
      <w:r>
        <w:rPr>
          <w:color w:val="0D0E0E"/>
        </w:rPr>
        <w:t>novembro</w:t>
      </w:r>
      <w:r>
        <w:rPr>
          <w:color w:val="0D0E0E"/>
          <w:spacing w:val="-10"/>
        </w:rPr>
        <w:t> </w:t>
      </w:r>
      <w:r>
        <w:rPr>
          <w:color w:val="0D0E0E"/>
        </w:rPr>
        <w:t>apresentou</w:t>
      </w:r>
      <w:r>
        <w:rPr>
          <w:color w:val="0D0E0E"/>
          <w:spacing w:val="-10"/>
        </w:rPr>
        <w:t> </w:t>
      </w:r>
      <w:r>
        <w:rPr>
          <w:color w:val="0D0E0E"/>
        </w:rPr>
        <w:t>resultado</w:t>
      </w:r>
      <w:r>
        <w:rPr>
          <w:color w:val="0D0E0E"/>
          <w:spacing w:val="-10"/>
        </w:rPr>
        <w:t> </w:t>
      </w:r>
      <w:r>
        <w:rPr>
          <w:color w:val="0D0E0E"/>
        </w:rPr>
        <w:t>igual</w:t>
      </w:r>
      <w:r>
        <w:rPr>
          <w:color w:val="0D0E0E"/>
          <w:spacing w:val="-10"/>
        </w:rPr>
        <w:t> </w:t>
      </w:r>
      <w:r>
        <w:rPr>
          <w:color w:val="0D0E0E"/>
        </w:rPr>
        <w:t>ao</w:t>
      </w:r>
      <w:r>
        <w:rPr>
          <w:color w:val="0D0E0E"/>
          <w:spacing w:val="-9"/>
        </w:rPr>
        <w:t> </w:t>
      </w:r>
      <w:r>
        <w:rPr>
          <w:color w:val="0D0E0E"/>
        </w:rPr>
        <w:t>mês</w:t>
      </w:r>
      <w:r>
        <w:rPr>
          <w:color w:val="0D0E0E"/>
          <w:spacing w:val="-10"/>
        </w:rPr>
        <w:t> </w:t>
      </w:r>
      <w:r>
        <w:rPr>
          <w:color w:val="0D0E0E"/>
        </w:rPr>
        <w:t>de</w:t>
      </w:r>
      <w:r>
        <w:rPr>
          <w:color w:val="0D0E0E"/>
          <w:spacing w:val="-9"/>
        </w:rPr>
        <w:t> </w:t>
      </w:r>
      <w:r>
        <w:rPr>
          <w:color w:val="0D0E0E"/>
        </w:rPr>
        <w:t>outubro, </w:t>
      </w:r>
      <w:r>
        <w:rPr>
          <w:color w:val="0D0E0E"/>
          <w:spacing w:val="-2"/>
        </w:rPr>
        <w:t>50,7.</w:t>
      </w:r>
    </w:p>
    <w:p>
      <w:pPr>
        <w:pStyle w:val="BodyText"/>
        <w:spacing w:after="0"/>
        <w:jc w:val="both"/>
        <w:sectPr>
          <w:pgSz w:w="11920" w:h="16850"/>
          <w:pgMar w:top="1280" w:bottom="280" w:left="1417" w:right="141"/>
        </w:sectPr>
      </w:pPr>
    </w:p>
    <w:p>
      <w:pPr>
        <w:pStyle w:val="Heading4"/>
        <w:ind w:left="708"/>
      </w:pPr>
      <w:r>
        <w:rPr>
          <w:color w:val="0D0E0E"/>
        </w:rPr>
        <w:t>PMI</w:t>
      </w:r>
      <w:r>
        <w:rPr>
          <w:color w:val="0D0E0E"/>
          <w:spacing w:val="-3"/>
        </w:rPr>
        <w:t> </w:t>
      </w:r>
      <w:r>
        <w:rPr>
          <w:color w:val="0D0E0E"/>
        </w:rPr>
        <w:t>Composto</w:t>
      </w:r>
      <w:r>
        <w:rPr>
          <w:color w:val="0D0E0E"/>
          <w:spacing w:val="-1"/>
        </w:rPr>
        <w:t> </w:t>
      </w:r>
      <w:r>
        <w:rPr>
          <w:color w:val="0D0E0E"/>
        </w:rPr>
        <w:t>–</w:t>
      </w:r>
      <w:r>
        <w:rPr>
          <w:color w:val="0D0E0E"/>
          <w:spacing w:val="-3"/>
        </w:rPr>
        <w:t> </w:t>
      </w:r>
      <w:r>
        <w:rPr>
          <w:color w:val="0D0E0E"/>
        </w:rPr>
        <w:t>Estados</w:t>
      </w:r>
      <w:r>
        <w:rPr>
          <w:color w:val="0D0E0E"/>
          <w:spacing w:val="-3"/>
        </w:rPr>
        <w:t> </w:t>
      </w:r>
      <w:r>
        <w:rPr>
          <w:color w:val="0D0E0E"/>
          <w:spacing w:val="-2"/>
        </w:rPr>
        <w:t>Unidos</w:t>
      </w:r>
    </w:p>
    <w:p>
      <w:pPr>
        <w:pStyle w:val="BodyText"/>
        <w:spacing w:before="11"/>
        <w:rPr>
          <w:b/>
          <w:sz w:val="19"/>
        </w:rPr>
      </w:pPr>
      <w:r>
        <w:rPr>
          <w:b/>
          <w:sz w:val="19"/>
        </w:rPr>
        <w:drawing>
          <wp:anchor distT="0" distB="0" distL="0" distR="0" allowOverlap="1" layoutInCell="1" locked="0" behindDoc="1" simplePos="0" relativeHeight="487591936">
            <wp:simplePos x="0" y="0"/>
            <wp:positionH relativeFrom="page">
              <wp:posOffset>927863</wp:posOffset>
            </wp:positionH>
            <wp:positionV relativeFrom="paragraph">
              <wp:posOffset>163723</wp:posOffset>
            </wp:positionV>
            <wp:extent cx="5888985" cy="2734627"/>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6" cstate="print"/>
                    <a:stretch>
                      <a:fillRect/>
                    </a:stretch>
                  </pic:blipFill>
                  <pic:spPr>
                    <a:xfrm>
                      <a:off x="0" y="0"/>
                      <a:ext cx="5888985" cy="2734627"/>
                    </a:xfrm>
                    <a:prstGeom prst="rect">
                      <a:avLst/>
                    </a:prstGeom>
                  </pic:spPr>
                </pic:pic>
              </a:graphicData>
            </a:graphic>
          </wp:anchor>
        </w:drawing>
      </w:r>
    </w:p>
    <w:p>
      <w:pPr>
        <w:spacing w:before="17"/>
        <w:ind w:left="2196" w:right="0" w:firstLine="0"/>
        <w:jc w:val="left"/>
        <w:rPr>
          <w:rFonts w:ascii="Calibri"/>
          <w:i/>
          <w:sz w:val="20"/>
        </w:rPr>
      </w:pPr>
      <w:r>
        <w:rPr>
          <w:rFonts w:ascii="Calibri"/>
          <w:i/>
          <w:color w:val="0D0E0E"/>
          <w:spacing w:val="-2"/>
          <w:sz w:val="20"/>
        </w:rPr>
        <w:t>https://tradingeconomics.com/united-states/composite-</w:t>
      </w:r>
      <w:r>
        <w:rPr>
          <w:rFonts w:ascii="Calibri"/>
          <w:i/>
          <w:color w:val="0D0E0E"/>
          <w:spacing w:val="-5"/>
          <w:sz w:val="20"/>
        </w:rPr>
        <w:t>pmi</w:t>
      </w:r>
    </w:p>
    <w:p>
      <w:pPr>
        <w:pStyle w:val="BodyText"/>
        <w:rPr>
          <w:rFonts w:ascii="Calibri"/>
          <w:i/>
          <w:sz w:val="20"/>
        </w:rPr>
      </w:pPr>
    </w:p>
    <w:p>
      <w:pPr>
        <w:pStyle w:val="BodyText"/>
        <w:rPr>
          <w:rFonts w:ascii="Calibri"/>
          <w:i/>
          <w:sz w:val="20"/>
        </w:rPr>
      </w:pPr>
    </w:p>
    <w:p>
      <w:pPr>
        <w:pStyle w:val="BodyText"/>
        <w:spacing w:before="27"/>
        <w:rPr>
          <w:rFonts w:ascii="Calibri"/>
          <w:i/>
          <w:sz w:val="20"/>
        </w:rPr>
      </w:pPr>
    </w:p>
    <w:p>
      <w:pPr>
        <w:pStyle w:val="BodyText"/>
        <w:ind w:left="184" w:right="1254" w:firstLine="707"/>
        <w:jc w:val="both"/>
      </w:pPr>
      <w:r>
        <w:rPr>
          <w:color w:val="0D0E0E"/>
        </w:rPr>
        <w:t>As perspectivas citadas acima representam um importante papel para a análise de conjuntura, pois reflete a visão que os líderes de grandes empresas possuem para o mercado futuro, trazendo uma maior clareza do que esperar em relação aos dados </w:t>
      </w:r>
      <w:r>
        <w:rPr>
          <w:color w:val="0D0E0E"/>
          <w:spacing w:val="-2"/>
        </w:rPr>
        <w:t>futuros.</w:t>
      </w:r>
    </w:p>
    <w:p>
      <w:pPr>
        <w:pStyle w:val="BodyText"/>
        <w:rPr>
          <w:sz w:val="26"/>
        </w:rPr>
      </w:pPr>
    </w:p>
    <w:p>
      <w:pPr>
        <w:pStyle w:val="BodyText"/>
        <w:spacing w:before="151"/>
        <w:rPr>
          <w:sz w:val="26"/>
        </w:rPr>
      </w:pPr>
    </w:p>
    <w:p>
      <w:pPr>
        <w:pStyle w:val="Heading3"/>
      </w:pPr>
      <w:r>
        <w:rPr>
          <w:color w:val="FF0000"/>
          <w:spacing w:val="-2"/>
        </w:rPr>
        <w:t>Bolsa</w:t>
      </w:r>
    </w:p>
    <w:p>
      <w:pPr>
        <w:pStyle w:val="BodyText"/>
        <w:spacing w:line="281" w:lineRule="exact" w:before="240"/>
        <w:ind w:left="892"/>
      </w:pPr>
      <w:r>
        <w:rPr>
          <w:color w:val="0D0E0E"/>
        </w:rPr>
        <w:t>O</w:t>
      </w:r>
      <w:r>
        <w:rPr>
          <w:color w:val="0D0E0E"/>
          <w:spacing w:val="19"/>
        </w:rPr>
        <w:t> </w:t>
      </w:r>
      <w:r>
        <w:rPr>
          <w:color w:val="0D0E0E"/>
        </w:rPr>
        <w:t>mercado</w:t>
      </w:r>
      <w:r>
        <w:rPr>
          <w:color w:val="0D0E0E"/>
          <w:spacing w:val="20"/>
        </w:rPr>
        <w:t> </w:t>
      </w:r>
      <w:r>
        <w:rPr>
          <w:color w:val="0D0E0E"/>
        </w:rPr>
        <w:t>estava</w:t>
      </w:r>
      <w:r>
        <w:rPr>
          <w:color w:val="0D0E0E"/>
          <w:spacing w:val="20"/>
        </w:rPr>
        <w:t> </w:t>
      </w:r>
      <w:r>
        <w:rPr>
          <w:color w:val="0D0E0E"/>
        </w:rPr>
        <w:t>atento</w:t>
      </w:r>
      <w:r>
        <w:rPr>
          <w:color w:val="0D0E0E"/>
          <w:spacing w:val="20"/>
        </w:rPr>
        <w:t> </w:t>
      </w:r>
      <w:r>
        <w:rPr>
          <w:color w:val="0D0E0E"/>
        </w:rPr>
        <w:t>à</w:t>
      </w:r>
      <w:r>
        <w:rPr>
          <w:color w:val="0D0E0E"/>
          <w:spacing w:val="20"/>
        </w:rPr>
        <w:t> </w:t>
      </w:r>
      <w:r>
        <w:rPr>
          <w:color w:val="0D0E0E"/>
        </w:rPr>
        <w:t>condução</w:t>
      </w:r>
      <w:r>
        <w:rPr>
          <w:color w:val="0D0E0E"/>
          <w:spacing w:val="20"/>
        </w:rPr>
        <w:t> </w:t>
      </w:r>
      <w:r>
        <w:rPr>
          <w:color w:val="0D0E0E"/>
        </w:rPr>
        <w:t>de</w:t>
      </w:r>
      <w:r>
        <w:rPr>
          <w:color w:val="0D0E0E"/>
          <w:spacing w:val="21"/>
        </w:rPr>
        <w:t> </w:t>
      </w:r>
      <w:r>
        <w:rPr>
          <w:color w:val="0D0E0E"/>
        </w:rPr>
        <w:t>política</w:t>
      </w:r>
      <w:r>
        <w:rPr>
          <w:color w:val="0D0E0E"/>
          <w:spacing w:val="24"/>
        </w:rPr>
        <w:t> </w:t>
      </w:r>
      <w:r>
        <w:rPr>
          <w:color w:val="0D0E0E"/>
        </w:rPr>
        <w:t>monetária</w:t>
      </w:r>
      <w:r>
        <w:rPr>
          <w:color w:val="0D0E0E"/>
          <w:spacing w:val="20"/>
        </w:rPr>
        <w:t> </w:t>
      </w:r>
      <w:r>
        <w:rPr>
          <w:color w:val="0D0E0E"/>
        </w:rPr>
        <w:t>do</w:t>
      </w:r>
      <w:r>
        <w:rPr>
          <w:color w:val="0D0E0E"/>
          <w:spacing w:val="20"/>
        </w:rPr>
        <w:t> </w:t>
      </w:r>
      <w:r>
        <w:rPr>
          <w:color w:val="0D0E0E"/>
        </w:rPr>
        <w:t>Fed</w:t>
      </w:r>
      <w:r>
        <w:rPr>
          <w:color w:val="0D0E0E"/>
          <w:spacing w:val="21"/>
        </w:rPr>
        <w:t> </w:t>
      </w:r>
      <w:r>
        <w:rPr>
          <w:color w:val="0D0E0E"/>
        </w:rPr>
        <w:t>e</w:t>
      </w:r>
      <w:r>
        <w:rPr>
          <w:color w:val="0D0E0E"/>
          <w:spacing w:val="18"/>
        </w:rPr>
        <w:t> </w:t>
      </w:r>
      <w:r>
        <w:rPr>
          <w:color w:val="0D0E0E"/>
        </w:rPr>
        <w:t>o</w:t>
      </w:r>
      <w:r>
        <w:rPr>
          <w:color w:val="0D0E0E"/>
          <w:spacing w:val="21"/>
        </w:rPr>
        <w:t> </w:t>
      </w:r>
      <w:r>
        <w:rPr>
          <w:color w:val="0D0E0E"/>
          <w:spacing w:val="-2"/>
        </w:rPr>
        <w:t>elevado</w:t>
      </w:r>
    </w:p>
    <w:p>
      <w:pPr>
        <w:pStyle w:val="BodyText"/>
        <w:ind w:left="184" w:right="1254"/>
        <w:jc w:val="both"/>
      </w:pPr>
      <w:r>
        <w:rPr>
          <w:color w:val="0D0E0E"/>
        </w:rPr>
        <w:t>patamar</w:t>
      </w:r>
      <w:r>
        <w:rPr>
          <w:color w:val="0D0E0E"/>
          <w:spacing w:val="-5"/>
        </w:rPr>
        <w:t> </w:t>
      </w:r>
      <w:r>
        <w:rPr>
          <w:color w:val="0D0E0E"/>
        </w:rPr>
        <w:t>dos</w:t>
      </w:r>
      <w:r>
        <w:rPr>
          <w:color w:val="0D0E0E"/>
          <w:spacing w:val="-5"/>
        </w:rPr>
        <w:t> </w:t>
      </w:r>
      <w:r>
        <w:rPr>
          <w:color w:val="0D0E0E"/>
        </w:rPr>
        <w:t>juros</w:t>
      </w:r>
      <w:r>
        <w:rPr>
          <w:color w:val="0D0E0E"/>
          <w:spacing w:val="-5"/>
        </w:rPr>
        <w:t> </w:t>
      </w:r>
      <w:r>
        <w:rPr>
          <w:color w:val="0D0E0E"/>
        </w:rPr>
        <w:t>de</w:t>
      </w:r>
      <w:r>
        <w:rPr>
          <w:color w:val="0D0E0E"/>
          <w:spacing w:val="-4"/>
        </w:rPr>
        <w:t> </w:t>
      </w:r>
      <w:r>
        <w:rPr>
          <w:color w:val="0D0E0E"/>
        </w:rPr>
        <w:t>longo</w:t>
      </w:r>
      <w:r>
        <w:rPr>
          <w:color w:val="0D0E0E"/>
          <w:spacing w:val="-5"/>
        </w:rPr>
        <w:t> </w:t>
      </w:r>
      <w:r>
        <w:rPr>
          <w:color w:val="0D0E0E"/>
        </w:rPr>
        <w:t>prazo,</w:t>
      </w:r>
      <w:r>
        <w:rPr>
          <w:color w:val="0D0E0E"/>
          <w:spacing w:val="-4"/>
        </w:rPr>
        <w:t> </w:t>
      </w:r>
      <w:r>
        <w:rPr>
          <w:color w:val="0D0E0E"/>
        </w:rPr>
        <w:t>porém,</w:t>
      </w:r>
      <w:r>
        <w:rPr>
          <w:color w:val="0D0E0E"/>
          <w:spacing w:val="-4"/>
        </w:rPr>
        <w:t> </w:t>
      </w:r>
      <w:r>
        <w:rPr>
          <w:color w:val="0D0E0E"/>
        </w:rPr>
        <w:t>as</w:t>
      </w:r>
      <w:r>
        <w:rPr>
          <w:color w:val="0D0E0E"/>
          <w:spacing w:val="-4"/>
        </w:rPr>
        <w:t> </w:t>
      </w:r>
      <w:r>
        <w:rPr>
          <w:color w:val="0D0E0E"/>
        </w:rPr>
        <w:t>melhorias</w:t>
      </w:r>
      <w:r>
        <w:rPr>
          <w:color w:val="0D0E0E"/>
          <w:spacing w:val="-5"/>
        </w:rPr>
        <w:t> </w:t>
      </w:r>
      <w:r>
        <w:rPr>
          <w:color w:val="0D0E0E"/>
        </w:rPr>
        <w:t>nestas</w:t>
      </w:r>
      <w:r>
        <w:rPr>
          <w:color w:val="0D0E0E"/>
          <w:spacing w:val="-5"/>
        </w:rPr>
        <w:t> </w:t>
      </w:r>
      <w:r>
        <w:rPr>
          <w:color w:val="0D0E0E"/>
        </w:rPr>
        <w:t>condições</w:t>
      </w:r>
      <w:r>
        <w:rPr>
          <w:color w:val="0D0E0E"/>
          <w:spacing w:val="-4"/>
        </w:rPr>
        <w:t> </w:t>
      </w:r>
      <w:r>
        <w:rPr>
          <w:color w:val="0D0E0E"/>
        </w:rPr>
        <w:t>fizeram</w:t>
      </w:r>
      <w:r>
        <w:rPr>
          <w:color w:val="0D0E0E"/>
          <w:spacing w:val="-5"/>
        </w:rPr>
        <w:t> </w:t>
      </w:r>
      <w:r>
        <w:rPr>
          <w:color w:val="0D0E0E"/>
        </w:rPr>
        <w:t>que</w:t>
      </w:r>
      <w:r>
        <w:rPr>
          <w:color w:val="0D0E0E"/>
          <w:spacing w:val="-5"/>
        </w:rPr>
        <w:t> </w:t>
      </w:r>
      <w:r>
        <w:rPr>
          <w:color w:val="0D0E0E"/>
        </w:rPr>
        <w:t>as bolsas mundiais disparassem. Nos EUA, os três principais indicadores no mercado acionário tiveram uma alta significativa. Com a inflação mostrando sinais que está controlada e narrativa de um pouso suave ganhando força, o rali de fim de ano </w:t>
      </w:r>
      <w:r>
        <w:rPr>
          <w:color w:val="0D0E0E"/>
          <w:spacing w:val="-2"/>
        </w:rPr>
        <w:t>aconteceu.</w:t>
      </w:r>
    </w:p>
    <w:p>
      <w:pPr>
        <w:pStyle w:val="BodyText"/>
        <w:spacing w:after="0"/>
        <w:jc w:val="both"/>
        <w:sectPr>
          <w:pgSz w:w="11920" w:h="16850"/>
          <w:pgMar w:top="1280" w:bottom="280" w:left="1417" w:right="141"/>
        </w:sectPr>
      </w:pPr>
    </w:p>
    <w:p>
      <w:pPr>
        <w:pStyle w:val="Heading4"/>
        <w:ind w:left="709"/>
      </w:pPr>
      <w:r>
        <w:rPr>
          <w:color w:val="0D0E0E"/>
          <w:spacing w:val="-2"/>
        </w:rPr>
        <w:t>NASDAQ</w:t>
      </w:r>
    </w:p>
    <w:p>
      <w:pPr>
        <w:pStyle w:val="BodyText"/>
        <w:spacing w:before="10"/>
        <w:rPr>
          <w:b/>
          <w:sz w:val="19"/>
        </w:rPr>
      </w:pPr>
      <w:r>
        <w:rPr>
          <w:b/>
          <w:sz w:val="19"/>
        </w:rPr>
        <w:drawing>
          <wp:anchor distT="0" distB="0" distL="0" distR="0" allowOverlap="1" layoutInCell="1" locked="0" behindDoc="1" simplePos="0" relativeHeight="487592448">
            <wp:simplePos x="0" y="0"/>
            <wp:positionH relativeFrom="page">
              <wp:posOffset>1016000</wp:posOffset>
            </wp:positionH>
            <wp:positionV relativeFrom="paragraph">
              <wp:posOffset>163088</wp:posOffset>
            </wp:positionV>
            <wp:extent cx="5642215" cy="3173825"/>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7" cstate="print"/>
                    <a:stretch>
                      <a:fillRect/>
                    </a:stretch>
                  </pic:blipFill>
                  <pic:spPr>
                    <a:xfrm>
                      <a:off x="0" y="0"/>
                      <a:ext cx="5642215" cy="3173825"/>
                    </a:xfrm>
                    <a:prstGeom prst="rect">
                      <a:avLst/>
                    </a:prstGeom>
                  </pic:spPr>
                </pic:pic>
              </a:graphicData>
            </a:graphic>
          </wp:anchor>
        </w:drawing>
      </w:r>
    </w:p>
    <w:p>
      <w:pPr>
        <w:spacing w:before="15"/>
        <w:ind w:left="0" w:right="1073" w:firstLine="0"/>
        <w:jc w:val="center"/>
        <w:rPr>
          <w:rFonts w:ascii="Calibri"/>
          <w:i/>
          <w:sz w:val="20"/>
        </w:rPr>
      </w:pPr>
      <w:r>
        <w:rPr>
          <w:rFonts w:ascii="Calibri"/>
          <w:i/>
          <w:sz w:val="20"/>
        </w:rPr>
        <w:t>Quantum</w:t>
      </w:r>
      <w:r>
        <w:rPr>
          <w:rFonts w:ascii="Calibri"/>
          <w:i/>
          <w:spacing w:val="-10"/>
          <w:sz w:val="20"/>
        </w:rPr>
        <w:t> </w:t>
      </w:r>
      <w:r>
        <w:rPr>
          <w:rFonts w:ascii="Calibri"/>
          <w:i/>
          <w:spacing w:val="-2"/>
          <w:sz w:val="20"/>
        </w:rPr>
        <w:t>Finance</w:t>
      </w:r>
    </w:p>
    <w:p>
      <w:pPr>
        <w:pStyle w:val="BodyText"/>
        <w:rPr>
          <w:rFonts w:ascii="Calibri"/>
          <w:i/>
          <w:sz w:val="20"/>
        </w:rPr>
      </w:pPr>
    </w:p>
    <w:p>
      <w:pPr>
        <w:pStyle w:val="BodyText"/>
        <w:spacing w:before="211"/>
        <w:rPr>
          <w:rFonts w:ascii="Calibri"/>
          <w:i/>
          <w:sz w:val="20"/>
        </w:rPr>
      </w:pPr>
    </w:p>
    <w:p>
      <w:pPr>
        <w:pStyle w:val="Heading4"/>
        <w:spacing w:before="0"/>
      </w:pPr>
      <w:r>
        <w:rPr>
          <w:color w:val="0D0E0E"/>
        </w:rPr>
        <w:t>DOW</w:t>
      </w:r>
      <w:r>
        <w:rPr>
          <w:color w:val="0D0E0E"/>
          <w:spacing w:val="-3"/>
        </w:rPr>
        <w:t> </w:t>
      </w:r>
      <w:r>
        <w:rPr>
          <w:color w:val="0D0E0E"/>
          <w:spacing w:val="-2"/>
        </w:rPr>
        <w:t>JONES</w:t>
      </w:r>
    </w:p>
    <w:p>
      <w:pPr>
        <w:pStyle w:val="BodyText"/>
        <w:rPr>
          <w:b/>
          <w:sz w:val="20"/>
        </w:rPr>
      </w:pPr>
    </w:p>
    <w:p>
      <w:pPr>
        <w:pStyle w:val="BodyText"/>
        <w:spacing w:before="55"/>
        <w:rPr>
          <w:b/>
          <w:sz w:val="20"/>
        </w:rPr>
      </w:pPr>
      <w:r>
        <w:rPr>
          <w:b/>
          <w:sz w:val="20"/>
        </w:rPr>
        <w:drawing>
          <wp:anchor distT="0" distB="0" distL="0" distR="0" allowOverlap="1" layoutInCell="1" locked="0" behindDoc="1" simplePos="0" relativeHeight="487592960">
            <wp:simplePos x="0" y="0"/>
            <wp:positionH relativeFrom="page">
              <wp:posOffset>1016000</wp:posOffset>
            </wp:positionH>
            <wp:positionV relativeFrom="paragraph">
              <wp:posOffset>199255</wp:posOffset>
            </wp:positionV>
            <wp:extent cx="5633388" cy="3107531"/>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8" cstate="print"/>
                    <a:stretch>
                      <a:fillRect/>
                    </a:stretch>
                  </pic:blipFill>
                  <pic:spPr>
                    <a:xfrm>
                      <a:off x="0" y="0"/>
                      <a:ext cx="5633388" cy="3107531"/>
                    </a:xfrm>
                    <a:prstGeom prst="rect">
                      <a:avLst/>
                    </a:prstGeom>
                  </pic:spPr>
                </pic:pic>
              </a:graphicData>
            </a:graphic>
          </wp:anchor>
        </w:drawing>
      </w:r>
    </w:p>
    <w:p>
      <w:pPr>
        <w:spacing w:before="28"/>
        <w:ind w:left="0" w:right="1073" w:firstLine="0"/>
        <w:jc w:val="center"/>
        <w:rPr>
          <w:rFonts w:ascii="Calibri"/>
          <w:i/>
          <w:sz w:val="20"/>
        </w:rPr>
      </w:pPr>
      <w:r>
        <w:rPr>
          <w:rFonts w:ascii="Calibri"/>
          <w:i/>
          <w:sz w:val="20"/>
        </w:rPr>
        <w:t>Quantum</w:t>
      </w:r>
      <w:r>
        <w:rPr>
          <w:rFonts w:ascii="Calibri"/>
          <w:i/>
          <w:spacing w:val="-10"/>
          <w:sz w:val="20"/>
        </w:rPr>
        <w:t> </w:t>
      </w:r>
      <w:r>
        <w:rPr>
          <w:rFonts w:ascii="Calibri"/>
          <w:i/>
          <w:spacing w:val="-2"/>
          <w:sz w:val="20"/>
        </w:rPr>
        <w:t>Finance</w:t>
      </w:r>
    </w:p>
    <w:p>
      <w:pPr>
        <w:spacing w:after="0"/>
        <w:jc w:val="center"/>
        <w:rPr>
          <w:rFonts w:ascii="Calibri"/>
          <w:i/>
          <w:sz w:val="20"/>
        </w:rPr>
        <w:sectPr>
          <w:pgSz w:w="11920" w:h="16850"/>
          <w:pgMar w:top="1280" w:bottom="280" w:left="1417" w:right="141"/>
        </w:sectPr>
      </w:pPr>
    </w:p>
    <w:p>
      <w:pPr>
        <w:pStyle w:val="Heading4"/>
      </w:pPr>
      <w:r>
        <w:rPr>
          <w:color w:val="0D0E0E"/>
        </w:rPr>
        <w:t>S&amp;P</w:t>
      </w:r>
      <w:r>
        <w:rPr>
          <w:color w:val="0D0E0E"/>
          <w:spacing w:val="-2"/>
        </w:rPr>
        <w:t> </w:t>
      </w:r>
      <w:r>
        <w:rPr>
          <w:color w:val="0D0E0E"/>
          <w:spacing w:val="-5"/>
        </w:rPr>
        <w:t>500</w:t>
      </w:r>
    </w:p>
    <w:p>
      <w:pPr>
        <w:pStyle w:val="BodyText"/>
        <w:spacing w:before="8"/>
        <w:rPr>
          <w:b/>
          <w:sz w:val="9"/>
        </w:rPr>
      </w:pPr>
      <w:r>
        <w:rPr>
          <w:b/>
          <w:sz w:val="9"/>
        </w:rPr>
        <w:drawing>
          <wp:anchor distT="0" distB="0" distL="0" distR="0" allowOverlap="1" layoutInCell="1" locked="0" behindDoc="1" simplePos="0" relativeHeight="487593472">
            <wp:simplePos x="0" y="0"/>
            <wp:positionH relativeFrom="page">
              <wp:posOffset>1016000</wp:posOffset>
            </wp:positionH>
            <wp:positionV relativeFrom="paragraph">
              <wp:posOffset>87523</wp:posOffset>
            </wp:positionV>
            <wp:extent cx="5638627" cy="3157251"/>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9" cstate="print"/>
                    <a:stretch>
                      <a:fillRect/>
                    </a:stretch>
                  </pic:blipFill>
                  <pic:spPr>
                    <a:xfrm>
                      <a:off x="0" y="0"/>
                      <a:ext cx="5638627" cy="3157251"/>
                    </a:xfrm>
                    <a:prstGeom prst="rect">
                      <a:avLst/>
                    </a:prstGeom>
                  </pic:spPr>
                </pic:pic>
              </a:graphicData>
            </a:graphic>
          </wp:anchor>
        </w:drawing>
      </w:r>
    </w:p>
    <w:p>
      <w:pPr>
        <w:spacing w:before="16"/>
        <w:ind w:left="0" w:right="1073" w:firstLine="0"/>
        <w:jc w:val="center"/>
        <w:rPr>
          <w:rFonts w:ascii="Calibri"/>
          <w:i/>
          <w:sz w:val="20"/>
        </w:rPr>
      </w:pPr>
      <w:r>
        <w:rPr>
          <w:rFonts w:ascii="Calibri"/>
          <w:i/>
          <w:sz w:val="20"/>
        </w:rPr>
        <w:t>Quantum</w:t>
      </w:r>
      <w:r>
        <w:rPr>
          <w:rFonts w:ascii="Calibri"/>
          <w:i/>
          <w:spacing w:val="-10"/>
          <w:sz w:val="20"/>
        </w:rPr>
        <w:t> </w:t>
      </w:r>
      <w:r>
        <w:rPr>
          <w:rFonts w:ascii="Calibri"/>
          <w:i/>
          <w:spacing w:val="-2"/>
          <w:sz w:val="20"/>
        </w:rPr>
        <w:t>Finance</w:t>
      </w:r>
    </w:p>
    <w:p>
      <w:pPr>
        <w:spacing w:after="0"/>
        <w:jc w:val="center"/>
        <w:rPr>
          <w:rFonts w:ascii="Calibri"/>
          <w:i/>
          <w:sz w:val="20"/>
        </w:rPr>
        <w:sectPr>
          <w:pgSz w:w="11920" w:h="16850"/>
          <w:pgMar w:top="1280" w:bottom="280" w:left="1417" w:right="141"/>
        </w:sectPr>
      </w:pPr>
    </w:p>
    <w:p>
      <w:pPr>
        <w:pStyle w:val="Heading1"/>
      </w:pPr>
      <w:r>
        <w:rPr>
          <w:color w:val="0D0E0E"/>
        </w:rPr>
        <w:t>ZONA</w:t>
      </w:r>
      <w:r>
        <w:rPr>
          <w:color w:val="0D0E0E"/>
          <w:spacing w:val="-2"/>
        </w:rPr>
        <w:t> </w:t>
      </w:r>
      <w:r>
        <w:rPr>
          <w:color w:val="0D0E0E"/>
        </w:rPr>
        <w:t>DO </w:t>
      </w:r>
      <w:r>
        <w:rPr>
          <w:color w:val="0D0E0E"/>
          <w:spacing w:val="-4"/>
        </w:rPr>
        <w:t>EURO</w:t>
      </w:r>
    </w:p>
    <w:p>
      <w:pPr>
        <w:pStyle w:val="Heading3"/>
        <w:spacing w:before="240"/>
      </w:pPr>
      <w:r>
        <w:rPr>
          <w:color w:val="FF0000"/>
          <w:spacing w:val="-2"/>
        </w:rPr>
        <w:t>Inflação</w:t>
      </w:r>
    </w:p>
    <w:p>
      <w:pPr>
        <w:pStyle w:val="BodyText"/>
        <w:spacing w:before="239"/>
        <w:ind w:left="184" w:right="1257" w:firstLine="707"/>
        <w:jc w:val="both"/>
      </w:pPr>
      <w:r>
        <w:rPr>
          <w:color w:val="0D0E0E"/>
        </w:rPr>
        <w:t>A Europa enfrentou os mesmos problemas de inflação que os Estados Unidos enfrentam, porém, sua política monetária restritiva surtiu efeitos mais rápidos. A atividade econômica não foi tão resiliente, mostrando sinais de enfraquecimento rapidamente devido aos juros altos e, por consequência, a inflação foi controlada mais em passo mais acelerado.</w:t>
      </w:r>
    </w:p>
    <w:p>
      <w:pPr>
        <w:pStyle w:val="Heading4"/>
        <w:spacing w:before="242"/>
        <w:ind w:left="713"/>
      </w:pPr>
      <w:r>
        <w:rPr>
          <w:color w:val="0D0E0E"/>
        </w:rPr>
        <w:t>CPI</w:t>
      </w:r>
      <w:r>
        <w:rPr>
          <w:color w:val="0D0E0E"/>
          <w:spacing w:val="-4"/>
        </w:rPr>
        <w:t> </w:t>
      </w:r>
      <w:r>
        <w:rPr>
          <w:color w:val="0D0E0E"/>
        </w:rPr>
        <w:t>–</w:t>
      </w:r>
      <w:r>
        <w:rPr>
          <w:color w:val="0D0E0E"/>
          <w:spacing w:val="-1"/>
        </w:rPr>
        <w:t> </w:t>
      </w:r>
      <w:r>
        <w:rPr>
          <w:color w:val="0D0E0E"/>
        </w:rPr>
        <w:t>Zona</w:t>
      </w:r>
      <w:r>
        <w:rPr>
          <w:color w:val="0D0E0E"/>
          <w:spacing w:val="-2"/>
        </w:rPr>
        <w:t> </w:t>
      </w:r>
      <w:r>
        <w:rPr>
          <w:color w:val="0D0E0E"/>
        </w:rPr>
        <w:t>do</w:t>
      </w:r>
      <w:r>
        <w:rPr>
          <w:color w:val="0D0E0E"/>
          <w:spacing w:val="-2"/>
        </w:rPr>
        <w:t> </w:t>
      </w:r>
      <w:r>
        <w:rPr>
          <w:color w:val="0D0E0E"/>
          <w:spacing w:val="-4"/>
        </w:rPr>
        <w:t>Euro</w:t>
      </w:r>
    </w:p>
    <w:p>
      <w:pPr>
        <w:pStyle w:val="BodyText"/>
        <w:spacing w:before="8"/>
        <w:rPr>
          <w:b/>
          <w:sz w:val="9"/>
        </w:rPr>
      </w:pPr>
      <w:r>
        <w:rPr>
          <w:b/>
          <w:sz w:val="9"/>
        </w:rPr>
        <w:drawing>
          <wp:anchor distT="0" distB="0" distL="0" distR="0" allowOverlap="1" layoutInCell="1" locked="0" behindDoc="1" simplePos="0" relativeHeight="487593984">
            <wp:simplePos x="0" y="0"/>
            <wp:positionH relativeFrom="page">
              <wp:posOffset>1252219</wp:posOffset>
            </wp:positionH>
            <wp:positionV relativeFrom="paragraph">
              <wp:posOffset>87513</wp:posOffset>
            </wp:positionV>
            <wp:extent cx="5642367" cy="2510885"/>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20" cstate="print"/>
                    <a:stretch>
                      <a:fillRect/>
                    </a:stretch>
                  </pic:blipFill>
                  <pic:spPr>
                    <a:xfrm>
                      <a:off x="0" y="0"/>
                      <a:ext cx="5642367" cy="2510885"/>
                    </a:xfrm>
                    <a:prstGeom prst="rect">
                      <a:avLst/>
                    </a:prstGeom>
                  </pic:spPr>
                </pic:pic>
              </a:graphicData>
            </a:graphic>
          </wp:anchor>
        </w:drawing>
      </w:r>
    </w:p>
    <w:p>
      <w:pPr>
        <w:spacing w:before="14"/>
        <w:ind w:left="710" w:right="1073" w:firstLine="0"/>
        <w:jc w:val="center"/>
        <w:rPr>
          <w:rFonts w:ascii="Calibri"/>
          <w:i/>
          <w:sz w:val="20"/>
        </w:rPr>
      </w:pPr>
      <w:r>
        <w:rPr>
          <w:rFonts w:ascii="Calibri"/>
          <w:i/>
          <w:color w:val="0D0E0E"/>
          <w:spacing w:val="-2"/>
          <w:sz w:val="20"/>
        </w:rPr>
        <w:t>https://tradingeconomics.com/euro-area/inflation-</w:t>
      </w:r>
      <w:r>
        <w:rPr>
          <w:rFonts w:ascii="Calibri"/>
          <w:i/>
          <w:color w:val="0D0E0E"/>
          <w:spacing w:val="-5"/>
          <w:sz w:val="20"/>
        </w:rPr>
        <w:t>cpi</w:t>
      </w:r>
    </w:p>
    <w:p>
      <w:pPr>
        <w:pStyle w:val="BodyText"/>
        <w:spacing w:before="237"/>
        <w:ind w:left="184" w:right="1260" w:firstLine="707"/>
        <w:jc w:val="both"/>
      </w:pPr>
      <w:r>
        <w:rPr>
          <w:color w:val="0D0E0E"/>
        </w:rPr>
        <w:t>O resultado da inflação de novembro foi de 2,4%, o menor patamar desde julho de 2021 e ficando abaixo da expectativa do mercado, que previa uma alta de 2,7%.</w:t>
      </w:r>
    </w:p>
    <w:p>
      <w:pPr>
        <w:pStyle w:val="BodyText"/>
        <w:spacing w:before="241"/>
        <w:ind w:left="184" w:right="1256" w:firstLine="707"/>
        <w:jc w:val="both"/>
      </w:pPr>
      <w:r>
        <w:rPr>
          <w:color w:val="0D0E0E"/>
        </w:rPr>
        <w:t>Enquanto outubro apresentou queda de mais de 11% no setor de energia, em novembro o resultado foi uma alta de 11,5%. Enquanto os setores de serviços, comida, álcool e tabaco, e bens não industriais todos tiveram uma queda em relação ao mês de </w:t>
      </w:r>
      <w:r>
        <w:rPr>
          <w:color w:val="0D0E0E"/>
          <w:spacing w:val="-2"/>
        </w:rPr>
        <w:t>outubro.</w:t>
      </w:r>
    </w:p>
    <w:p>
      <w:pPr>
        <w:pStyle w:val="BodyText"/>
        <w:spacing w:before="241"/>
        <w:ind w:left="184" w:right="1261" w:firstLine="707"/>
        <w:jc w:val="both"/>
      </w:pPr>
      <w:r>
        <w:rPr>
          <w:color w:val="0D0E0E"/>
        </w:rPr>
        <w:t>No mês, o resultado surpreendeu e veio bem menor que as os especialistas previam. Com queda de 0,5% em novembro, o resultado é o menor nos últimos 12 </w:t>
      </w:r>
      <w:r>
        <w:rPr>
          <w:color w:val="0D0E0E"/>
          <w:spacing w:val="-2"/>
        </w:rPr>
        <w:t>meses.</w:t>
      </w:r>
    </w:p>
    <w:p>
      <w:pPr>
        <w:pStyle w:val="BodyText"/>
        <w:spacing w:after="0"/>
        <w:jc w:val="both"/>
        <w:sectPr>
          <w:pgSz w:w="11920" w:h="16850"/>
          <w:pgMar w:top="1340" w:bottom="280" w:left="1417" w:right="141"/>
        </w:sectPr>
      </w:pPr>
    </w:p>
    <w:p>
      <w:pPr>
        <w:pStyle w:val="Heading4"/>
        <w:ind w:left="708"/>
      </w:pPr>
      <w:r>
        <w:rPr>
          <w:color w:val="0D0E0E"/>
        </w:rPr>
        <w:t>CPI</w:t>
      </w:r>
      <w:r>
        <w:rPr>
          <w:color w:val="0D0E0E"/>
          <w:spacing w:val="-2"/>
        </w:rPr>
        <w:t> </w:t>
      </w:r>
      <w:r>
        <w:rPr>
          <w:color w:val="0D0E0E"/>
        </w:rPr>
        <w:t>Mensal –</w:t>
      </w:r>
      <w:r>
        <w:rPr>
          <w:color w:val="0D0E0E"/>
          <w:spacing w:val="-2"/>
        </w:rPr>
        <w:t> </w:t>
      </w:r>
      <w:r>
        <w:rPr>
          <w:color w:val="0D0E0E"/>
        </w:rPr>
        <w:t>Zona</w:t>
      </w:r>
      <w:r>
        <w:rPr>
          <w:color w:val="0D0E0E"/>
          <w:spacing w:val="-2"/>
        </w:rPr>
        <w:t> </w:t>
      </w:r>
      <w:r>
        <w:rPr>
          <w:color w:val="0D0E0E"/>
        </w:rPr>
        <w:t>do</w:t>
      </w:r>
      <w:r>
        <w:rPr>
          <w:color w:val="0D0E0E"/>
          <w:spacing w:val="-4"/>
        </w:rPr>
        <w:t> </w:t>
      </w:r>
      <w:r>
        <w:rPr>
          <w:color w:val="0D0E0E"/>
          <w:spacing w:val="-2"/>
        </w:rPr>
        <w:t>Euro:</w:t>
      </w:r>
    </w:p>
    <w:p>
      <w:pPr>
        <w:pStyle w:val="BodyText"/>
        <w:spacing w:before="4"/>
        <w:rPr>
          <w:b/>
          <w:sz w:val="18"/>
        </w:rPr>
      </w:pPr>
      <w:r>
        <w:rPr>
          <w:b/>
          <w:sz w:val="18"/>
        </w:rPr>
        <w:drawing>
          <wp:anchor distT="0" distB="0" distL="0" distR="0" allowOverlap="1" layoutInCell="1" locked="0" behindDoc="1" simplePos="0" relativeHeight="487594496">
            <wp:simplePos x="0" y="0"/>
            <wp:positionH relativeFrom="page">
              <wp:posOffset>1016000</wp:posOffset>
            </wp:positionH>
            <wp:positionV relativeFrom="paragraph">
              <wp:posOffset>151912</wp:posOffset>
            </wp:positionV>
            <wp:extent cx="5639922" cy="2626899"/>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21" cstate="print"/>
                    <a:stretch>
                      <a:fillRect/>
                    </a:stretch>
                  </pic:blipFill>
                  <pic:spPr>
                    <a:xfrm>
                      <a:off x="0" y="0"/>
                      <a:ext cx="5639922" cy="2626899"/>
                    </a:xfrm>
                    <a:prstGeom prst="rect">
                      <a:avLst/>
                    </a:prstGeom>
                  </pic:spPr>
                </pic:pic>
              </a:graphicData>
            </a:graphic>
          </wp:anchor>
        </w:drawing>
      </w:r>
    </w:p>
    <w:p>
      <w:pPr>
        <w:pStyle w:val="BodyText"/>
        <w:spacing w:before="266"/>
        <w:rPr>
          <w:b/>
        </w:rPr>
      </w:pPr>
    </w:p>
    <w:p>
      <w:pPr>
        <w:spacing w:before="1"/>
        <w:ind w:left="711" w:right="1073" w:firstLine="0"/>
        <w:jc w:val="center"/>
        <w:rPr>
          <w:rFonts w:ascii="Calibri"/>
          <w:i/>
          <w:sz w:val="20"/>
        </w:rPr>
      </w:pPr>
      <w:r>
        <w:rPr>
          <w:rFonts w:ascii="Calibri"/>
          <w:i/>
          <w:color w:val="0D0E0E"/>
          <w:spacing w:val="-2"/>
          <w:sz w:val="20"/>
        </w:rPr>
        <w:t>https://tradingeconomics.com/euro-area/inflation-rate-</w:t>
      </w:r>
      <w:r>
        <w:rPr>
          <w:rFonts w:ascii="Calibri"/>
          <w:i/>
          <w:color w:val="0D0E0E"/>
          <w:spacing w:val="-5"/>
          <w:sz w:val="20"/>
        </w:rPr>
        <w:t>mom</w:t>
      </w:r>
    </w:p>
    <w:p>
      <w:pPr>
        <w:pStyle w:val="BodyText"/>
        <w:rPr>
          <w:rFonts w:ascii="Calibri"/>
          <w:i/>
          <w:sz w:val="20"/>
        </w:rPr>
      </w:pPr>
    </w:p>
    <w:p>
      <w:pPr>
        <w:pStyle w:val="BodyText"/>
        <w:rPr>
          <w:rFonts w:ascii="Calibri"/>
          <w:i/>
          <w:sz w:val="20"/>
        </w:rPr>
      </w:pPr>
    </w:p>
    <w:p>
      <w:pPr>
        <w:pStyle w:val="BodyText"/>
        <w:spacing w:before="27"/>
        <w:rPr>
          <w:rFonts w:ascii="Calibri"/>
          <w:i/>
          <w:sz w:val="20"/>
        </w:rPr>
      </w:pPr>
    </w:p>
    <w:p>
      <w:pPr>
        <w:pStyle w:val="BodyText"/>
        <w:ind w:left="184" w:right="1255" w:firstLine="707"/>
        <w:jc w:val="both"/>
      </w:pPr>
      <w:r>
        <w:rPr>
          <w:color w:val="0D0E0E"/>
        </w:rPr>
        <w:t>E como já citado, o olhar sob o núcleo é uma mais relevante do que o olhar para o número cheio do CPI, e após a eliminação dos itens voláteis, os preços no velho continente</w:t>
      </w:r>
      <w:r>
        <w:rPr>
          <w:color w:val="0D0E0E"/>
          <w:spacing w:val="-4"/>
        </w:rPr>
        <w:t> </w:t>
      </w:r>
      <w:r>
        <w:rPr>
          <w:color w:val="0D0E0E"/>
        </w:rPr>
        <w:t>avançaram</w:t>
      </w:r>
      <w:r>
        <w:rPr>
          <w:color w:val="0D0E0E"/>
          <w:spacing w:val="-7"/>
        </w:rPr>
        <w:t> </w:t>
      </w:r>
      <w:r>
        <w:rPr>
          <w:color w:val="0D0E0E"/>
        </w:rPr>
        <w:t>3,6%</w:t>
      </w:r>
      <w:r>
        <w:rPr>
          <w:color w:val="0D0E0E"/>
          <w:spacing w:val="-5"/>
        </w:rPr>
        <w:t> </w:t>
      </w:r>
      <w:r>
        <w:rPr>
          <w:color w:val="0D0E0E"/>
        </w:rPr>
        <w:t>sob</w:t>
      </w:r>
      <w:r>
        <w:rPr>
          <w:color w:val="0D0E0E"/>
          <w:spacing w:val="-5"/>
        </w:rPr>
        <w:t> </w:t>
      </w:r>
      <w:r>
        <w:rPr>
          <w:color w:val="0D0E0E"/>
        </w:rPr>
        <w:t>a</w:t>
      </w:r>
      <w:r>
        <w:rPr>
          <w:color w:val="0D0E0E"/>
          <w:spacing w:val="-5"/>
        </w:rPr>
        <w:t> </w:t>
      </w:r>
      <w:r>
        <w:rPr>
          <w:color w:val="0D0E0E"/>
        </w:rPr>
        <w:t>janela</w:t>
      </w:r>
      <w:r>
        <w:rPr>
          <w:color w:val="0D0E0E"/>
          <w:spacing w:val="-5"/>
        </w:rPr>
        <w:t> </w:t>
      </w:r>
      <w:r>
        <w:rPr>
          <w:color w:val="0D0E0E"/>
        </w:rPr>
        <w:t>anual,</w:t>
      </w:r>
      <w:r>
        <w:rPr>
          <w:color w:val="0D0E0E"/>
          <w:spacing w:val="-6"/>
        </w:rPr>
        <w:t> </w:t>
      </w:r>
      <w:r>
        <w:rPr>
          <w:color w:val="0D0E0E"/>
        </w:rPr>
        <w:t>o</w:t>
      </w:r>
      <w:r>
        <w:rPr>
          <w:color w:val="0D0E0E"/>
          <w:spacing w:val="-5"/>
        </w:rPr>
        <w:t> </w:t>
      </w:r>
      <w:r>
        <w:rPr>
          <w:color w:val="0D0E0E"/>
        </w:rPr>
        <w:t>menor</w:t>
      </w:r>
      <w:r>
        <w:rPr>
          <w:color w:val="0D0E0E"/>
          <w:spacing w:val="-6"/>
        </w:rPr>
        <w:t> </w:t>
      </w:r>
      <w:r>
        <w:rPr>
          <w:color w:val="0D0E0E"/>
        </w:rPr>
        <w:t>patamar</w:t>
      </w:r>
      <w:r>
        <w:rPr>
          <w:color w:val="0D0E0E"/>
          <w:spacing w:val="-5"/>
        </w:rPr>
        <w:t> </w:t>
      </w:r>
      <w:r>
        <w:rPr>
          <w:color w:val="0D0E0E"/>
        </w:rPr>
        <w:t>desde</w:t>
      </w:r>
      <w:r>
        <w:rPr>
          <w:color w:val="0D0E0E"/>
          <w:spacing w:val="-2"/>
        </w:rPr>
        <w:t> </w:t>
      </w:r>
      <w:r>
        <w:rPr>
          <w:color w:val="0D0E0E"/>
        </w:rPr>
        <w:t>abril</w:t>
      </w:r>
      <w:r>
        <w:rPr>
          <w:color w:val="0D0E0E"/>
          <w:spacing w:val="-4"/>
        </w:rPr>
        <w:t> </w:t>
      </w:r>
      <w:r>
        <w:rPr>
          <w:color w:val="0D0E0E"/>
        </w:rPr>
        <w:t>de</w:t>
      </w:r>
      <w:r>
        <w:rPr>
          <w:color w:val="0D0E0E"/>
          <w:spacing w:val="-4"/>
        </w:rPr>
        <w:t> </w:t>
      </w:r>
      <w:r>
        <w:rPr>
          <w:color w:val="0D0E0E"/>
        </w:rPr>
        <w:t>2022.</w:t>
      </w:r>
      <w:r>
        <w:rPr>
          <w:color w:val="0D0E0E"/>
          <w:spacing w:val="-1"/>
        </w:rPr>
        <w:t> </w:t>
      </w:r>
      <w:r>
        <w:rPr>
          <w:color w:val="0D0E0E"/>
        </w:rPr>
        <w:t>A expectativa era de alta de 3,9%.</w:t>
      </w:r>
    </w:p>
    <w:p>
      <w:pPr>
        <w:pStyle w:val="Heading4"/>
        <w:spacing w:before="241"/>
        <w:ind w:left="713"/>
      </w:pPr>
      <w:r>
        <w:rPr>
          <w:color w:val="0D0E0E"/>
        </w:rPr>
        <w:t>Núcleo</w:t>
      </w:r>
      <w:r>
        <w:rPr>
          <w:color w:val="0D0E0E"/>
          <w:spacing w:val="-4"/>
        </w:rPr>
        <w:t> </w:t>
      </w:r>
      <w:r>
        <w:rPr>
          <w:color w:val="0D0E0E"/>
        </w:rPr>
        <w:t>Inflação</w:t>
      </w:r>
      <w:r>
        <w:rPr>
          <w:color w:val="0D0E0E"/>
          <w:spacing w:val="-2"/>
        </w:rPr>
        <w:t> </w:t>
      </w:r>
      <w:r>
        <w:rPr>
          <w:color w:val="0D0E0E"/>
        </w:rPr>
        <w:t>–</w:t>
      </w:r>
      <w:r>
        <w:rPr>
          <w:color w:val="0D0E0E"/>
          <w:spacing w:val="-3"/>
        </w:rPr>
        <w:t> </w:t>
      </w:r>
      <w:r>
        <w:rPr>
          <w:color w:val="0D0E0E"/>
        </w:rPr>
        <w:t>Zona</w:t>
      </w:r>
      <w:r>
        <w:rPr>
          <w:color w:val="0D0E0E"/>
          <w:spacing w:val="-2"/>
        </w:rPr>
        <w:t> </w:t>
      </w:r>
      <w:r>
        <w:rPr>
          <w:color w:val="0D0E0E"/>
        </w:rPr>
        <w:t>do</w:t>
      </w:r>
      <w:r>
        <w:rPr>
          <w:color w:val="0D0E0E"/>
          <w:spacing w:val="-2"/>
        </w:rPr>
        <w:t> Euro:</w:t>
      </w:r>
    </w:p>
    <w:p>
      <w:pPr>
        <w:pStyle w:val="BodyText"/>
        <w:spacing w:before="4"/>
        <w:rPr>
          <w:b/>
          <w:sz w:val="10"/>
        </w:rPr>
      </w:pPr>
      <w:r>
        <w:rPr>
          <w:b/>
          <w:sz w:val="10"/>
        </w:rPr>
        <w:drawing>
          <wp:anchor distT="0" distB="0" distL="0" distR="0" allowOverlap="1" layoutInCell="1" locked="0" behindDoc="1" simplePos="0" relativeHeight="487595008">
            <wp:simplePos x="0" y="0"/>
            <wp:positionH relativeFrom="page">
              <wp:posOffset>1148930</wp:posOffset>
            </wp:positionH>
            <wp:positionV relativeFrom="paragraph">
              <wp:posOffset>92319</wp:posOffset>
            </wp:positionV>
            <wp:extent cx="5506029" cy="2535745"/>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22" cstate="print"/>
                    <a:stretch>
                      <a:fillRect/>
                    </a:stretch>
                  </pic:blipFill>
                  <pic:spPr>
                    <a:xfrm>
                      <a:off x="0" y="0"/>
                      <a:ext cx="5506029" cy="2535745"/>
                    </a:xfrm>
                    <a:prstGeom prst="rect">
                      <a:avLst/>
                    </a:prstGeom>
                  </pic:spPr>
                </pic:pic>
              </a:graphicData>
            </a:graphic>
          </wp:anchor>
        </w:drawing>
      </w:r>
    </w:p>
    <w:p>
      <w:pPr>
        <w:spacing w:before="29"/>
        <w:ind w:left="708" w:right="1073" w:firstLine="0"/>
        <w:jc w:val="center"/>
        <w:rPr>
          <w:rFonts w:ascii="Calibri"/>
          <w:i/>
          <w:sz w:val="20"/>
        </w:rPr>
      </w:pPr>
      <w:r>
        <w:rPr>
          <w:rFonts w:ascii="Calibri"/>
          <w:i/>
          <w:color w:val="0D0E0E"/>
          <w:spacing w:val="-2"/>
          <w:sz w:val="20"/>
        </w:rPr>
        <w:t>https://tradingeconomics.com/euro-area/core-inflation-</w:t>
      </w:r>
      <w:r>
        <w:rPr>
          <w:rFonts w:ascii="Calibri"/>
          <w:i/>
          <w:color w:val="0D0E0E"/>
          <w:spacing w:val="-4"/>
          <w:sz w:val="20"/>
        </w:rPr>
        <w:t>rate</w:t>
      </w:r>
    </w:p>
    <w:p>
      <w:pPr>
        <w:pStyle w:val="BodyText"/>
        <w:rPr>
          <w:rFonts w:ascii="Calibri"/>
          <w:i/>
          <w:sz w:val="20"/>
        </w:rPr>
      </w:pPr>
    </w:p>
    <w:p>
      <w:pPr>
        <w:pStyle w:val="BodyText"/>
        <w:rPr>
          <w:rFonts w:ascii="Calibri"/>
          <w:i/>
          <w:sz w:val="20"/>
        </w:rPr>
      </w:pPr>
    </w:p>
    <w:p>
      <w:pPr>
        <w:pStyle w:val="BodyText"/>
        <w:spacing w:before="27"/>
        <w:rPr>
          <w:rFonts w:ascii="Calibri"/>
          <w:i/>
          <w:sz w:val="20"/>
        </w:rPr>
      </w:pPr>
    </w:p>
    <w:p>
      <w:pPr>
        <w:pStyle w:val="BodyText"/>
        <w:ind w:left="184" w:right="1255" w:firstLine="707"/>
        <w:jc w:val="both"/>
      </w:pPr>
      <w:r>
        <w:rPr>
          <w:color w:val="0D0E0E"/>
        </w:rPr>
        <w:t>Como pôde ser observado pelos gráficos, a inflação vem caindo gradualmente com</w:t>
      </w:r>
      <w:r>
        <w:rPr>
          <w:color w:val="0D0E0E"/>
          <w:spacing w:val="-13"/>
        </w:rPr>
        <w:t> </w:t>
      </w:r>
      <w:r>
        <w:rPr>
          <w:color w:val="0D0E0E"/>
        </w:rPr>
        <w:t>o</w:t>
      </w:r>
      <w:r>
        <w:rPr>
          <w:color w:val="0D0E0E"/>
          <w:spacing w:val="-12"/>
        </w:rPr>
        <w:t> </w:t>
      </w:r>
      <w:r>
        <w:rPr>
          <w:color w:val="0D0E0E"/>
        </w:rPr>
        <w:t>tempo,</w:t>
      </w:r>
      <w:r>
        <w:rPr>
          <w:color w:val="0D0E0E"/>
          <w:spacing w:val="-11"/>
        </w:rPr>
        <w:t> </w:t>
      </w:r>
      <w:r>
        <w:rPr>
          <w:color w:val="0D0E0E"/>
        </w:rPr>
        <w:t>mostrando</w:t>
      </w:r>
      <w:r>
        <w:rPr>
          <w:color w:val="0D0E0E"/>
          <w:spacing w:val="-12"/>
        </w:rPr>
        <w:t> </w:t>
      </w:r>
      <w:r>
        <w:rPr>
          <w:color w:val="0D0E0E"/>
        </w:rPr>
        <w:t>aderência</w:t>
      </w:r>
      <w:r>
        <w:rPr>
          <w:color w:val="0D0E0E"/>
          <w:spacing w:val="-12"/>
        </w:rPr>
        <w:t> </w:t>
      </w:r>
      <w:r>
        <w:rPr>
          <w:color w:val="0D0E0E"/>
        </w:rPr>
        <w:t>a</w:t>
      </w:r>
      <w:r>
        <w:rPr>
          <w:color w:val="0D0E0E"/>
          <w:spacing w:val="-12"/>
        </w:rPr>
        <w:t> </w:t>
      </w:r>
      <w:r>
        <w:rPr>
          <w:color w:val="0D0E0E"/>
        </w:rPr>
        <w:t>política</w:t>
      </w:r>
      <w:r>
        <w:rPr>
          <w:color w:val="0D0E0E"/>
          <w:spacing w:val="-12"/>
        </w:rPr>
        <w:t> </w:t>
      </w:r>
      <w:r>
        <w:rPr>
          <w:color w:val="0D0E0E"/>
        </w:rPr>
        <w:t>monetária</w:t>
      </w:r>
      <w:r>
        <w:rPr>
          <w:color w:val="0D0E0E"/>
          <w:spacing w:val="-11"/>
        </w:rPr>
        <w:t> </w:t>
      </w:r>
      <w:r>
        <w:rPr>
          <w:color w:val="0D0E0E"/>
        </w:rPr>
        <w:t>restritiva</w:t>
      </w:r>
      <w:r>
        <w:rPr>
          <w:color w:val="0D0E0E"/>
          <w:spacing w:val="-12"/>
        </w:rPr>
        <w:t> </w:t>
      </w:r>
      <w:r>
        <w:rPr>
          <w:color w:val="0D0E0E"/>
        </w:rPr>
        <w:t>a</w:t>
      </w:r>
      <w:r>
        <w:rPr>
          <w:color w:val="0D0E0E"/>
          <w:spacing w:val="-12"/>
        </w:rPr>
        <w:t> </w:t>
      </w:r>
      <w:r>
        <w:rPr>
          <w:color w:val="0D0E0E"/>
        </w:rPr>
        <w:t>abrindo</w:t>
      </w:r>
      <w:r>
        <w:rPr>
          <w:color w:val="0D0E0E"/>
          <w:spacing w:val="-12"/>
        </w:rPr>
        <w:t> </w:t>
      </w:r>
      <w:r>
        <w:rPr>
          <w:color w:val="0D0E0E"/>
        </w:rPr>
        <w:t>espaço</w:t>
      </w:r>
      <w:r>
        <w:rPr>
          <w:color w:val="0D0E0E"/>
          <w:spacing w:val="-12"/>
        </w:rPr>
        <w:t> </w:t>
      </w:r>
      <w:r>
        <w:rPr>
          <w:color w:val="0D0E0E"/>
        </w:rPr>
        <w:t>para que o BCE (Banco Central Europeu) possa reduzir a taxa de juros nos próximos meses.</w:t>
      </w:r>
    </w:p>
    <w:p>
      <w:pPr>
        <w:pStyle w:val="BodyText"/>
        <w:spacing w:after="0"/>
        <w:jc w:val="both"/>
        <w:sectPr>
          <w:pgSz w:w="11920" w:h="16850"/>
          <w:pgMar w:top="1280" w:bottom="280" w:left="1417" w:right="141"/>
        </w:sectPr>
      </w:pPr>
    </w:p>
    <w:p>
      <w:pPr>
        <w:pStyle w:val="Heading3"/>
        <w:spacing w:before="19"/>
      </w:pPr>
      <w:r>
        <w:rPr>
          <w:color w:val="FF0000"/>
          <w:spacing w:val="-2"/>
        </w:rPr>
        <w:t>Juros</w:t>
      </w:r>
    </w:p>
    <w:p>
      <w:pPr>
        <w:pStyle w:val="BodyText"/>
        <w:spacing w:line="281" w:lineRule="exact" w:before="240"/>
        <w:ind w:left="892"/>
      </w:pPr>
      <w:r>
        <w:rPr>
          <w:color w:val="0D0E0E"/>
        </w:rPr>
        <w:t>O</w:t>
      </w:r>
      <w:r>
        <w:rPr>
          <w:color w:val="0D0E0E"/>
          <w:spacing w:val="-8"/>
        </w:rPr>
        <w:t> </w:t>
      </w:r>
      <w:r>
        <w:rPr>
          <w:color w:val="0D0E0E"/>
        </w:rPr>
        <w:t>Conselho</w:t>
      </w:r>
      <w:r>
        <w:rPr>
          <w:color w:val="0D0E0E"/>
          <w:spacing w:val="-7"/>
        </w:rPr>
        <w:t> </w:t>
      </w:r>
      <w:r>
        <w:rPr>
          <w:color w:val="0D0E0E"/>
        </w:rPr>
        <w:t>do</w:t>
      </w:r>
      <w:r>
        <w:rPr>
          <w:color w:val="0D0E0E"/>
          <w:spacing w:val="-7"/>
        </w:rPr>
        <w:t> </w:t>
      </w:r>
      <w:r>
        <w:rPr>
          <w:color w:val="0D0E0E"/>
        </w:rPr>
        <w:t>Banco</w:t>
      </w:r>
      <w:r>
        <w:rPr>
          <w:color w:val="0D0E0E"/>
          <w:spacing w:val="-7"/>
        </w:rPr>
        <w:t> </w:t>
      </w:r>
      <w:r>
        <w:rPr>
          <w:color w:val="0D0E0E"/>
        </w:rPr>
        <w:t>Central</w:t>
      </w:r>
      <w:r>
        <w:rPr>
          <w:color w:val="0D0E0E"/>
          <w:spacing w:val="-7"/>
        </w:rPr>
        <w:t> </w:t>
      </w:r>
      <w:r>
        <w:rPr>
          <w:color w:val="0D0E0E"/>
        </w:rPr>
        <w:t>Europeu</w:t>
      </w:r>
      <w:r>
        <w:rPr>
          <w:color w:val="0D0E0E"/>
          <w:spacing w:val="-7"/>
        </w:rPr>
        <w:t> </w:t>
      </w:r>
      <w:r>
        <w:rPr>
          <w:color w:val="0D0E0E"/>
        </w:rPr>
        <w:t>(BCE)</w:t>
      </w:r>
      <w:r>
        <w:rPr>
          <w:color w:val="0D0E0E"/>
          <w:spacing w:val="-7"/>
        </w:rPr>
        <w:t> </w:t>
      </w:r>
      <w:r>
        <w:rPr>
          <w:color w:val="0D0E0E"/>
        </w:rPr>
        <w:t>decidiu</w:t>
      </w:r>
      <w:r>
        <w:rPr>
          <w:color w:val="0D0E0E"/>
          <w:spacing w:val="-6"/>
        </w:rPr>
        <w:t> </w:t>
      </w:r>
      <w:r>
        <w:rPr>
          <w:color w:val="0D0E0E"/>
        </w:rPr>
        <w:t>hoje</w:t>
      </w:r>
      <w:r>
        <w:rPr>
          <w:color w:val="0D0E0E"/>
          <w:spacing w:val="-7"/>
        </w:rPr>
        <w:t> </w:t>
      </w:r>
      <w:r>
        <w:rPr>
          <w:color w:val="0D0E0E"/>
        </w:rPr>
        <w:t>manter</w:t>
      </w:r>
      <w:r>
        <w:rPr>
          <w:color w:val="0D0E0E"/>
          <w:spacing w:val="-7"/>
        </w:rPr>
        <w:t> </w:t>
      </w:r>
      <w:r>
        <w:rPr>
          <w:color w:val="0D0E0E"/>
        </w:rPr>
        <w:t>as</w:t>
      </w:r>
      <w:r>
        <w:rPr>
          <w:color w:val="0D0E0E"/>
          <w:spacing w:val="-6"/>
        </w:rPr>
        <w:t> </w:t>
      </w:r>
      <w:r>
        <w:rPr>
          <w:color w:val="0D0E0E"/>
        </w:rPr>
        <w:t>três</w:t>
      </w:r>
      <w:r>
        <w:rPr>
          <w:color w:val="0D0E0E"/>
          <w:spacing w:val="-6"/>
        </w:rPr>
        <w:t> </w:t>
      </w:r>
      <w:r>
        <w:rPr>
          <w:color w:val="0D0E0E"/>
        </w:rPr>
        <w:t>taxas</w:t>
      </w:r>
      <w:r>
        <w:rPr>
          <w:color w:val="0D0E0E"/>
          <w:spacing w:val="-6"/>
        </w:rPr>
        <w:t> </w:t>
      </w:r>
      <w:r>
        <w:rPr>
          <w:color w:val="0D0E0E"/>
          <w:spacing w:val="-5"/>
        </w:rPr>
        <w:t>de</w:t>
      </w:r>
    </w:p>
    <w:p>
      <w:pPr>
        <w:pStyle w:val="BodyText"/>
        <w:ind w:left="184" w:right="1253"/>
        <w:jc w:val="both"/>
      </w:pPr>
      <w:r>
        <w:rPr>
          <w:color w:val="0D0E0E"/>
        </w:rPr>
        <w:t>juro diretoras do BCE inalteradas na janela entre 4,25% e 4,50%. Em comunicado, mesmo com a inflação tenha se reduzido nos últimos meses, uma alta no curto prazo deve</w:t>
      </w:r>
      <w:r>
        <w:rPr>
          <w:color w:val="0D0E0E"/>
          <w:spacing w:val="-11"/>
        </w:rPr>
        <w:t> </w:t>
      </w:r>
      <w:r>
        <w:rPr>
          <w:color w:val="0D0E0E"/>
        </w:rPr>
        <w:t>acontecer.</w:t>
      </w:r>
      <w:r>
        <w:rPr>
          <w:color w:val="0D0E0E"/>
          <w:spacing w:val="-10"/>
        </w:rPr>
        <w:t> </w:t>
      </w:r>
      <w:r>
        <w:rPr>
          <w:color w:val="0D0E0E"/>
        </w:rPr>
        <w:t>O</w:t>
      </w:r>
      <w:r>
        <w:rPr>
          <w:color w:val="0D0E0E"/>
          <w:spacing w:val="-12"/>
        </w:rPr>
        <w:t> </w:t>
      </w:r>
      <w:r>
        <w:rPr>
          <w:color w:val="0D0E0E"/>
        </w:rPr>
        <w:t>BCE</w:t>
      </w:r>
      <w:r>
        <w:rPr>
          <w:color w:val="0D0E0E"/>
          <w:spacing w:val="-10"/>
        </w:rPr>
        <w:t> </w:t>
      </w:r>
      <w:r>
        <w:rPr>
          <w:color w:val="0D0E0E"/>
        </w:rPr>
        <w:t>ainda</w:t>
      </w:r>
      <w:r>
        <w:rPr>
          <w:color w:val="0D0E0E"/>
          <w:spacing w:val="-11"/>
        </w:rPr>
        <w:t> </w:t>
      </w:r>
      <w:r>
        <w:rPr>
          <w:color w:val="0D0E0E"/>
        </w:rPr>
        <w:t>ressaltou</w:t>
      </w:r>
      <w:r>
        <w:rPr>
          <w:color w:val="0D0E0E"/>
          <w:spacing w:val="-12"/>
        </w:rPr>
        <w:t> </w:t>
      </w:r>
      <w:r>
        <w:rPr>
          <w:color w:val="0D0E0E"/>
        </w:rPr>
        <w:t>que</w:t>
      </w:r>
      <w:r>
        <w:rPr>
          <w:color w:val="0D0E0E"/>
          <w:spacing w:val="-11"/>
        </w:rPr>
        <w:t> </w:t>
      </w:r>
      <w:r>
        <w:rPr>
          <w:color w:val="0D0E0E"/>
        </w:rPr>
        <w:t>esse</w:t>
      </w:r>
      <w:r>
        <w:rPr>
          <w:color w:val="0D0E0E"/>
          <w:spacing w:val="-13"/>
        </w:rPr>
        <w:t> </w:t>
      </w:r>
      <w:r>
        <w:rPr>
          <w:color w:val="0D0E0E"/>
        </w:rPr>
        <w:t>nível</w:t>
      </w:r>
      <w:r>
        <w:rPr>
          <w:color w:val="0D0E0E"/>
          <w:spacing w:val="-11"/>
        </w:rPr>
        <w:t> </w:t>
      </w:r>
      <w:r>
        <w:rPr>
          <w:color w:val="0D0E0E"/>
        </w:rPr>
        <w:t>de</w:t>
      </w:r>
      <w:r>
        <w:rPr>
          <w:color w:val="0D0E0E"/>
          <w:spacing w:val="-11"/>
        </w:rPr>
        <w:t> </w:t>
      </w:r>
      <w:r>
        <w:rPr>
          <w:color w:val="0D0E0E"/>
        </w:rPr>
        <w:t>juros</w:t>
      </w:r>
      <w:r>
        <w:rPr>
          <w:color w:val="0D0E0E"/>
          <w:spacing w:val="-11"/>
        </w:rPr>
        <w:t> </w:t>
      </w:r>
      <w:r>
        <w:rPr>
          <w:color w:val="0D0E0E"/>
        </w:rPr>
        <w:t>é</w:t>
      </w:r>
      <w:r>
        <w:rPr>
          <w:color w:val="0D0E0E"/>
          <w:spacing w:val="-11"/>
        </w:rPr>
        <w:t> </w:t>
      </w:r>
      <w:r>
        <w:rPr>
          <w:color w:val="0D0E0E"/>
        </w:rPr>
        <w:t>alto</w:t>
      </w:r>
      <w:r>
        <w:rPr>
          <w:color w:val="0D0E0E"/>
          <w:spacing w:val="-11"/>
        </w:rPr>
        <w:t> </w:t>
      </w:r>
      <w:r>
        <w:rPr>
          <w:color w:val="0D0E0E"/>
        </w:rPr>
        <w:t>o</w:t>
      </w:r>
      <w:r>
        <w:rPr>
          <w:color w:val="0D0E0E"/>
          <w:spacing w:val="-11"/>
        </w:rPr>
        <w:t> </w:t>
      </w:r>
      <w:r>
        <w:rPr>
          <w:color w:val="0D0E0E"/>
        </w:rPr>
        <w:t>suficiente</w:t>
      </w:r>
      <w:r>
        <w:rPr>
          <w:color w:val="0D0E0E"/>
          <w:spacing w:val="-10"/>
        </w:rPr>
        <w:t> </w:t>
      </w:r>
      <w:r>
        <w:rPr>
          <w:color w:val="0D0E0E"/>
        </w:rPr>
        <w:t>para</w:t>
      </w:r>
      <w:r>
        <w:rPr>
          <w:color w:val="0D0E0E"/>
          <w:spacing w:val="-11"/>
        </w:rPr>
        <w:t> </w:t>
      </w:r>
      <w:r>
        <w:rPr>
          <w:color w:val="0D0E0E"/>
        </w:rPr>
        <w:t>que a inflação volte a meta no longo médio prazo e que o Conselho do BCE vai manter as taxas em níveis restritivos durante o tempo necessário.</w:t>
      </w:r>
    </w:p>
    <w:p>
      <w:pPr>
        <w:pStyle w:val="BodyText"/>
      </w:pPr>
    </w:p>
    <w:p>
      <w:pPr>
        <w:pStyle w:val="BodyText"/>
        <w:spacing w:before="200"/>
      </w:pPr>
    </w:p>
    <w:p>
      <w:pPr>
        <w:pStyle w:val="Heading4"/>
        <w:spacing w:before="1"/>
        <w:ind w:left="713"/>
      </w:pPr>
      <w:r>
        <w:rPr>
          <w:color w:val="0D0E0E"/>
        </w:rPr>
        <w:t>Taxa</w:t>
      </w:r>
      <w:r>
        <w:rPr>
          <w:color w:val="0D0E0E"/>
          <w:spacing w:val="-3"/>
        </w:rPr>
        <w:t> </w:t>
      </w:r>
      <w:r>
        <w:rPr>
          <w:color w:val="0D0E0E"/>
        </w:rPr>
        <w:t>de Juros</w:t>
      </w:r>
      <w:r>
        <w:rPr>
          <w:color w:val="0D0E0E"/>
          <w:spacing w:val="1"/>
        </w:rPr>
        <w:t> </w:t>
      </w:r>
      <w:r>
        <w:rPr>
          <w:color w:val="0D0E0E"/>
        </w:rPr>
        <w:t>–</w:t>
      </w:r>
      <w:r>
        <w:rPr>
          <w:color w:val="0D0E0E"/>
          <w:spacing w:val="-2"/>
        </w:rPr>
        <w:t> </w:t>
      </w:r>
      <w:r>
        <w:rPr>
          <w:color w:val="0D0E0E"/>
        </w:rPr>
        <w:t>Zona</w:t>
      </w:r>
      <w:r>
        <w:rPr>
          <w:color w:val="0D0E0E"/>
          <w:spacing w:val="-2"/>
        </w:rPr>
        <w:t> </w:t>
      </w:r>
      <w:r>
        <w:rPr>
          <w:color w:val="0D0E0E"/>
        </w:rPr>
        <w:t>do</w:t>
      </w:r>
      <w:r>
        <w:rPr>
          <w:color w:val="0D0E0E"/>
          <w:spacing w:val="-1"/>
        </w:rPr>
        <w:t> </w:t>
      </w:r>
      <w:r>
        <w:rPr>
          <w:color w:val="0D0E0E"/>
          <w:spacing w:val="-4"/>
        </w:rPr>
        <w:t>Euro</w:t>
      </w:r>
    </w:p>
    <w:p>
      <w:pPr>
        <w:pStyle w:val="BodyText"/>
        <w:spacing w:before="12"/>
        <w:rPr>
          <w:b/>
          <w:sz w:val="20"/>
        </w:rPr>
      </w:pPr>
      <w:r>
        <w:rPr>
          <w:b/>
          <w:sz w:val="20"/>
        </w:rPr>
        <w:drawing>
          <wp:anchor distT="0" distB="0" distL="0" distR="0" allowOverlap="1" layoutInCell="1" locked="0" behindDoc="1" simplePos="0" relativeHeight="487595520">
            <wp:simplePos x="0" y="0"/>
            <wp:positionH relativeFrom="page">
              <wp:posOffset>1082465</wp:posOffset>
            </wp:positionH>
            <wp:positionV relativeFrom="paragraph">
              <wp:posOffset>172135</wp:posOffset>
            </wp:positionV>
            <wp:extent cx="5565620" cy="2626899"/>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23" cstate="print"/>
                    <a:stretch>
                      <a:fillRect/>
                    </a:stretch>
                  </pic:blipFill>
                  <pic:spPr>
                    <a:xfrm>
                      <a:off x="0" y="0"/>
                      <a:ext cx="5565620" cy="2626899"/>
                    </a:xfrm>
                    <a:prstGeom prst="rect">
                      <a:avLst/>
                    </a:prstGeom>
                  </pic:spPr>
                </pic:pic>
              </a:graphicData>
            </a:graphic>
          </wp:anchor>
        </w:drawing>
      </w:r>
    </w:p>
    <w:p>
      <w:pPr>
        <w:spacing w:before="36"/>
        <w:ind w:left="711" w:right="1073" w:firstLine="0"/>
        <w:jc w:val="center"/>
        <w:rPr>
          <w:rFonts w:ascii="Calibri"/>
          <w:i/>
          <w:sz w:val="20"/>
        </w:rPr>
      </w:pPr>
      <w:r>
        <w:rPr>
          <w:rFonts w:ascii="Calibri"/>
          <w:i/>
          <w:color w:val="0D0E0E"/>
          <w:spacing w:val="-2"/>
          <w:sz w:val="20"/>
        </w:rPr>
        <w:t>https://tradingeconomics.com/euro-area/interest-</w:t>
      </w:r>
      <w:r>
        <w:rPr>
          <w:rFonts w:ascii="Calibri"/>
          <w:i/>
          <w:color w:val="0D0E0E"/>
          <w:spacing w:val="-4"/>
          <w:sz w:val="20"/>
        </w:rPr>
        <w:t>rate</w:t>
      </w:r>
    </w:p>
    <w:p>
      <w:pPr>
        <w:pStyle w:val="BodyText"/>
        <w:spacing w:before="239"/>
        <w:ind w:left="184" w:right="1256" w:firstLine="707"/>
        <w:jc w:val="both"/>
      </w:pPr>
      <w:r>
        <w:rPr>
          <w:color w:val="0D0E0E"/>
        </w:rPr>
        <w:t>Em síntese, a estrutura de juros na zona do Euro permanece da seguinte forma: taxa</w:t>
      </w:r>
      <w:r>
        <w:rPr>
          <w:color w:val="0D0E0E"/>
          <w:spacing w:val="-14"/>
        </w:rPr>
        <w:t> </w:t>
      </w:r>
      <w:r>
        <w:rPr>
          <w:color w:val="0D0E0E"/>
        </w:rPr>
        <w:t>de</w:t>
      </w:r>
      <w:r>
        <w:rPr>
          <w:color w:val="0D0E0E"/>
          <w:spacing w:val="-13"/>
        </w:rPr>
        <w:t> </w:t>
      </w:r>
      <w:r>
        <w:rPr>
          <w:color w:val="0D0E0E"/>
        </w:rPr>
        <w:t>refinanciamento</w:t>
      </w:r>
      <w:r>
        <w:rPr>
          <w:color w:val="0D0E0E"/>
          <w:spacing w:val="-13"/>
        </w:rPr>
        <w:t> </w:t>
      </w:r>
      <w:r>
        <w:rPr>
          <w:color w:val="0D0E0E"/>
        </w:rPr>
        <w:t>em</w:t>
      </w:r>
      <w:r>
        <w:rPr>
          <w:color w:val="0D0E0E"/>
          <w:spacing w:val="-13"/>
        </w:rPr>
        <w:t> </w:t>
      </w:r>
      <w:r>
        <w:rPr>
          <w:color w:val="0D0E0E"/>
        </w:rPr>
        <w:t>4,50%,</w:t>
      </w:r>
      <w:r>
        <w:rPr>
          <w:color w:val="0D0E0E"/>
          <w:spacing w:val="-14"/>
        </w:rPr>
        <w:t> </w:t>
      </w:r>
      <w:r>
        <w:rPr>
          <w:color w:val="0D0E0E"/>
        </w:rPr>
        <w:t>a</w:t>
      </w:r>
      <w:r>
        <w:rPr>
          <w:color w:val="0D0E0E"/>
          <w:spacing w:val="-13"/>
        </w:rPr>
        <w:t> </w:t>
      </w:r>
      <w:r>
        <w:rPr>
          <w:color w:val="0D0E0E"/>
        </w:rPr>
        <w:t>taxa</w:t>
      </w:r>
      <w:r>
        <w:rPr>
          <w:color w:val="0D0E0E"/>
          <w:spacing w:val="-13"/>
        </w:rPr>
        <w:t> </w:t>
      </w:r>
      <w:r>
        <w:rPr>
          <w:color w:val="0D0E0E"/>
        </w:rPr>
        <w:t>de</w:t>
      </w:r>
      <w:r>
        <w:rPr>
          <w:color w:val="0D0E0E"/>
          <w:spacing w:val="-13"/>
        </w:rPr>
        <w:t> </w:t>
      </w:r>
      <w:r>
        <w:rPr>
          <w:color w:val="0D0E0E"/>
        </w:rPr>
        <w:t>depósitos</w:t>
      </w:r>
      <w:r>
        <w:rPr>
          <w:color w:val="0D0E0E"/>
          <w:spacing w:val="-13"/>
        </w:rPr>
        <w:t> </w:t>
      </w:r>
      <w:r>
        <w:rPr>
          <w:color w:val="0D0E0E"/>
        </w:rPr>
        <w:t>em</w:t>
      </w:r>
      <w:r>
        <w:rPr>
          <w:color w:val="0D0E0E"/>
          <w:spacing w:val="-14"/>
        </w:rPr>
        <w:t> </w:t>
      </w:r>
      <w:r>
        <w:rPr>
          <w:color w:val="0D0E0E"/>
        </w:rPr>
        <w:t>4,0%</w:t>
      </w:r>
      <w:r>
        <w:rPr>
          <w:color w:val="0D0E0E"/>
          <w:spacing w:val="-13"/>
        </w:rPr>
        <w:t> </w:t>
      </w:r>
      <w:r>
        <w:rPr>
          <w:color w:val="0D0E0E"/>
        </w:rPr>
        <w:t>e</w:t>
      </w:r>
      <w:r>
        <w:rPr>
          <w:color w:val="0D0E0E"/>
          <w:spacing w:val="-13"/>
        </w:rPr>
        <w:t> </w:t>
      </w:r>
      <w:r>
        <w:rPr>
          <w:color w:val="0D0E0E"/>
        </w:rPr>
        <w:t>a</w:t>
      </w:r>
      <w:r>
        <w:rPr>
          <w:color w:val="0D0E0E"/>
          <w:spacing w:val="-13"/>
        </w:rPr>
        <w:t> </w:t>
      </w:r>
      <w:r>
        <w:rPr>
          <w:color w:val="0D0E0E"/>
        </w:rPr>
        <w:t>taxa</w:t>
      </w:r>
      <w:r>
        <w:rPr>
          <w:color w:val="0D0E0E"/>
          <w:spacing w:val="-13"/>
        </w:rPr>
        <w:t> </w:t>
      </w:r>
      <w:r>
        <w:rPr>
          <w:color w:val="0D0E0E"/>
        </w:rPr>
        <w:t>de</w:t>
      </w:r>
      <w:r>
        <w:rPr>
          <w:color w:val="0D0E0E"/>
          <w:spacing w:val="-14"/>
        </w:rPr>
        <w:t> </w:t>
      </w:r>
      <w:r>
        <w:rPr>
          <w:color w:val="0D0E0E"/>
        </w:rPr>
        <w:t>empréstimos marginais (</w:t>
      </w:r>
      <w:r>
        <w:rPr>
          <w:i/>
          <w:color w:val="0D0E0E"/>
        </w:rPr>
        <w:t>lending rate</w:t>
      </w:r>
      <w:r>
        <w:rPr>
          <w:color w:val="0D0E0E"/>
        </w:rPr>
        <w:t>) em 4,75%.</w:t>
      </w:r>
    </w:p>
    <w:p>
      <w:pPr>
        <w:pStyle w:val="BodyText"/>
      </w:pPr>
    </w:p>
    <w:p>
      <w:pPr>
        <w:pStyle w:val="BodyText"/>
        <w:spacing w:before="198"/>
      </w:pPr>
    </w:p>
    <w:p>
      <w:pPr>
        <w:pStyle w:val="Heading1"/>
        <w:spacing w:before="1"/>
        <w:jc w:val="both"/>
      </w:pPr>
      <w:r>
        <w:rPr>
          <w:color w:val="0D0E0E"/>
        </w:rPr>
        <w:t>INDICADORES</w:t>
      </w:r>
      <w:r>
        <w:rPr>
          <w:color w:val="0D0E0E"/>
          <w:spacing w:val="-7"/>
        </w:rPr>
        <w:t> </w:t>
      </w:r>
      <w:r>
        <w:rPr>
          <w:color w:val="0D0E0E"/>
        </w:rPr>
        <w:t>DE</w:t>
      </w:r>
      <w:r>
        <w:rPr>
          <w:color w:val="0D0E0E"/>
          <w:spacing w:val="-5"/>
        </w:rPr>
        <w:t> </w:t>
      </w:r>
      <w:r>
        <w:rPr>
          <w:color w:val="0D0E0E"/>
          <w:spacing w:val="-2"/>
        </w:rPr>
        <w:t>ATIVIDADE</w:t>
      </w:r>
    </w:p>
    <w:p>
      <w:pPr>
        <w:pStyle w:val="Heading2"/>
        <w:spacing w:before="239"/>
      </w:pPr>
      <w:r>
        <w:rPr>
          <w:color w:val="FF0000"/>
          <w:spacing w:val="-5"/>
        </w:rPr>
        <w:t>PIB</w:t>
      </w:r>
    </w:p>
    <w:p>
      <w:pPr>
        <w:pStyle w:val="BodyText"/>
        <w:spacing w:line="281" w:lineRule="exact" w:before="240"/>
        <w:ind w:left="892"/>
      </w:pPr>
      <w:r>
        <w:rPr>
          <w:color w:val="0D0E0E"/>
        </w:rPr>
        <w:t>Em</w:t>
      </w:r>
      <w:r>
        <w:rPr>
          <w:color w:val="0D0E0E"/>
          <w:spacing w:val="4"/>
        </w:rPr>
        <w:t> </w:t>
      </w:r>
      <w:r>
        <w:rPr>
          <w:color w:val="0D0E0E"/>
        </w:rPr>
        <w:t>linha</w:t>
      </w:r>
      <w:r>
        <w:rPr>
          <w:color w:val="0D0E0E"/>
          <w:spacing w:val="5"/>
        </w:rPr>
        <w:t> </w:t>
      </w:r>
      <w:r>
        <w:rPr>
          <w:color w:val="0D0E0E"/>
        </w:rPr>
        <w:t>com</w:t>
      </w:r>
      <w:r>
        <w:rPr>
          <w:color w:val="0D0E0E"/>
          <w:spacing w:val="3"/>
        </w:rPr>
        <w:t> </w:t>
      </w:r>
      <w:r>
        <w:rPr>
          <w:color w:val="0D0E0E"/>
        </w:rPr>
        <w:t>as</w:t>
      </w:r>
      <w:r>
        <w:rPr>
          <w:color w:val="0D0E0E"/>
          <w:spacing w:val="5"/>
        </w:rPr>
        <w:t> </w:t>
      </w:r>
      <w:r>
        <w:rPr>
          <w:color w:val="0D0E0E"/>
        </w:rPr>
        <w:t>expectativas</w:t>
      </w:r>
      <w:r>
        <w:rPr>
          <w:color w:val="0D0E0E"/>
          <w:spacing w:val="4"/>
        </w:rPr>
        <w:t> </w:t>
      </w:r>
      <w:r>
        <w:rPr>
          <w:color w:val="0D0E0E"/>
        </w:rPr>
        <w:t>e</w:t>
      </w:r>
      <w:r>
        <w:rPr>
          <w:color w:val="0D0E0E"/>
          <w:spacing w:val="7"/>
        </w:rPr>
        <w:t> </w:t>
      </w:r>
      <w:r>
        <w:rPr>
          <w:color w:val="0D0E0E"/>
        </w:rPr>
        <w:t>influenciado</w:t>
      </w:r>
      <w:r>
        <w:rPr>
          <w:color w:val="0D0E0E"/>
          <w:spacing w:val="3"/>
        </w:rPr>
        <w:t> </w:t>
      </w:r>
      <w:r>
        <w:rPr>
          <w:color w:val="0D0E0E"/>
        </w:rPr>
        <w:t>pela</w:t>
      </w:r>
      <w:r>
        <w:rPr>
          <w:color w:val="0D0E0E"/>
          <w:spacing w:val="5"/>
        </w:rPr>
        <w:t> </w:t>
      </w:r>
      <w:r>
        <w:rPr>
          <w:color w:val="0D0E0E"/>
        </w:rPr>
        <w:t>estrutura</w:t>
      </w:r>
      <w:r>
        <w:rPr>
          <w:color w:val="0D0E0E"/>
          <w:spacing w:val="5"/>
        </w:rPr>
        <w:t> </w:t>
      </w:r>
      <w:r>
        <w:rPr>
          <w:color w:val="0D0E0E"/>
        </w:rPr>
        <w:t>de</w:t>
      </w:r>
      <w:r>
        <w:rPr>
          <w:color w:val="0D0E0E"/>
          <w:spacing w:val="5"/>
        </w:rPr>
        <w:t> </w:t>
      </w:r>
      <w:r>
        <w:rPr>
          <w:color w:val="0D0E0E"/>
        </w:rPr>
        <w:t>juros</w:t>
      </w:r>
      <w:r>
        <w:rPr>
          <w:color w:val="0D0E0E"/>
          <w:spacing w:val="4"/>
        </w:rPr>
        <w:t> </w:t>
      </w:r>
      <w:r>
        <w:rPr>
          <w:color w:val="0D0E0E"/>
        </w:rPr>
        <w:t>da</w:t>
      </w:r>
      <w:r>
        <w:rPr>
          <w:color w:val="0D0E0E"/>
          <w:spacing w:val="5"/>
        </w:rPr>
        <w:t> </w:t>
      </w:r>
      <w:r>
        <w:rPr>
          <w:color w:val="0D0E0E"/>
        </w:rPr>
        <w:t>região,</w:t>
      </w:r>
      <w:r>
        <w:rPr>
          <w:color w:val="0D0E0E"/>
          <w:spacing w:val="6"/>
        </w:rPr>
        <w:t> </w:t>
      </w:r>
      <w:r>
        <w:rPr>
          <w:color w:val="0D0E0E"/>
          <w:spacing w:val="-10"/>
        </w:rPr>
        <w:t>o</w:t>
      </w:r>
    </w:p>
    <w:p>
      <w:pPr>
        <w:pStyle w:val="BodyText"/>
        <w:ind w:left="184" w:right="1257"/>
        <w:jc w:val="both"/>
      </w:pPr>
      <w:r>
        <w:rPr>
          <w:color w:val="0D0E0E"/>
        </w:rPr>
        <w:t>crescimento econômico representado pelo PIB para o 3º trimestre apresentou uma contração de -0,1% em relação ao trimestre anterior. Se compararmos com o terceiro trimestre de 2022, o PIB ficou estável, sem variações.</w:t>
      </w:r>
    </w:p>
    <w:p>
      <w:pPr>
        <w:pStyle w:val="BodyText"/>
        <w:spacing w:before="241"/>
        <w:ind w:left="184" w:right="1199" w:firstLine="707"/>
      </w:pPr>
      <w:r>
        <w:rPr>
          <w:color w:val="0D0E0E"/>
        </w:rPr>
        <w:t>Apesar da atividade se mostrar fraca, a inflação ainda permanece longe da meta e, por isso, não há perspectiva de queda nos juros no curto prazo.</w:t>
      </w:r>
    </w:p>
    <w:p>
      <w:pPr>
        <w:pStyle w:val="Heading2"/>
        <w:spacing w:before="240"/>
      </w:pPr>
      <w:r>
        <w:rPr>
          <w:color w:val="FF0000"/>
          <w:spacing w:val="-5"/>
        </w:rPr>
        <w:t>PMI</w:t>
      </w:r>
    </w:p>
    <w:p>
      <w:pPr>
        <w:pStyle w:val="Heading2"/>
        <w:spacing w:after="0"/>
        <w:sectPr>
          <w:pgSz w:w="11920" w:h="16850"/>
          <w:pgMar w:top="1340" w:bottom="280" w:left="1417" w:right="141"/>
        </w:sectPr>
      </w:pPr>
    </w:p>
    <w:p>
      <w:pPr>
        <w:pStyle w:val="BodyText"/>
        <w:spacing w:before="80"/>
        <w:ind w:left="184" w:right="1258" w:firstLine="707"/>
        <w:jc w:val="both"/>
      </w:pPr>
      <w:r>
        <w:rPr>
          <w:color w:val="0D0E0E"/>
        </w:rPr>
        <w:t>Um</w:t>
      </w:r>
      <w:r>
        <w:rPr>
          <w:color w:val="0D0E0E"/>
          <w:spacing w:val="-12"/>
        </w:rPr>
        <w:t> </w:t>
      </w:r>
      <w:r>
        <w:rPr>
          <w:color w:val="0D0E0E"/>
        </w:rPr>
        <w:t>dos</w:t>
      </w:r>
      <w:r>
        <w:rPr>
          <w:color w:val="0D0E0E"/>
          <w:spacing w:val="-12"/>
        </w:rPr>
        <w:t> </w:t>
      </w:r>
      <w:r>
        <w:rPr>
          <w:color w:val="0D0E0E"/>
        </w:rPr>
        <w:t>principais</w:t>
      </w:r>
      <w:r>
        <w:rPr>
          <w:color w:val="0D0E0E"/>
          <w:spacing w:val="-12"/>
        </w:rPr>
        <w:t> </w:t>
      </w:r>
      <w:r>
        <w:rPr>
          <w:color w:val="0D0E0E"/>
        </w:rPr>
        <w:t>indicadores</w:t>
      </w:r>
      <w:r>
        <w:rPr>
          <w:color w:val="0D0E0E"/>
          <w:spacing w:val="-12"/>
        </w:rPr>
        <w:t> </w:t>
      </w:r>
      <w:r>
        <w:rPr>
          <w:color w:val="0D0E0E"/>
        </w:rPr>
        <w:t>para</w:t>
      </w:r>
      <w:r>
        <w:rPr>
          <w:color w:val="0D0E0E"/>
          <w:spacing w:val="-12"/>
        </w:rPr>
        <w:t> </w:t>
      </w:r>
      <w:r>
        <w:rPr>
          <w:color w:val="0D0E0E"/>
        </w:rPr>
        <w:t>avaliar</w:t>
      </w:r>
      <w:r>
        <w:rPr>
          <w:color w:val="0D0E0E"/>
          <w:spacing w:val="-13"/>
        </w:rPr>
        <w:t> </w:t>
      </w:r>
      <w:r>
        <w:rPr>
          <w:color w:val="0D0E0E"/>
        </w:rPr>
        <w:t>o</w:t>
      </w:r>
      <w:r>
        <w:rPr>
          <w:color w:val="0D0E0E"/>
          <w:spacing w:val="-12"/>
        </w:rPr>
        <w:t> </w:t>
      </w:r>
      <w:r>
        <w:rPr>
          <w:color w:val="0D0E0E"/>
        </w:rPr>
        <w:t>desempenho</w:t>
      </w:r>
      <w:r>
        <w:rPr>
          <w:color w:val="0D0E0E"/>
          <w:spacing w:val="-12"/>
        </w:rPr>
        <w:t> </w:t>
      </w:r>
      <w:r>
        <w:rPr>
          <w:color w:val="0D0E0E"/>
        </w:rPr>
        <w:t>econômico</w:t>
      </w:r>
      <w:r>
        <w:rPr>
          <w:color w:val="0D0E0E"/>
          <w:spacing w:val="-12"/>
        </w:rPr>
        <w:t> </w:t>
      </w:r>
      <w:r>
        <w:rPr>
          <w:color w:val="0D0E0E"/>
        </w:rPr>
        <w:t>e</w:t>
      </w:r>
      <w:r>
        <w:rPr>
          <w:color w:val="0D0E0E"/>
          <w:spacing w:val="-12"/>
        </w:rPr>
        <w:t> </w:t>
      </w:r>
      <w:r>
        <w:rPr>
          <w:color w:val="0D0E0E"/>
        </w:rPr>
        <w:t>antecipar o</w:t>
      </w:r>
      <w:r>
        <w:rPr>
          <w:color w:val="0D0E0E"/>
          <w:spacing w:val="-11"/>
        </w:rPr>
        <w:t> </w:t>
      </w:r>
      <w:r>
        <w:rPr>
          <w:color w:val="0D0E0E"/>
        </w:rPr>
        <w:t>PIB</w:t>
      </w:r>
      <w:r>
        <w:rPr>
          <w:color w:val="0D0E0E"/>
          <w:spacing w:val="-12"/>
        </w:rPr>
        <w:t> </w:t>
      </w:r>
      <w:r>
        <w:rPr>
          <w:color w:val="0D0E0E"/>
        </w:rPr>
        <w:t>é</w:t>
      </w:r>
      <w:r>
        <w:rPr>
          <w:color w:val="0D0E0E"/>
          <w:spacing w:val="-8"/>
        </w:rPr>
        <w:t> </w:t>
      </w:r>
      <w:r>
        <w:rPr>
          <w:color w:val="0D0E0E"/>
        </w:rPr>
        <w:t>o</w:t>
      </w:r>
      <w:r>
        <w:rPr>
          <w:color w:val="0D0E0E"/>
          <w:spacing w:val="-11"/>
        </w:rPr>
        <w:t> </w:t>
      </w:r>
      <w:r>
        <w:rPr>
          <w:color w:val="0D0E0E"/>
        </w:rPr>
        <w:t>índice</w:t>
      </w:r>
      <w:r>
        <w:rPr>
          <w:color w:val="0D0E0E"/>
          <w:spacing w:val="-10"/>
        </w:rPr>
        <w:t> </w:t>
      </w:r>
      <w:r>
        <w:rPr>
          <w:color w:val="0D0E0E"/>
        </w:rPr>
        <w:t>PMI.</w:t>
      </w:r>
      <w:r>
        <w:rPr>
          <w:color w:val="0D0E0E"/>
          <w:spacing w:val="-10"/>
        </w:rPr>
        <w:t> </w:t>
      </w:r>
      <w:r>
        <w:rPr>
          <w:color w:val="0D0E0E"/>
        </w:rPr>
        <w:t>Em</w:t>
      </w:r>
      <w:r>
        <w:rPr>
          <w:color w:val="0D0E0E"/>
          <w:spacing w:val="-12"/>
        </w:rPr>
        <w:t> </w:t>
      </w:r>
      <w:r>
        <w:rPr>
          <w:color w:val="0D0E0E"/>
        </w:rPr>
        <w:t>novembro,</w:t>
      </w:r>
      <w:r>
        <w:rPr>
          <w:color w:val="0D0E0E"/>
          <w:spacing w:val="-10"/>
        </w:rPr>
        <w:t> </w:t>
      </w:r>
      <w:r>
        <w:rPr>
          <w:color w:val="0D0E0E"/>
        </w:rPr>
        <w:t>o</w:t>
      </w:r>
      <w:r>
        <w:rPr>
          <w:color w:val="0D0E0E"/>
          <w:spacing w:val="-11"/>
        </w:rPr>
        <w:t> </w:t>
      </w:r>
      <w:r>
        <w:rPr>
          <w:color w:val="0D0E0E"/>
        </w:rPr>
        <w:t>PMI</w:t>
      </w:r>
      <w:r>
        <w:rPr>
          <w:color w:val="0D0E0E"/>
          <w:spacing w:val="-10"/>
        </w:rPr>
        <w:t> </w:t>
      </w:r>
      <w:r>
        <w:rPr>
          <w:color w:val="0D0E0E"/>
        </w:rPr>
        <w:t>Composto</w:t>
      </w:r>
      <w:r>
        <w:rPr>
          <w:color w:val="0D0E0E"/>
          <w:spacing w:val="-11"/>
        </w:rPr>
        <w:t> </w:t>
      </w:r>
      <w:r>
        <w:rPr>
          <w:color w:val="0D0E0E"/>
        </w:rPr>
        <w:t>foi</w:t>
      </w:r>
      <w:r>
        <w:rPr>
          <w:color w:val="0D0E0E"/>
          <w:spacing w:val="-11"/>
        </w:rPr>
        <w:t> </w:t>
      </w:r>
      <w:r>
        <w:rPr>
          <w:color w:val="0D0E0E"/>
        </w:rPr>
        <w:t>de</w:t>
      </w:r>
      <w:r>
        <w:rPr>
          <w:color w:val="0D0E0E"/>
          <w:spacing w:val="-11"/>
        </w:rPr>
        <w:t> </w:t>
      </w:r>
      <w:r>
        <w:rPr>
          <w:color w:val="0D0E0E"/>
        </w:rPr>
        <w:t>47,60</w:t>
      </w:r>
      <w:r>
        <w:rPr>
          <w:color w:val="0D0E0E"/>
          <w:spacing w:val="-12"/>
        </w:rPr>
        <w:t> </w:t>
      </w:r>
      <w:r>
        <w:rPr>
          <w:color w:val="0D0E0E"/>
        </w:rPr>
        <w:t>ante</w:t>
      </w:r>
      <w:r>
        <w:rPr>
          <w:color w:val="0D0E0E"/>
          <w:spacing w:val="-10"/>
        </w:rPr>
        <w:t> </w:t>
      </w:r>
      <w:r>
        <w:rPr>
          <w:color w:val="0D0E0E"/>
        </w:rPr>
        <w:t>46,50</w:t>
      </w:r>
      <w:r>
        <w:rPr>
          <w:color w:val="0D0E0E"/>
          <w:spacing w:val="-12"/>
        </w:rPr>
        <w:t> </w:t>
      </w:r>
      <w:r>
        <w:rPr>
          <w:color w:val="0D0E0E"/>
        </w:rPr>
        <w:t>em</w:t>
      </w:r>
      <w:r>
        <w:rPr>
          <w:color w:val="0D0E0E"/>
          <w:spacing w:val="-9"/>
        </w:rPr>
        <w:t> </w:t>
      </w:r>
      <w:r>
        <w:rPr>
          <w:color w:val="0D0E0E"/>
        </w:rPr>
        <w:t>outubro. O</w:t>
      </w:r>
      <w:r>
        <w:rPr>
          <w:color w:val="0D0E0E"/>
          <w:spacing w:val="-2"/>
        </w:rPr>
        <w:t> </w:t>
      </w:r>
      <w:r>
        <w:rPr>
          <w:color w:val="0D0E0E"/>
        </w:rPr>
        <w:t>resultado</w:t>
      </w:r>
      <w:r>
        <w:rPr>
          <w:color w:val="0D0E0E"/>
          <w:spacing w:val="-1"/>
        </w:rPr>
        <w:t> </w:t>
      </w:r>
      <w:r>
        <w:rPr>
          <w:color w:val="0D0E0E"/>
        </w:rPr>
        <w:t>foi o</w:t>
      </w:r>
      <w:r>
        <w:rPr>
          <w:color w:val="0D0E0E"/>
          <w:spacing w:val="-1"/>
        </w:rPr>
        <w:t> </w:t>
      </w:r>
      <w:r>
        <w:rPr>
          <w:color w:val="0D0E0E"/>
        </w:rPr>
        <w:t>mais</w:t>
      </w:r>
      <w:r>
        <w:rPr>
          <w:color w:val="0D0E0E"/>
          <w:spacing w:val="-1"/>
        </w:rPr>
        <w:t> </w:t>
      </w:r>
      <w:r>
        <w:rPr>
          <w:color w:val="0D0E0E"/>
        </w:rPr>
        <w:t>alto</w:t>
      </w:r>
      <w:r>
        <w:rPr>
          <w:color w:val="0D0E0E"/>
          <w:spacing w:val="-1"/>
        </w:rPr>
        <w:t> </w:t>
      </w:r>
      <w:r>
        <w:rPr>
          <w:color w:val="0D0E0E"/>
        </w:rPr>
        <w:t>desde</w:t>
      </w:r>
      <w:r>
        <w:rPr>
          <w:color w:val="0D0E0E"/>
          <w:spacing w:val="-1"/>
        </w:rPr>
        <w:t> </w:t>
      </w:r>
      <w:r>
        <w:rPr>
          <w:color w:val="0D0E0E"/>
        </w:rPr>
        <w:t>julho,</w:t>
      </w:r>
      <w:r>
        <w:rPr>
          <w:color w:val="0D0E0E"/>
          <w:spacing w:val="-1"/>
        </w:rPr>
        <w:t> </w:t>
      </w:r>
      <w:r>
        <w:rPr>
          <w:color w:val="0D0E0E"/>
        </w:rPr>
        <w:t>porém,</w:t>
      </w:r>
      <w:r>
        <w:rPr>
          <w:color w:val="0D0E0E"/>
          <w:spacing w:val="-1"/>
        </w:rPr>
        <w:t> </w:t>
      </w:r>
      <w:r>
        <w:rPr>
          <w:color w:val="0D0E0E"/>
        </w:rPr>
        <w:t>ainda</w:t>
      </w:r>
      <w:r>
        <w:rPr>
          <w:color w:val="0D0E0E"/>
          <w:spacing w:val="-2"/>
        </w:rPr>
        <w:t> </w:t>
      </w:r>
      <w:r>
        <w:rPr>
          <w:color w:val="0D0E0E"/>
        </w:rPr>
        <w:t>longe</w:t>
      </w:r>
      <w:r>
        <w:rPr>
          <w:color w:val="0D0E0E"/>
          <w:spacing w:val="-1"/>
        </w:rPr>
        <w:t> </w:t>
      </w:r>
      <w:r>
        <w:rPr>
          <w:color w:val="0D0E0E"/>
        </w:rPr>
        <w:t>do</w:t>
      </w:r>
      <w:r>
        <w:rPr>
          <w:color w:val="0D0E0E"/>
          <w:spacing w:val="-1"/>
        </w:rPr>
        <w:t> </w:t>
      </w:r>
      <w:r>
        <w:rPr>
          <w:color w:val="0D0E0E"/>
        </w:rPr>
        <w:t>nível</w:t>
      </w:r>
      <w:r>
        <w:rPr>
          <w:color w:val="0D0E0E"/>
          <w:spacing w:val="-2"/>
        </w:rPr>
        <w:t> </w:t>
      </w:r>
      <w:r>
        <w:rPr>
          <w:color w:val="0D0E0E"/>
        </w:rPr>
        <w:t>estável</w:t>
      </w:r>
      <w:r>
        <w:rPr>
          <w:color w:val="0D0E0E"/>
          <w:spacing w:val="-2"/>
        </w:rPr>
        <w:t> </w:t>
      </w:r>
      <w:r>
        <w:rPr>
          <w:color w:val="0D0E0E"/>
        </w:rPr>
        <w:t>de</w:t>
      </w:r>
      <w:r>
        <w:rPr>
          <w:color w:val="0D0E0E"/>
          <w:spacing w:val="-1"/>
        </w:rPr>
        <w:t> </w:t>
      </w:r>
      <w:r>
        <w:rPr>
          <w:color w:val="0D0E0E"/>
        </w:rPr>
        <w:t>50,</w:t>
      </w:r>
      <w:r>
        <w:rPr>
          <w:color w:val="0D0E0E"/>
          <w:spacing w:val="-1"/>
        </w:rPr>
        <w:t> </w:t>
      </w:r>
      <w:r>
        <w:rPr>
          <w:color w:val="0D0E0E"/>
        </w:rPr>
        <w:t>o que indica uma notória deterioração das condições econômicas no ano.</w:t>
      </w:r>
    </w:p>
    <w:p>
      <w:pPr>
        <w:pStyle w:val="BodyText"/>
        <w:spacing w:before="240"/>
        <w:ind w:left="712" w:right="1073"/>
        <w:jc w:val="center"/>
        <w:rPr>
          <w:rFonts w:ascii="Calibri" w:hAnsi="Calibri"/>
        </w:rPr>
      </w:pPr>
      <w:r>
        <w:rPr>
          <w:rFonts w:ascii="Calibri" w:hAnsi="Calibri"/>
          <w:color w:val="0D0E0E"/>
        </w:rPr>
        <w:t>PMI</w:t>
      </w:r>
      <w:r>
        <w:rPr>
          <w:rFonts w:ascii="Calibri" w:hAnsi="Calibri"/>
          <w:color w:val="0D0E0E"/>
          <w:spacing w:val="-1"/>
        </w:rPr>
        <w:t> </w:t>
      </w:r>
      <w:r>
        <w:rPr>
          <w:rFonts w:ascii="Calibri" w:hAnsi="Calibri"/>
          <w:color w:val="0D0E0E"/>
        </w:rPr>
        <w:t>Composto</w:t>
      </w:r>
      <w:r>
        <w:rPr>
          <w:rFonts w:ascii="Calibri" w:hAnsi="Calibri"/>
          <w:color w:val="0D0E0E"/>
          <w:spacing w:val="-2"/>
        </w:rPr>
        <w:t> </w:t>
      </w:r>
      <w:r>
        <w:rPr>
          <w:rFonts w:ascii="Calibri" w:hAnsi="Calibri"/>
          <w:color w:val="0D0E0E"/>
        </w:rPr>
        <w:t>–</w:t>
      </w:r>
      <w:r>
        <w:rPr>
          <w:rFonts w:ascii="Calibri" w:hAnsi="Calibri"/>
          <w:color w:val="0D0E0E"/>
          <w:spacing w:val="-1"/>
        </w:rPr>
        <w:t> </w:t>
      </w:r>
      <w:r>
        <w:rPr>
          <w:rFonts w:ascii="Calibri" w:hAnsi="Calibri"/>
          <w:color w:val="0D0E0E"/>
        </w:rPr>
        <w:t>Zona</w:t>
      </w:r>
      <w:r>
        <w:rPr>
          <w:rFonts w:ascii="Calibri" w:hAnsi="Calibri"/>
          <w:color w:val="0D0E0E"/>
          <w:spacing w:val="-3"/>
        </w:rPr>
        <w:t> </w:t>
      </w:r>
      <w:r>
        <w:rPr>
          <w:rFonts w:ascii="Calibri" w:hAnsi="Calibri"/>
          <w:color w:val="0D0E0E"/>
        </w:rPr>
        <w:t>do</w:t>
      </w:r>
      <w:r>
        <w:rPr>
          <w:rFonts w:ascii="Calibri" w:hAnsi="Calibri"/>
          <w:color w:val="0D0E0E"/>
          <w:spacing w:val="1"/>
        </w:rPr>
        <w:t> </w:t>
      </w:r>
      <w:r>
        <w:rPr>
          <w:rFonts w:ascii="Calibri" w:hAnsi="Calibri"/>
          <w:color w:val="0D0E0E"/>
          <w:spacing w:val="-4"/>
        </w:rPr>
        <w:t>Euro</w:t>
      </w:r>
    </w:p>
    <w:p>
      <w:pPr>
        <w:pStyle w:val="BodyText"/>
        <w:spacing w:before="7"/>
        <w:rPr>
          <w:rFonts w:ascii="Calibri"/>
          <w:sz w:val="17"/>
        </w:rPr>
      </w:pPr>
      <w:r>
        <w:rPr>
          <w:rFonts w:ascii="Calibri"/>
          <w:sz w:val="17"/>
        </w:rPr>
        <w:drawing>
          <wp:anchor distT="0" distB="0" distL="0" distR="0" allowOverlap="1" layoutInCell="1" locked="0" behindDoc="1" simplePos="0" relativeHeight="487596032">
            <wp:simplePos x="0" y="0"/>
            <wp:positionH relativeFrom="page">
              <wp:posOffset>1082465</wp:posOffset>
            </wp:positionH>
            <wp:positionV relativeFrom="paragraph">
              <wp:posOffset>151868</wp:posOffset>
            </wp:positionV>
            <wp:extent cx="5579280" cy="2751201"/>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4" cstate="print"/>
                    <a:stretch>
                      <a:fillRect/>
                    </a:stretch>
                  </pic:blipFill>
                  <pic:spPr>
                    <a:xfrm>
                      <a:off x="0" y="0"/>
                      <a:ext cx="5579280" cy="2751201"/>
                    </a:xfrm>
                    <a:prstGeom prst="rect">
                      <a:avLst/>
                    </a:prstGeom>
                  </pic:spPr>
                </pic:pic>
              </a:graphicData>
            </a:graphic>
          </wp:anchor>
        </w:drawing>
      </w:r>
    </w:p>
    <w:p>
      <w:pPr>
        <w:spacing w:before="19"/>
        <w:ind w:left="709" w:right="1073" w:firstLine="0"/>
        <w:jc w:val="center"/>
        <w:rPr>
          <w:rFonts w:ascii="Calibri"/>
          <w:i/>
          <w:sz w:val="20"/>
        </w:rPr>
      </w:pPr>
      <w:r>
        <w:rPr>
          <w:rFonts w:ascii="Calibri"/>
          <w:i/>
          <w:color w:val="0D0E0E"/>
          <w:spacing w:val="-2"/>
          <w:sz w:val="20"/>
        </w:rPr>
        <w:t>https://tradingeconomics.com/euro-area/composite-</w:t>
      </w:r>
      <w:r>
        <w:rPr>
          <w:rFonts w:ascii="Calibri"/>
          <w:i/>
          <w:color w:val="0D0E0E"/>
          <w:spacing w:val="-5"/>
          <w:sz w:val="20"/>
        </w:rPr>
        <w:t>pmi</w:t>
      </w:r>
    </w:p>
    <w:p>
      <w:pPr>
        <w:pStyle w:val="BodyText"/>
        <w:spacing w:before="239"/>
        <w:ind w:left="184" w:right="1256" w:firstLine="707"/>
        <w:jc w:val="both"/>
      </w:pPr>
      <w:r>
        <w:rPr>
          <w:color w:val="0D0E0E"/>
        </w:rPr>
        <w:t>O setor industrial permanece sofrendo, com o 17° mês no campo de contração. Apesar</w:t>
      </w:r>
      <w:r>
        <w:rPr>
          <w:color w:val="0D0E0E"/>
          <w:spacing w:val="-6"/>
        </w:rPr>
        <w:t> </w:t>
      </w:r>
      <w:r>
        <w:rPr>
          <w:color w:val="0D0E0E"/>
        </w:rPr>
        <w:t>de</w:t>
      </w:r>
      <w:r>
        <w:rPr>
          <w:color w:val="0D0E0E"/>
          <w:spacing w:val="-7"/>
        </w:rPr>
        <w:t> </w:t>
      </w:r>
      <w:r>
        <w:rPr>
          <w:color w:val="0D0E0E"/>
        </w:rPr>
        <w:t>um</w:t>
      </w:r>
      <w:r>
        <w:rPr>
          <w:color w:val="0D0E0E"/>
          <w:spacing w:val="-6"/>
        </w:rPr>
        <w:t> </w:t>
      </w:r>
      <w:r>
        <w:rPr>
          <w:color w:val="0D0E0E"/>
        </w:rPr>
        <w:t>ligeiro</w:t>
      </w:r>
      <w:r>
        <w:rPr>
          <w:color w:val="0D0E0E"/>
          <w:spacing w:val="-5"/>
        </w:rPr>
        <w:t> </w:t>
      </w:r>
      <w:r>
        <w:rPr>
          <w:color w:val="0D0E0E"/>
        </w:rPr>
        <w:t>aumento,</w:t>
      </w:r>
      <w:r>
        <w:rPr>
          <w:color w:val="0D0E0E"/>
          <w:spacing w:val="-7"/>
        </w:rPr>
        <w:t> </w:t>
      </w:r>
      <w:r>
        <w:rPr>
          <w:color w:val="0D0E0E"/>
        </w:rPr>
        <w:t>de</w:t>
      </w:r>
      <w:r>
        <w:rPr>
          <w:color w:val="0D0E0E"/>
          <w:spacing w:val="-4"/>
        </w:rPr>
        <w:t> </w:t>
      </w:r>
      <w:r>
        <w:rPr>
          <w:color w:val="0D0E0E"/>
        </w:rPr>
        <w:t>43,1</w:t>
      </w:r>
      <w:r>
        <w:rPr>
          <w:color w:val="0D0E0E"/>
          <w:spacing w:val="-6"/>
        </w:rPr>
        <w:t> </w:t>
      </w:r>
      <w:r>
        <w:rPr>
          <w:color w:val="0D0E0E"/>
        </w:rPr>
        <w:t>em</w:t>
      </w:r>
      <w:r>
        <w:rPr>
          <w:color w:val="0D0E0E"/>
          <w:spacing w:val="-5"/>
        </w:rPr>
        <w:t> </w:t>
      </w:r>
      <w:r>
        <w:rPr>
          <w:color w:val="0D0E0E"/>
        </w:rPr>
        <w:t>outubro</w:t>
      </w:r>
      <w:r>
        <w:rPr>
          <w:color w:val="0D0E0E"/>
          <w:spacing w:val="-5"/>
        </w:rPr>
        <w:t> </w:t>
      </w:r>
      <w:r>
        <w:rPr>
          <w:color w:val="0D0E0E"/>
        </w:rPr>
        <w:t>para</w:t>
      </w:r>
      <w:r>
        <w:rPr>
          <w:color w:val="0D0E0E"/>
          <w:spacing w:val="-5"/>
        </w:rPr>
        <w:t> </w:t>
      </w:r>
      <w:r>
        <w:rPr>
          <w:color w:val="0D0E0E"/>
        </w:rPr>
        <w:t>44,2</w:t>
      </w:r>
      <w:r>
        <w:rPr>
          <w:color w:val="0D0E0E"/>
          <w:spacing w:val="-6"/>
        </w:rPr>
        <w:t> </w:t>
      </w:r>
      <w:r>
        <w:rPr>
          <w:color w:val="0D0E0E"/>
        </w:rPr>
        <w:t>em</w:t>
      </w:r>
      <w:r>
        <w:rPr>
          <w:color w:val="0D0E0E"/>
          <w:spacing w:val="-5"/>
        </w:rPr>
        <w:t> </w:t>
      </w:r>
      <w:r>
        <w:rPr>
          <w:color w:val="0D0E0E"/>
        </w:rPr>
        <w:t>novembro,</w:t>
      </w:r>
      <w:r>
        <w:rPr>
          <w:color w:val="0D0E0E"/>
          <w:spacing w:val="-4"/>
        </w:rPr>
        <w:t> </w:t>
      </w:r>
      <w:r>
        <w:rPr>
          <w:color w:val="0D0E0E"/>
        </w:rPr>
        <w:t>o</w:t>
      </w:r>
      <w:r>
        <w:rPr>
          <w:color w:val="0D0E0E"/>
          <w:spacing w:val="-5"/>
        </w:rPr>
        <w:t> </w:t>
      </w:r>
      <w:r>
        <w:rPr>
          <w:color w:val="0D0E0E"/>
        </w:rPr>
        <w:t>indicador está muito distante do campo de expansão.</w:t>
      </w:r>
    </w:p>
    <w:p>
      <w:pPr>
        <w:pStyle w:val="BodyText"/>
      </w:pPr>
    </w:p>
    <w:p>
      <w:pPr>
        <w:pStyle w:val="BodyText"/>
        <w:spacing w:before="199"/>
      </w:pPr>
    </w:p>
    <w:p>
      <w:pPr>
        <w:pStyle w:val="Heading4"/>
        <w:spacing w:before="0"/>
        <w:ind w:left="713"/>
      </w:pPr>
      <w:r>
        <w:rPr>
          <w:color w:val="0D0E0E"/>
        </w:rPr>
        <w:t>PMI</w:t>
      </w:r>
      <w:r>
        <w:rPr>
          <w:color w:val="0D0E0E"/>
          <w:spacing w:val="-3"/>
        </w:rPr>
        <w:t> </w:t>
      </w:r>
      <w:r>
        <w:rPr>
          <w:color w:val="0D0E0E"/>
        </w:rPr>
        <w:t>Manufatura</w:t>
      </w:r>
      <w:r>
        <w:rPr>
          <w:color w:val="0D0E0E"/>
          <w:spacing w:val="1"/>
        </w:rPr>
        <w:t> </w:t>
      </w:r>
      <w:r>
        <w:rPr>
          <w:color w:val="0D0E0E"/>
        </w:rPr>
        <w:t>–</w:t>
      </w:r>
      <w:r>
        <w:rPr>
          <w:color w:val="0D0E0E"/>
          <w:spacing w:val="-3"/>
        </w:rPr>
        <w:t> </w:t>
      </w:r>
      <w:r>
        <w:rPr>
          <w:color w:val="0D0E0E"/>
        </w:rPr>
        <w:t>Zona</w:t>
      </w:r>
      <w:r>
        <w:rPr>
          <w:color w:val="0D0E0E"/>
          <w:spacing w:val="-2"/>
        </w:rPr>
        <w:t> </w:t>
      </w:r>
      <w:r>
        <w:rPr>
          <w:color w:val="0D0E0E"/>
        </w:rPr>
        <w:t>do</w:t>
      </w:r>
      <w:r>
        <w:rPr>
          <w:color w:val="0D0E0E"/>
          <w:spacing w:val="-2"/>
        </w:rPr>
        <w:t> Euro:</w:t>
      </w:r>
    </w:p>
    <w:p>
      <w:pPr>
        <w:pStyle w:val="BodyText"/>
        <w:spacing w:before="7"/>
        <w:rPr>
          <w:b/>
          <w:sz w:val="18"/>
        </w:rPr>
      </w:pPr>
      <w:r>
        <w:rPr>
          <w:b/>
          <w:sz w:val="18"/>
        </w:rPr>
        <w:drawing>
          <wp:anchor distT="0" distB="0" distL="0" distR="0" allowOverlap="1" layoutInCell="1" locked="0" behindDoc="1" simplePos="0" relativeHeight="487596544">
            <wp:simplePos x="0" y="0"/>
            <wp:positionH relativeFrom="page">
              <wp:posOffset>1082465</wp:posOffset>
            </wp:positionH>
            <wp:positionV relativeFrom="paragraph">
              <wp:posOffset>153705</wp:posOffset>
            </wp:positionV>
            <wp:extent cx="5575937" cy="2693193"/>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25" cstate="print"/>
                    <a:stretch>
                      <a:fillRect/>
                    </a:stretch>
                  </pic:blipFill>
                  <pic:spPr>
                    <a:xfrm>
                      <a:off x="0" y="0"/>
                      <a:ext cx="5575937" cy="2693193"/>
                    </a:xfrm>
                    <a:prstGeom prst="rect">
                      <a:avLst/>
                    </a:prstGeom>
                  </pic:spPr>
                </pic:pic>
              </a:graphicData>
            </a:graphic>
          </wp:anchor>
        </w:drawing>
      </w:r>
    </w:p>
    <w:p>
      <w:pPr>
        <w:spacing w:before="21"/>
        <w:ind w:left="713" w:right="1073" w:firstLine="0"/>
        <w:jc w:val="center"/>
        <w:rPr>
          <w:rFonts w:ascii="Calibri"/>
          <w:i/>
          <w:sz w:val="20"/>
        </w:rPr>
      </w:pPr>
      <w:r>
        <w:rPr>
          <w:rFonts w:ascii="Calibri"/>
          <w:i/>
          <w:color w:val="0D0E0E"/>
          <w:spacing w:val="-2"/>
          <w:sz w:val="20"/>
        </w:rPr>
        <w:t>https://tradingeconomics.com/euro-area/manufacturing-</w:t>
      </w:r>
      <w:r>
        <w:rPr>
          <w:rFonts w:ascii="Calibri"/>
          <w:i/>
          <w:color w:val="0D0E0E"/>
          <w:spacing w:val="-5"/>
          <w:sz w:val="20"/>
        </w:rPr>
        <w:t>pmi</w:t>
      </w:r>
    </w:p>
    <w:p>
      <w:pPr>
        <w:pStyle w:val="BodyText"/>
        <w:spacing w:before="239"/>
        <w:ind w:left="184" w:right="1260" w:firstLine="707"/>
        <w:jc w:val="both"/>
      </w:pPr>
      <w:r>
        <w:rPr>
          <w:color w:val="0D0E0E"/>
        </w:rPr>
        <w:t>O</w:t>
      </w:r>
      <w:r>
        <w:rPr>
          <w:color w:val="0D0E0E"/>
          <w:spacing w:val="-8"/>
        </w:rPr>
        <w:t> </w:t>
      </w:r>
      <w:r>
        <w:rPr>
          <w:color w:val="0D0E0E"/>
        </w:rPr>
        <w:t>setor</w:t>
      </w:r>
      <w:r>
        <w:rPr>
          <w:color w:val="0D0E0E"/>
          <w:spacing w:val="-8"/>
        </w:rPr>
        <w:t> </w:t>
      </w:r>
      <w:r>
        <w:rPr>
          <w:color w:val="0D0E0E"/>
        </w:rPr>
        <w:t>de</w:t>
      </w:r>
      <w:r>
        <w:rPr>
          <w:color w:val="0D0E0E"/>
          <w:spacing w:val="-7"/>
        </w:rPr>
        <w:t> </w:t>
      </w:r>
      <w:r>
        <w:rPr>
          <w:color w:val="0D0E0E"/>
        </w:rPr>
        <w:t>serviços</w:t>
      </w:r>
      <w:r>
        <w:rPr>
          <w:color w:val="0D0E0E"/>
          <w:spacing w:val="-7"/>
        </w:rPr>
        <w:t> </w:t>
      </w:r>
      <w:r>
        <w:rPr>
          <w:color w:val="0D0E0E"/>
        </w:rPr>
        <w:t>é</w:t>
      </w:r>
      <w:r>
        <w:rPr>
          <w:color w:val="0D0E0E"/>
          <w:spacing w:val="-7"/>
        </w:rPr>
        <w:t> </w:t>
      </w:r>
      <w:r>
        <w:rPr>
          <w:color w:val="0D0E0E"/>
        </w:rPr>
        <w:t>o</w:t>
      </w:r>
      <w:r>
        <w:rPr>
          <w:color w:val="0D0E0E"/>
          <w:spacing w:val="-8"/>
        </w:rPr>
        <w:t> </w:t>
      </w:r>
      <w:r>
        <w:rPr>
          <w:color w:val="0D0E0E"/>
        </w:rPr>
        <w:t>mais</w:t>
      </w:r>
      <w:r>
        <w:rPr>
          <w:color w:val="0D0E0E"/>
          <w:spacing w:val="-7"/>
        </w:rPr>
        <w:t> </w:t>
      </w:r>
      <w:r>
        <w:rPr>
          <w:color w:val="0D0E0E"/>
        </w:rPr>
        <w:t>animador,</w:t>
      </w:r>
      <w:r>
        <w:rPr>
          <w:color w:val="0D0E0E"/>
          <w:spacing w:val="-6"/>
        </w:rPr>
        <w:t> </w:t>
      </w:r>
      <w:r>
        <w:rPr>
          <w:color w:val="0D0E0E"/>
        </w:rPr>
        <w:t>apresentando</w:t>
      </w:r>
      <w:r>
        <w:rPr>
          <w:color w:val="0D0E0E"/>
          <w:spacing w:val="-8"/>
        </w:rPr>
        <w:t> </w:t>
      </w:r>
      <w:r>
        <w:rPr>
          <w:color w:val="0D0E0E"/>
        </w:rPr>
        <w:t>uma</w:t>
      </w:r>
      <w:r>
        <w:rPr>
          <w:color w:val="0D0E0E"/>
          <w:spacing w:val="-7"/>
        </w:rPr>
        <w:t> </w:t>
      </w:r>
      <w:r>
        <w:rPr>
          <w:color w:val="0D0E0E"/>
        </w:rPr>
        <w:t>alta</w:t>
      </w:r>
      <w:r>
        <w:rPr>
          <w:color w:val="0D0E0E"/>
          <w:spacing w:val="-7"/>
        </w:rPr>
        <w:t> </w:t>
      </w:r>
      <w:r>
        <w:rPr>
          <w:color w:val="0D0E0E"/>
        </w:rPr>
        <w:t>em</w:t>
      </w:r>
      <w:r>
        <w:rPr>
          <w:color w:val="0D0E0E"/>
          <w:spacing w:val="-7"/>
        </w:rPr>
        <w:t> </w:t>
      </w:r>
      <w:r>
        <w:rPr>
          <w:color w:val="0D0E0E"/>
        </w:rPr>
        <w:t>relação</w:t>
      </w:r>
      <w:r>
        <w:rPr>
          <w:color w:val="0D0E0E"/>
          <w:spacing w:val="-7"/>
        </w:rPr>
        <w:t> </w:t>
      </w:r>
      <w:r>
        <w:rPr>
          <w:color w:val="0D0E0E"/>
        </w:rPr>
        <w:t>ao</w:t>
      </w:r>
      <w:r>
        <w:rPr>
          <w:color w:val="0D0E0E"/>
          <w:spacing w:val="-7"/>
        </w:rPr>
        <w:t> </w:t>
      </w:r>
      <w:r>
        <w:rPr>
          <w:color w:val="0D0E0E"/>
        </w:rPr>
        <w:t>mês anterior,</w:t>
      </w:r>
      <w:r>
        <w:rPr>
          <w:color w:val="0D0E0E"/>
          <w:spacing w:val="-2"/>
        </w:rPr>
        <w:t> </w:t>
      </w:r>
      <w:r>
        <w:rPr>
          <w:color w:val="0D0E0E"/>
        </w:rPr>
        <w:t>47,8</w:t>
      </w:r>
      <w:r>
        <w:rPr>
          <w:color w:val="0D0E0E"/>
          <w:spacing w:val="-3"/>
        </w:rPr>
        <w:t> </w:t>
      </w:r>
      <w:r>
        <w:rPr>
          <w:color w:val="0D0E0E"/>
        </w:rPr>
        <w:t>em</w:t>
      </w:r>
      <w:r>
        <w:rPr>
          <w:color w:val="0D0E0E"/>
          <w:spacing w:val="-3"/>
        </w:rPr>
        <w:t> </w:t>
      </w:r>
      <w:r>
        <w:rPr>
          <w:color w:val="0D0E0E"/>
        </w:rPr>
        <w:t>outubro</w:t>
      </w:r>
      <w:r>
        <w:rPr>
          <w:color w:val="0D0E0E"/>
          <w:spacing w:val="-2"/>
        </w:rPr>
        <w:t> </w:t>
      </w:r>
      <w:r>
        <w:rPr>
          <w:color w:val="0D0E0E"/>
        </w:rPr>
        <w:t>contra</w:t>
      </w:r>
      <w:r>
        <w:rPr>
          <w:color w:val="0D0E0E"/>
          <w:spacing w:val="-3"/>
        </w:rPr>
        <w:t> </w:t>
      </w:r>
      <w:r>
        <w:rPr>
          <w:color w:val="0D0E0E"/>
        </w:rPr>
        <w:t>48,7</w:t>
      </w:r>
      <w:r>
        <w:rPr>
          <w:color w:val="0D0E0E"/>
          <w:spacing w:val="-3"/>
        </w:rPr>
        <w:t> </w:t>
      </w:r>
      <w:r>
        <w:rPr>
          <w:color w:val="0D0E0E"/>
        </w:rPr>
        <w:t>em</w:t>
      </w:r>
      <w:r>
        <w:rPr>
          <w:color w:val="0D0E0E"/>
          <w:spacing w:val="-3"/>
        </w:rPr>
        <w:t> </w:t>
      </w:r>
      <w:r>
        <w:rPr>
          <w:color w:val="0D0E0E"/>
        </w:rPr>
        <w:t>novembro,</w:t>
      </w:r>
      <w:r>
        <w:rPr>
          <w:color w:val="0D0E0E"/>
          <w:spacing w:val="-2"/>
        </w:rPr>
        <w:t> </w:t>
      </w:r>
      <w:r>
        <w:rPr>
          <w:color w:val="0D0E0E"/>
        </w:rPr>
        <w:t>acima</w:t>
      </w:r>
      <w:r>
        <w:rPr>
          <w:color w:val="0D0E0E"/>
          <w:spacing w:val="-2"/>
        </w:rPr>
        <w:t> </w:t>
      </w:r>
      <w:r>
        <w:rPr>
          <w:color w:val="0D0E0E"/>
        </w:rPr>
        <w:t>da</w:t>
      </w:r>
      <w:r>
        <w:rPr>
          <w:color w:val="0D0E0E"/>
          <w:spacing w:val="-3"/>
        </w:rPr>
        <w:t> </w:t>
      </w:r>
      <w:r>
        <w:rPr>
          <w:color w:val="0D0E0E"/>
        </w:rPr>
        <w:t>expectativa</w:t>
      </w:r>
      <w:r>
        <w:rPr>
          <w:color w:val="0D0E0E"/>
          <w:spacing w:val="-3"/>
        </w:rPr>
        <w:t> </w:t>
      </w:r>
      <w:r>
        <w:rPr>
          <w:color w:val="0D0E0E"/>
        </w:rPr>
        <w:t>do</w:t>
      </w:r>
      <w:r>
        <w:rPr>
          <w:color w:val="0D0E0E"/>
          <w:spacing w:val="-2"/>
        </w:rPr>
        <w:t> </w:t>
      </w:r>
      <w:r>
        <w:rPr>
          <w:color w:val="0D0E0E"/>
        </w:rPr>
        <w:t>mercado.</w:t>
      </w:r>
    </w:p>
    <w:p>
      <w:pPr>
        <w:pStyle w:val="BodyText"/>
        <w:spacing w:after="0"/>
        <w:jc w:val="both"/>
        <w:sectPr>
          <w:pgSz w:w="11920" w:h="16850"/>
          <w:pgMar w:top="1280" w:bottom="280" w:left="1417" w:right="141"/>
        </w:sectPr>
      </w:pPr>
    </w:p>
    <w:p>
      <w:pPr>
        <w:pStyle w:val="Heading4"/>
        <w:ind w:left="709"/>
      </w:pPr>
      <w:r>
        <w:rPr>
          <w:color w:val="0D0E0E"/>
        </w:rPr>
        <w:t>PMI</w:t>
      </w:r>
      <w:r>
        <w:rPr>
          <w:color w:val="0D0E0E"/>
          <w:spacing w:val="-2"/>
        </w:rPr>
        <w:t> </w:t>
      </w:r>
      <w:r>
        <w:rPr>
          <w:color w:val="0D0E0E"/>
        </w:rPr>
        <w:t>Serviços</w:t>
      </w:r>
      <w:r>
        <w:rPr>
          <w:color w:val="0D0E0E"/>
          <w:spacing w:val="-1"/>
        </w:rPr>
        <w:t> </w:t>
      </w:r>
      <w:r>
        <w:rPr>
          <w:color w:val="0D0E0E"/>
        </w:rPr>
        <w:t>–</w:t>
      </w:r>
      <w:r>
        <w:rPr>
          <w:color w:val="0D0E0E"/>
          <w:spacing w:val="-3"/>
        </w:rPr>
        <w:t> </w:t>
      </w:r>
      <w:r>
        <w:rPr>
          <w:color w:val="0D0E0E"/>
        </w:rPr>
        <w:t>Zona</w:t>
      </w:r>
      <w:r>
        <w:rPr>
          <w:color w:val="0D0E0E"/>
          <w:spacing w:val="-2"/>
        </w:rPr>
        <w:t> </w:t>
      </w:r>
      <w:r>
        <w:rPr>
          <w:color w:val="0D0E0E"/>
        </w:rPr>
        <w:t>do</w:t>
      </w:r>
      <w:r>
        <w:rPr>
          <w:color w:val="0D0E0E"/>
          <w:spacing w:val="-1"/>
        </w:rPr>
        <w:t> </w:t>
      </w:r>
      <w:r>
        <w:rPr>
          <w:color w:val="0D0E0E"/>
          <w:spacing w:val="-4"/>
        </w:rPr>
        <w:t>Euro</w:t>
      </w:r>
    </w:p>
    <w:p>
      <w:pPr>
        <w:pStyle w:val="BodyText"/>
        <w:spacing w:before="4"/>
        <w:rPr>
          <w:b/>
          <w:sz w:val="18"/>
        </w:rPr>
      </w:pPr>
      <w:r>
        <w:rPr>
          <w:b/>
          <w:sz w:val="18"/>
        </w:rPr>
        <w:drawing>
          <wp:anchor distT="0" distB="0" distL="0" distR="0" allowOverlap="1" layoutInCell="1" locked="0" behindDoc="1" simplePos="0" relativeHeight="487597056">
            <wp:simplePos x="0" y="0"/>
            <wp:positionH relativeFrom="page">
              <wp:posOffset>1215395</wp:posOffset>
            </wp:positionH>
            <wp:positionV relativeFrom="paragraph">
              <wp:posOffset>151912</wp:posOffset>
            </wp:positionV>
            <wp:extent cx="5438361" cy="2784348"/>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26" cstate="print"/>
                    <a:stretch>
                      <a:fillRect/>
                    </a:stretch>
                  </pic:blipFill>
                  <pic:spPr>
                    <a:xfrm>
                      <a:off x="0" y="0"/>
                      <a:ext cx="5438361" cy="2784348"/>
                    </a:xfrm>
                    <a:prstGeom prst="rect">
                      <a:avLst/>
                    </a:prstGeom>
                  </pic:spPr>
                </pic:pic>
              </a:graphicData>
            </a:graphic>
          </wp:anchor>
        </w:drawing>
      </w:r>
    </w:p>
    <w:p>
      <w:pPr>
        <w:spacing w:before="26"/>
        <w:ind w:left="757" w:right="1073" w:firstLine="0"/>
        <w:jc w:val="center"/>
        <w:rPr>
          <w:rFonts w:ascii="Calibri"/>
          <w:i/>
          <w:sz w:val="20"/>
        </w:rPr>
      </w:pPr>
      <w:r>
        <w:rPr>
          <w:rFonts w:ascii="Calibri"/>
          <w:i/>
          <w:color w:val="0D0E0E"/>
          <w:spacing w:val="-2"/>
          <w:sz w:val="20"/>
        </w:rPr>
        <w:t>https://tradingeconomics.com/euro-area/services-</w:t>
      </w:r>
      <w:r>
        <w:rPr>
          <w:rFonts w:ascii="Calibri"/>
          <w:i/>
          <w:color w:val="0D0E0E"/>
          <w:spacing w:val="-5"/>
          <w:sz w:val="20"/>
        </w:rPr>
        <w:t>pmi</w:t>
      </w:r>
    </w:p>
    <w:p>
      <w:pPr>
        <w:spacing w:after="0"/>
        <w:jc w:val="center"/>
        <w:rPr>
          <w:rFonts w:ascii="Calibri"/>
          <w:i/>
          <w:sz w:val="20"/>
        </w:rPr>
        <w:sectPr>
          <w:pgSz w:w="11920" w:h="16850"/>
          <w:pgMar w:top="1280" w:bottom="280" w:left="1417" w:right="141"/>
        </w:sectPr>
      </w:pPr>
    </w:p>
    <w:p>
      <w:pPr>
        <w:pStyle w:val="Heading1"/>
      </w:pPr>
      <w:r>
        <w:rPr>
          <w:color w:val="0D0E0E"/>
          <w:spacing w:val="-4"/>
        </w:rPr>
        <w:t>ÁSIA</w:t>
      </w:r>
    </w:p>
    <w:p>
      <w:pPr>
        <w:pStyle w:val="Heading3"/>
        <w:spacing w:before="240"/>
      </w:pPr>
      <w:r>
        <w:rPr>
          <w:color w:val="FF0000"/>
          <w:spacing w:val="-2"/>
        </w:rPr>
        <w:t>Inflação</w:t>
      </w:r>
    </w:p>
    <w:p>
      <w:pPr>
        <w:pStyle w:val="BodyText"/>
        <w:spacing w:before="239"/>
        <w:ind w:left="184" w:right="1258" w:firstLine="707"/>
        <w:jc w:val="both"/>
      </w:pPr>
      <w:r>
        <w:rPr>
          <w:color w:val="0D0E0E"/>
        </w:rPr>
        <w:t>A China parece ter a inflação controlada, com segundo mês consecutivo apresentação deflação no CPI e o sexto não apresentação inflação. O CPI apresentou queda 0,5% no mês de novembro, ante queda de 0,2% em outubro.</w:t>
      </w:r>
    </w:p>
    <w:p>
      <w:pPr>
        <w:pStyle w:val="Heading4"/>
        <w:spacing w:before="241"/>
      </w:pPr>
      <w:r>
        <w:rPr>
          <w:color w:val="0D0E0E"/>
        </w:rPr>
        <w:t>CPI</w:t>
      </w:r>
      <w:r>
        <w:rPr>
          <w:color w:val="0D0E0E"/>
          <w:spacing w:val="-1"/>
        </w:rPr>
        <w:t> </w:t>
      </w:r>
      <w:r>
        <w:rPr>
          <w:color w:val="0D0E0E"/>
        </w:rPr>
        <w:t>–</w:t>
      </w:r>
      <w:r>
        <w:rPr>
          <w:color w:val="0D0E0E"/>
          <w:spacing w:val="-2"/>
        </w:rPr>
        <w:t> China</w:t>
      </w:r>
    </w:p>
    <w:p>
      <w:pPr>
        <w:pStyle w:val="BodyText"/>
        <w:spacing w:before="6"/>
        <w:rPr>
          <w:b/>
          <w:sz w:val="4"/>
        </w:rPr>
      </w:pPr>
      <w:r>
        <w:rPr>
          <w:b/>
          <w:sz w:val="4"/>
        </w:rPr>
        <w:drawing>
          <wp:anchor distT="0" distB="0" distL="0" distR="0" allowOverlap="1" layoutInCell="1" locked="0" behindDoc="1" simplePos="0" relativeHeight="487597568">
            <wp:simplePos x="0" y="0"/>
            <wp:positionH relativeFrom="page">
              <wp:posOffset>1132314</wp:posOffset>
            </wp:positionH>
            <wp:positionV relativeFrom="paragraph">
              <wp:posOffset>49372</wp:posOffset>
            </wp:positionV>
            <wp:extent cx="5527972" cy="2626899"/>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27" cstate="print"/>
                    <a:stretch>
                      <a:fillRect/>
                    </a:stretch>
                  </pic:blipFill>
                  <pic:spPr>
                    <a:xfrm>
                      <a:off x="0" y="0"/>
                      <a:ext cx="5527972" cy="2626899"/>
                    </a:xfrm>
                    <a:prstGeom prst="rect">
                      <a:avLst/>
                    </a:prstGeom>
                  </pic:spPr>
                </pic:pic>
              </a:graphicData>
            </a:graphic>
          </wp:anchor>
        </w:drawing>
      </w:r>
    </w:p>
    <w:p>
      <w:pPr>
        <w:spacing w:before="14"/>
        <w:ind w:left="712" w:right="1073" w:firstLine="0"/>
        <w:jc w:val="center"/>
        <w:rPr>
          <w:rFonts w:ascii="Calibri"/>
          <w:i/>
          <w:sz w:val="20"/>
        </w:rPr>
      </w:pPr>
      <w:r>
        <w:rPr>
          <w:rFonts w:ascii="Calibri"/>
          <w:i/>
          <w:color w:val="0D0E0E"/>
          <w:spacing w:val="-2"/>
          <w:sz w:val="20"/>
        </w:rPr>
        <w:t>https://tradingeconomics.com/china/inflation-</w:t>
      </w:r>
      <w:r>
        <w:rPr>
          <w:rFonts w:ascii="Calibri"/>
          <w:i/>
          <w:color w:val="0D0E0E"/>
          <w:spacing w:val="-5"/>
          <w:sz w:val="20"/>
        </w:rPr>
        <w:t>cpi</w:t>
      </w:r>
    </w:p>
    <w:p>
      <w:pPr>
        <w:pStyle w:val="BodyText"/>
        <w:spacing w:before="237"/>
        <w:ind w:left="184" w:right="1259" w:firstLine="707"/>
        <w:jc w:val="both"/>
      </w:pPr>
      <w:r>
        <w:rPr>
          <w:color w:val="0D0E0E"/>
        </w:rPr>
        <w:t>Mais importante que o CPI em si, é o núcleo do mesmo, que por sua vez não apresentou variação acima de 1% em nenhum dos meses de 2023.</w:t>
      </w:r>
    </w:p>
    <w:p>
      <w:pPr>
        <w:pStyle w:val="Heading4"/>
        <w:spacing w:before="241"/>
        <w:ind w:left="708"/>
      </w:pPr>
      <w:r>
        <w:rPr>
          <w:color w:val="0D0E0E"/>
        </w:rPr>
        <w:t>Núcleo</w:t>
      </w:r>
      <w:r>
        <w:rPr>
          <w:color w:val="0D0E0E"/>
          <w:spacing w:val="-5"/>
        </w:rPr>
        <w:t> </w:t>
      </w:r>
      <w:r>
        <w:rPr>
          <w:color w:val="0D0E0E"/>
        </w:rPr>
        <w:t>CPI</w:t>
      </w:r>
      <w:r>
        <w:rPr>
          <w:color w:val="0D0E0E"/>
          <w:spacing w:val="-2"/>
        </w:rPr>
        <w:t> </w:t>
      </w:r>
      <w:r>
        <w:rPr>
          <w:color w:val="0D0E0E"/>
        </w:rPr>
        <w:t>–</w:t>
      </w:r>
      <w:r>
        <w:rPr>
          <w:color w:val="0D0E0E"/>
          <w:spacing w:val="-2"/>
        </w:rPr>
        <w:t> </w:t>
      </w:r>
      <w:r>
        <w:rPr>
          <w:color w:val="0D0E0E"/>
          <w:spacing w:val="-4"/>
        </w:rPr>
        <w:t>China</w:t>
      </w:r>
    </w:p>
    <w:p>
      <w:pPr>
        <w:pStyle w:val="BodyText"/>
        <w:spacing w:before="3"/>
        <w:rPr>
          <w:b/>
          <w:sz w:val="18"/>
        </w:rPr>
      </w:pPr>
      <w:r>
        <w:rPr>
          <w:b/>
          <w:sz w:val="18"/>
        </w:rPr>
        <w:drawing>
          <wp:anchor distT="0" distB="0" distL="0" distR="0" allowOverlap="1" layoutInCell="1" locked="0" behindDoc="1" simplePos="0" relativeHeight="487598080">
            <wp:simplePos x="0" y="0"/>
            <wp:positionH relativeFrom="page">
              <wp:posOffset>1148930</wp:posOffset>
            </wp:positionH>
            <wp:positionV relativeFrom="paragraph">
              <wp:posOffset>151325</wp:posOffset>
            </wp:positionV>
            <wp:extent cx="5509987" cy="2718054"/>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28" cstate="print"/>
                    <a:stretch>
                      <a:fillRect/>
                    </a:stretch>
                  </pic:blipFill>
                  <pic:spPr>
                    <a:xfrm>
                      <a:off x="0" y="0"/>
                      <a:ext cx="5509987" cy="2718054"/>
                    </a:xfrm>
                    <a:prstGeom prst="rect">
                      <a:avLst/>
                    </a:prstGeom>
                  </pic:spPr>
                </pic:pic>
              </a:graphicData>
            </a:graphic>
          </wp:anchor>
        </w:drawing>
      </w:r>
    </w:p>
    <w:p>
      <w:pPr>
        <w:spacing w:before="14"/>
        <w:ind w:left="708" w:right="1073" w:firstLine="0"/>
        <w:jc w:val="center"/>
        <w:rPr>
          <w:rFonts w:ascii="Calibri"/>
          <w:i/>
          <w:sz w:val="20"/>
        </w:rPr>
      </w:pPr>
      <w:r>
        <w:rPr>
          <w:rFonts w:ascii="Calibri"/>
          <w:i/>
          <w:color w:val="0D0E0E"/>
          <w:spacing w:val="-2"/>
          <w:sz w:val="20"/>
        </w:rPr>
        <w:t>https://tradingeconomics.com/china/core-inflation-</w:t>
      </w:r>
      <w:r>
        <w:rPr>
          <w:rFonts w:ascii="Calibri"/>
          <w:i/>
          <w:color w:val="0D0E0E"/>
          <w:spacing w:val="-4"/>
          <w:sz w:val="20"/>
        </w:rPr>
        <w:t>rate</w:t>
      </w:r>
    </w:p>
    <w:p>
      <w:pPr>
        <w:spacing w:after="0"/>
        <w:jc w:val="center"/>
        <w:rPr>
          <w:rFonts w:ascii="Calibri"/>
          <w:i/>
          <w:sz w:val="20"/>
        </w:rPr>
        <w:sectPr>
          <w:pgSz w:w="11920" w:h="16850"/>
          <w:pgMar w:top="1340" w:bottom="280" w:left="1417" w:right="141"/>
        </w:sectPr>
      </w:pPr>
    </w:p>
    <w:p>
      <w:pPr>
        <w:pStyle w:val="Heading3"/>
        <w:spacing w:before="19"/>
      </w:pPr>
      <w:r>
        <w:rPr>
          <w:color w:val="FF0000"/>
          <w:spacing w:val="-2"/>
        </w:rPr>
        <w:t>Juros</w:t>
      </w:r>
    </w:p>
    <w:p>
      <w:pPr>
        <w:pStyle w:val="BodyText"/>
        <w:spacing w:line="281" w:lineRule="exact" w:before="240"/>
        <w:ind w:left="892"/>
      </w:pPr>
      <w:r>
        <w:rPr>
          <w:color w:val="0D0E0E"/>
        </w:rPr>
        <w:t>Com</w:t>
      </w:r>
      <w:r>
        <w:rPr>
          <w:color w:val="0D0E0E"/>
          <w:spacing w:val="-6"/>
        </w:rPr>
        <w:t> </w:t>
      </w:r>
      <w:r>
        <w:rPr>
          <w:color w:val="0D0E0E"/>
        </w:rPr>
        <w:t>a</w:t>
      </w:r>
      <w:r>
        <w:rPr>
          <w:color w:val="0D0E0E"/>
          <w:spacing w:val="-4"/>
        </w:rPr>
        <w:t> </w:t>
      </w:r>
      <w:r>
        <w:rPr>
          <w:color w:val="0D0E0E"/>
        </w:rPr>
        <w:t>inflação</w:t>
      </w:r>
      <w:r>
        <w:rPr>
          <w:color w:val="0D0E0E"/>
          <w:spacing w:val="-1"/>
        </w:rPr>
        <w:t> </w:t>
      </w:r>
      <w:r>
        <w:rPr>
          <w:color w:val="0D0E0E"/>
        </w:rPr>
        <w:t>controlada,</w:t>
      </w:r>
      <w:r>
        <w:rPr>
          <w:color w:val="0D0E0E"/>
          <w:spacing w:val="-3"/>
        </w:rPr>
        <w:t> </w:t>
      </w:r>
      <w:r>
        <w:rPr>
          <w:color w:val="0D0E0E"/>
        </w:rPr>
        <w:t>o</w:t>
      </w:r>
      <w:r>
        <w:rPr>
          <w:color w:val="0D0E0E"/>
          <w:spacing w:val="-4"/>
        </w:rPr>
        <w:t> </w:t>
      </w:r>
      <w:r>
        <w:rPr>
          <w:color w:val="0D0E0E"/>
        </w:rPr>
        <w:t>Banco</w:t>
      </w:r>
      <w:r>
        <w:rPr>
          <w:color w:val="0D0E0E"/>
          <w:spacing w:val="-4"/>
        </w:rPr>
        <w:t> </w:t>
      </w:r>
      <w:r>
        <w:rPr>
          <w:color w:val="0D0E0E"/>
        </w:rPr>
        <w:t>Popular</w:t>
      </w:r>
      <w:r>
        <w:rPr>
          <w:color w:val="0D0E0E"/>
          <w:spacing w:val="-6"/>
        </w:rPr>
        <w:t> </w:t>
      </w:r>
      <w:r>
        <w:rPr>
          <w:color w:val="0D0E0E"/>
        </w:rPr>
        <w:t>da</w:t>
      </w:r>
      <w:r>
        <w:rPr>
          <w:color w:val="0D0E0E"/>
          <w:spacing w:val="-2"/>
        </w:rPr>
        <w:t> </w:t>
      </w:r>
      <w:r>
        <w:rPr>
          <w:color w:val="0D0E0E"/>
        </w:rPr>
        <w:t>China</w:t>
      </w:r>
      <w:r>
        <w:rPr>
          <w:color w:val="0D0E0E"/>
          <w:spacing w:val="-4"/>
        </w:rPr>
        <w:t> </w:t>
      </w:r>
      <w:r>
        <w:rPr>
          <w:color w:val="0D0E0E"/>
        </w:rPr>
        <w:t>(PBoC)</w:t>
      </w:r>
      <w:r>
        <w:rPr>
          <w:color w:val="0D0E0E"/>
          <w:spacing w:val="-2"/>
        </w:rPr>
        <w:t> </w:t>
      </w:r>
      <w:r>
        <w:rPr>
          <w:color w:val="0D0E0E"/>
        </w:rPr>
        <w:t>mantém</w:t>
      </w:r>
      <w:r>
        <w:rPr>
          <w:color w:val="0D0E0E"/>
          <w:spacing w:val="-4"/>
        </w:rPr>
        <w:t> </w:t>
      </w:r>
      <w:r>
        <w:rPr>
          <w:color w:val="0D0E0E"/>
        </w:rPr>
        <w:t>as</w:t>
      </w:r>
      <w:r>
        <w:rPr>
          <w:color w:val="0D0E0E"/>
          <w:spacing w:val="-4"/>
        </w:rPr>
        <w:t> </w:t>
      </w:r>
      <w:r>
        <w:rPr>
          <w:color w:val="0D0E0E"/>
        </w:rPr>
        <w:t>taxas</w:t>
      </w:r>
      <w:r>
        <w:rPr>
          <w:color w:val="0D0E0E"/>
          <w:spacing w:val="-3"/>
        </w:rPr>
        <w:t> </w:t>
      </w:r>
      <w:r>
        <w:rPr>
          <w:color w:val="0D0E0E"/>
          <w:spacing w:val="-5"/>
        </w:rPr>
        <w:t>de</w:t>
      </w:r>
    </w:p>
    <w:p>
      <w:pPr>
        <w:pStyle w:val="BodyText"/>
        <w:ind w:left="184"/>
      </w:pPr>
      <w:r>
        <w:rPr>
          <w:color w:val="0D0E0E"/>
        </w:rPr>
        <w:t>juros</w:t>
      </w:r>
      <w:r>
        <w:rPr>
          <w:color w:val="0D0E0E"/>
          <w:spacing w:val="-2"/>
        </w:rPr>
        <w:t> </w:t>
      </w:r>
      <w:r>
        <w:rPr>
          <w:color w:val="0D0E0E"/>
        </w:rPr>
        <w:t>inalteradas</w:t>
      </w:r>
      <w:r>
        <w:rPr>
          <w:color w:val="0D0E0E"/>
          <w:spacing w:val="-2"/>
        </w:rPr>
        <w:t> </w:t>
      </w:r>
      <w:r>
        <w:rPr>
          <w:color w:val="0D0E0E"/>
        </w:rPr>
        <w:t>desde</w:t>
      </w:r>
      <w:r>
        <w:rPr>
          <w:color w:val="0D0E0E"/>
          <w:spacing w:val="-3"/>
        </w:rPr>
        <w:t> </w:t>
      </w:r>
      <w:r>
        <w:rPr>
          <w:color w:val="0D0E0E"/>
        </w:rPr>
        <w:t>agosto</w:t>
      </w:r>
      <w:r>
        <w:rPr>
          <w:color w:val="0D0E0E"/>
          <w:spacing w:val="-1"/>
        </w:rPr>
        <w:t> </w:t>
      </w:r>
      <w:r>
        <w:rPr>
          <w:color w:val="0D0E0E"/>
        </w:rPr>
        <w:t>deste</w:t>
      </w:r>
      <w:r>
        <w:rPr>
          <w:color w:val="0D0E0E"/>
          <w:spacing w:val="-1"/>
        </w:rPr>
        <w:t> </w:t>
      </w:r>
      <w:r>
        <w:rPr>
          <w:color w:val="0D0E0E"/>
          <w:spacing w:val="-4"/>
        </w:rPr>
        <w:t>ano.</w:t>
      </w:r>
    </w:p>
    <w:p>
      <w:pPr>
        <w:pStyle w:val="Heading4"/>
        <w:spacing w:before="240"/>
        <w:ind w:left="708"/>
      </w:pPr>
      <w:r>
        <w:rPr>
          <w:color w:val="0D0E0E"/>
        </w:rPr>
        <w:t>Taxa</w:t>
      </w:r>
      <w:r>
        <w:rPr>
          <w:color w:val="0D0E0E"/>
          <w:spacing w:val="-3"/>
        </w:rPr>
        <w:t> </w:t>
      </w:r>
      <w:r>
        <w:rPr>
          <w:color w:val="0D0E0E"/>
        </w:rPr>
        <w:t>de Juros</w:t>
      </w:r>
      <w:r>
        <w:rPr>
          <w:color w:val="0D0E0E"/>
          <w:spacing w:val="-2"/>
        </w:rPr>
        <w:t> </w:t>
      </w:r>
      <w:r>
        <w:rPr>
          <w:color w:val="0D0E0E"/>
        </w:rPr>
        <w:t>(1</w:t>
      </w:r>
      <w:r>
        <w:rPr>
          <w:color w:val="0D0E0E"/>
          <w:spacing w:val="-1"/>
        </w:rPr>
        <w:t> </w:t>
      </w:r>
      <w:r>
        <w:rPr>
          <w:color w:val="0D0E0E"/>
        </w:rPr>
        <w:t>ano)</w:t>
      </w:r>
      <w:r>
        <w:rPr>
          <w:color w:val="0D0E0E"/>
          <w:spacing w:val="-2"/>
        </w:rPr>
        <w:t> </w:t>
      </w:r>
      <w:r>
        <w:rPr>
          <w:color w:val="0D0E0E"/>
        </w:rPr>
        <w:t>–</w:t>
      </w:r>
      <w:r>
        <w:rPr>
          <w:color w:val="0D0E0E"/>
          <w:spacing w:val="-1"/>
        </w:rPr>
        <w:t> </w:t>
      </w:r>
      <w:r>
        <w:rPr>
          <w:color w:val="0D0E0E"/>
          <w:spacing w:val="-4"/>
        </w:rPr>
        <w:t>China</w:t>
      </w:r>
    </w:p>
    <w:p>
      <w:pPr>
        <w:pStyle w:val="BodyText"/>
        <w:spacing w:before="5"/>
        <w:rPr>
          <w:b/>
          <w:sz w:val="18"/>
        </w:rPr>
      </w:pPr>
      <w:r>
        <w:rPr>
          <w:b/>
          <w:sz w:val="18"/>
        </w:rPr>
        <w:drawing>
          <wp:anchor distT="0" distB="0" distL="0" distR="0" allowOverlap="1" layoutInCell="1" locked="0" behindDoc="1" simplePos="0" relativeHeight="487598592">
            <wp:simplePos x="0" y="0"/>
            <wp:positionH relativeFrom="page">
              <wp:posOffset>1148930</wp:posOffset>
            </wp:positionH>
            <wp:positionV relativeFrom="paragraph">
              <wp:posOffset>152833</wp:posOffset>
            </wp:positionV>
            <wp:extent cx="5516153" cy="2577179"/>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29" cstate="print"/>
                    <a:stretch>
                      <a:fillRect/>
                    </a:stretch>
                  </pic:blipFill>
                  <pic:spPr>
                    <a:xfrm>
                      <a:off x="0" y="0"/>
                      <a:ext cx="5516153" cy="2577179"/>
                    </a:xfrm>
                    <a:prstGeom prst="rect">
                      <a:avLst/>
                    </a:prstGeom>
                  </pic:spPr>
                </pic:pic>
              </a:graphicData>
            </a:graphic>
          </wp:anchor>
        </w:drawing>
      </w:r>
    </w:p>
    <w:p>
      <w:pPr>
        <w:spacing w:before="25"/>
        <w:ind w:left="706" w:right="1073" w:firstLine="0"/>
        <w:jc w:val="center"/>
        <w:rPr>
          <w:rFonts w:ascii="Calibri"/>
          <w:i/>
          <w:sz w:val="20"/>
        </w:rPr>
      </w:pPr>
      <w:r>
        <w:rPr>
          <w:rFonts w:ascii="Calibri"/>
          <w:i/>
          <w:color w:val="0D0E0E"/>
          <w:spacing w:val="-2"/>
          <w:sz w:val="20"/>
        </w:rPr>
        <w:t>https://tradingeconomics.com/china/interest-</w:t>
      </w:r>
      <w:r>
        <w:rPr>
          <w:rFonts w:ascii="Calibri"/>
          <w:i/>
          <w:color w:val="0D0E0E"/>
          <w:spacing w:val="-4"/>
          <w:sz w:val="20"/>
        </w:rPr>
        <w:t>rate</w:t>
      </w:r>
    </w:p>
    <w:p>
      <w:pPr>
        <w:pStyle w:val="BodyText"/>
        <w:rPr>
          <w:rFonts w:ascii="Calibri"/>
          <w:i/>
          <w:sz w:val="20"/>
        </w:rPr>
      </w:pPr>
    </w:p>
    <w:p>
      <w:pPr>
        <w:pStyle w:val="BodyText"/>
        <w:rPr>
          <w:rFonts w:ascii="Calibri"/>
          <w:i/>
          <w:sz w:val="20"/>
        </w:rPr>
      </w:pPr>
    </w:p>
    <w:p>
      <w:pPr>
        <w:pStyle w:val="BodyText"/>
        <w:spacing w:before="27"/>
        <w:rPr>
          <w:rFonts w:ascii="Calibri"/>
          <w:i/>
          <w:sz w:val="20"/>
        </w:rPr>
      </w:pPr>
    </w:p>
    <w:p>
      <w:pPr>
        <w:pStyle w:val="BodyText"/>
        <w:ind w:left="184" w:right="1199" w:firstLine="707"/>
      </w:pPr>
      <w:r>
        <w:rPr>
          <w:color w:val="0D0E0E"/>
        </w:rPr>
        <w:t>Como resultado, a moeda chinesa, o Yuan, segue desvalorizada perante o dólar, encerrando outubro na casa dos CNY 7,08 por Dólar americano.</w:t>
      </w:r>
    </w:p>
    <w:p>
      <w:pPr>
        <w:pStyle w:val="BodyText"/>
      </w:pPr>
    </w:p>
    <w:p>
      <w:pPr>
        <w:pStyle w:val="BodyText"/>
        <w:spacing w:before="245"/>
      </w:pPr>
    </w:p>
    <w:p>
      <w:pPr>
        <w:pStyle w:val="Heading1"/>
        <w:spacing w:before="0"/>
      </w:pPr>
      <w:r>
        <w:rPr>
          <w:color w:val="0D0E0E"/>
        </w:rPr>
        <w:t>INDICADORES</w:t>
      </w:r>
      <w:r>
        <w:rPr>
          <w:color w:val="0D0E0E"/>
          <w:spacing w:val="-7"/>
        </w:rPr>
        <w:t> </w:t>
      </w:r>
      <w:r>
        <w:rPr>
          <w:color w:val="0D0E0E"/>
        </w:rPr>
        <w:t>DE</w:t>
      </w:r>
      <w:r>
        <w:rPr>
          <w:color w:val="0D0E0E"/>
          <w:spacing w:val="-5"/>
        </w:rPr>
        <w:t> </w:t>
      </w:r>
      <w:r>
        <w:rPr>
          <w:color w:val="0D0E0E"/>
          <w:spacing w:val="-2"/>
        </w:rPr>
        <w:t>ATIVIDADE</w:t>
      </w:r>
    </w:p>
    <w:p>
      <w:pPr>
        <w:pStyle w:val="Heading2"/>
        <w:spacing w:before="239"/>
      </w:pPr>
      <w:r>
        <w:rPr>
          <w:color w:val="FF0000"/>
          <w:spacing w:val="-5"/>
        </w:rPr>
        <w:t>PIB</w:t>
      </w:r>
    </w:p>
    <w:p>
      <w:pPr>
        <w:pStyle w:val="BodyText"/>
        <w:spacing w:before="240"/>
        <w:ind w:left="892"/>
      </w:pPr>
      <w:r>
        <w:rPr>
          <w:color w:val="0D0E0E"/>
        </w:rPr>
        <w:t>Em</w:t>
      </w:r>
      <w:r>
        <w:rPr>
          <w:color w:val="0D0E0E"/>
          <w:spacing w:val="58"/>
        </w:rPr>
        <w:t> </w:t>
      </w:r>
      <w:r>
        <w:rPr>
          <w:color w:val="0D0E0E"/>
        </w:rPr>
        <w:t>relação</w:t>
      </w:r>
      <w:r>
        <w:rPr>
          <w:color w:val="0D0E0E"/>
          <w:spacing w:val="59"/>
        </w:rPr>
        <w:t> </w:t>
      </w:r>
      <w:r>
        <w:rPr>
          <w:color w:val="0D0E0E"/>
        </w:rPr>
        <w:t>aos</w:t>
      </w:r>
      <w:r>
        <w:rPr>
          <w:color w:val="0D0E0E"/>
          <w:spacing w:val="60"/>
        </w:rPr>
        <w:t> </w:t>
      </w:r>
      <w:r>
        <w:rPr>
          <w:color w:val="0D0E0E"/>
        </w:rPr>
        <w:t>indicadores</w:t>
      </w:r>
      <w:r>
        <w:rPr>
          <w:color w:val="0D0E0E"/>
          <w:spacing w:val="59"/>
        </w:rPr>
        <w:t> </w:t>
      </w:r>
      <w:r>
        <w:rPr>
          <w:color w:val="0D0E0E"/>
        </w:rPr>
        <w:t>de</w:t>
      </w:r>
      <w:r>
        <w:rPr>
          <w:color w:val="0D0E0E"/>
          <w:spacing w:val="60"/>
        </w:rPr>
        <w:t> </w:t>
      </w:r>
      <w:r>
        <w:rPr>
          <w:color w:val="0D0E0E"/>
        </w:rPr>
        <w:t>atividade,</w:t>
      </w:r>
      <w:r>
        <w:rPr>
          <w:color w:val="0D0E0E"/>
          <w:spacing w:val="61"/>
        </w:rPr>
        <w:t> </w:t>
      </w:r>
      <w:r>
        <w:rPr>
          <w:color w:val="0D0E0E"/>
        </w:rPr>
        <w:t>os</w:t>
      </w:r>
      <w:r>
        <w:rPr>
          <w:color w:val="0D0E0E"/>
          <w:spacing w:val="56"/>
        </w:rPr>
        <w:t> </w:t>
      </w:r>
      <w:r>
        <w:rPr>
          <w:color w:val="0D0E0E"/>
        </w:rPr>
        <w:t>dados</w:t>
      </w:r>
      <w:r>
        <w:rPr>
          <w:color w:val="0D0E0E"/>
          <w:spacing w:val="56"/>
        </w:rPr>
        <w:t> </w:t>
      </w:r>
      <w:r>
        <w:rPr>
          <w:color w:val="0D0E0E"/>
        </w:rPr>
        <w:t>vieram</w:t>
      </w:r>
      <w:r>
        <w:rPr>
          <w:color w:val="0D0E0E"/>
          <w:spacing w:val="60"/>
        </w:rPr>
        <w:t> </w:t>
      </w:r>
      <w:r>
        <w:rPr>
          <w:color w:val="0D0E0E"/>
        </w:rPr>
        <w:t>de</w:t>
      </w:r>
      <w:r>
        <w:rPr>
          <w:color w:val="0D0E0E"/>
          <w:spacing w:val="59"/>
        </w:rPr>
        <w:t> </w:t>
      </w:r>
      <w:r>
        <w:rPr>
          <w:color w:val="0D0E0E"/>
        </w:rPr>
        <w:t>forma</w:t>
      </w:r>
      <w:r>
        <w:rPr>
          <w:color w:val="0D0E0E"/>
          <w:spacing w:val="60"/>
        </w:rPr>
        <w:t> </w:t>
      </w:r>
      <w:r>
        <w:rPr>
          <w:color w:val="0D0E0E"/>
          <w:spacing w:val="-2"/>
        </w:rPr>
        <w:t>mista,</w:t>
      </w:r>
    </w:p>
    <w:p>
      <w:pPr>
        <w:pStyle w:val="BodyText"/>
        <w:spacing w:before="2"/>
        <w:ind w:left="184" w:right="1257"/>
        <w:jc w:val="both"/>
      </w:pPr>
      <w:r>
        <w:rPr>
          <w:color w:val="0D0E0E"/>
        </w:rPr>
        <w:t>inicialmente</w:t>
      </w:r>
      <w:r>
        <w:rPr>
          <w:color w:val="0D0E0E"/>
          <w:spacing w:val="-4"/>
        </w:rPr>
        <w:t> </w:t>
      </w:r>
      <w:r>
        <w:rPr>
          <w:color w:val="0D0E0E"/>
        </w:rPr>
        <w:t>pelo</w:t>
      </w:r>
      <w:r>
        <w:rPr>
          <w:color w:val="0D0E0E"/>
          <w:spacing w:val="-5"/>
        </w:rPr>
        <w:t> </w:t>
      </w:r>
      <w:r>
        <w:rPr>
          <w:color w:val="0D0E0E"/>
        </w:rPr>
        <w:t>PIB,</w:t>
      </w:r>
      <w:r>
        <w:rPr>
          <w:color w:val="0D0E0E"/>
          <w:spacing w:val="-4"/>
        </w:rPr>
        <w:t> </w:t>
      </w:r>
      <w:r>
        <w:rPr>
          <w:color w:val="0D0E0E"/>
        </w:rPr>
        <w:t>que</w:t>
      </w:r>
      <w:r>
        <w:rPr>
          <w:color w:val="0D0E0E"/>
          <w:spacing w:val="-5"/>
        </w:rPr>
        <w:t> </w:t>
      </w:r>
      <w:r>
        <w:rPr>
          <w:color w:val="0D0E0E"/>
        </w:rPr>
        <w:t>apresentou</w:t>
      </w:r>
      <w:r>
        <w:rPr>
          <w:color w:val="0D0E0E"/>
          <w:spacing w:val="-6"/>
        </w:rPr>
        <w:t> </w:t>
      </w:r>
      <w:r>
        <w:rPr>
          <w:color w:val="0D0E0E"/>
        </w:rPr>
        <w:t>um</w:t>
      </w:r>
      <w:r>
        <w:rPr>
          <w:color w:val="0D0E0E"/>
          <w:spacing w:val="-6"/>
        </w:rPr>
        <w:t> </w:t>
      </w:r>
      <w:r>
        <w:rPr>
          <w:color w:val="0D0E0E"/>
        </w:rPr>
        <w:t>dado</w:t>
      </w:r>
      <w:r>
        <w:rPr>
          <w:color w:val="0D0E0E"/>
          <w:spacing w:val="-5"/>
        </w:rPr>
        <w:t> </w:t>
      </w:r>
      <w:r>
        <w:rPr>
          <w:color w:val="0D0E0E"/>
        </w:rPr>
        <w:t>relativamente</w:t>
      </w:r>
      <w:r>
        <w:rPr>
          <w:color w:val="0D0E0E"/>
          <w:spacing w:val="-4"/>
        </w:rPr>
        <w:t> </w:t>
      </w:r>
      <w:r>
        <w:rPr>
          <w:color w:val="0D0E0E"/>
        </w:rPr>
        <w:t>satisfatório</w:t>
      </w:r>
      <w:r>
        <w:rPr>
          <w:color w:val="0D0E0E"/>
          <w:spacing w:val="-5"/>
        </w:rPr>
        <w:t> </w:t>
      </w:r>
      <w:r>
        <w:rPr>
          <w:color w:val="0D0E0E"/>
        </w:rPr>
        <w:t>por</w:t>
      </w:r>
      <w:r>
        <w:rPr>
          <w:color w:val="0D0E0E"/>
          <w:spacing w:val="-6"/>
        </w:rPr>
        <w:t> </w:t>
      </w:r>
      <w:r>
        <w:rPr>
          <w:color w:val="0D0E0E"/>
        </w:rPr>
        <w:t>ter</w:t>
      </w:r>
      <w:r>
        <w:rPr>
          <w:color w:val="0D0E0E"/>
          <w:spacing w:val="-3"/>
        </w:rPr>
        <w:t> </w:t>
      </w:r>
      <w:r>
        <w:rPr>
          <w:color w:val="0D0E0E"/>
        </w:rPr>
        <w:t>vindo acima da projeção de mercado. O dado para o 3º trimestre veio em 4,9% enquanto o mercado esperava apenas 4,4% para o período.</w:t>
      </w:r>
    </w:p>
    <w:p>
      <w:pPr>
        <w:pStyle w:val="BodyText"/>
        <w:spacing w:before="239"/>
        <w:ind w:left="184" w:right="1257" w:firstLine="707"/>
        <w:jc w:val="both"/>
      </w:pPr>
      <w:r>
        <w:rPr>
          <w:color w:val="0D0E0E"/>
        </w:rPr>
        <w:t>Pela</w:t>
      </w:r>
      <w:r>
        <w:rPr>
          <w:color w:val="0D0E0E"/>
          <w:spacing w:val="-3"/>
        </w:rPr>
        <w:t> </w:t>
      </w:r>
      <w:r>
        <w:rPr>
          <w:color w:val="0D0E0E"/>
        </w:rPr>
        <w:t>força</w:t>
      </w:r>
      <w:r>
        <w:rPr>
          <w:color w:val="0D0E0E"/>
          <w:spacing w:val="-3"/>
        </w:rPr>
        <w:t> </w:t>
      </w:r>
      <w:r>
        <w:rPr>
          <w:color w:val="0D0E0E"/>
        </w:rPr>
        <w:t>do</w:t>
      </w:r>
      <w:r>
        <w:rPr>
          <w:color w:val="0D0E0E"/>
          <w:spacing w:val="-5"/>
        </w:rPr>
        <w:t> </w:t>
      </w:r>
      <w:r>
        <w:rPr>
          <w:color w:val="0D0E0E"/>
        </w:rPr>
        <w:t>dado</w:t>
      </w:r>
      <w:r>
        <w:rPr>
          <w:color w:val="0D0E0E"/>
          <w:spacing w:val="-5"/>
        </w:rPr>
        <w:t> </w:t>
      </w:r>
      <w:r>
        <w:rPr>
          <w:color w:val="0D0E0E"/>
        </w:rPr>
        <w:t>do</w:t>
      </w:r>
      <w:r>
        <w:rPr>
          <w:color w:val="0D0E0E"/>
          <w:spacing w:val="-2"/>
        </w:rPr>
        <w:t> </w:t>
      </w:r>
      <w:r>
        <w:rPr>
          <w:color w:val="0D0E0E"/>
        </w:rPr>
        <w:t>3º</w:t>
      </w:r>
      <w:r>
        <w:rPr>
          <w:color w:val="0D0E0E"/>
          <w:spacing w:val="-2"/>
        </w:rPr>
        <w:t> </w:t>
      </w:r>
      <w:r>
        <w:rPr>
          <w:color w:val="0D0E0E"/>
        </w:rPr>
        <w:t>trimestre,</w:t>
      </w:r>
      <w:r>
        <w:rPr>
          <w:color w:val="0D0E0E"/>
          <w:spacing w:val="-4"/>
        </w:rPr>
        <w:t> </w:t>
      </w:r>
      <w:r>
        <w:rPr>
          <w:color w:val="0D0E0E"/>
        </w:rPr>
        <w:t>é</w:t>
      </w:r>
      <w:r>
        <w:rPr>
          <w:color w:val="0D0E0E"/>
          <w:spacing w:val="-2"/>
        </w:rPr>
        <w:t> </w:t>
      </w:r>
      <w:r>
        <w:rPr>
          <w:color w:val="0D0E0E"/>
        </w:rPr>
        <w:t>esperado</w:t>
      </w:r>
      <w:r>
        <w:rPr>
          <w:color w:val="0D0E0E"/>
          <w:spacing w:val="-5"/>
        </w:rPr>
        <w:t> </w:t>
      </w:r>
      <w:r>
        <w:rPr>
          <w:color w:val="0D0E0E"/>
        </w:rPr>
        <w:t>que</w:t>
      </w:r>
      <w:r>
        <w:rPr>
          <w:color w:val="0D0E0E"/>
          <w:spacing w:val="-2"/>
        </w:rPr>
        <w:t> </w:t>
      </w:r>
      <w:r>
        <w:rPr>
          <w:color w:val="0D0E0E"/>
        </w:rPr>
        <w:t>a</w:t>
      </w:r>
      <w:r>
        <w:rPr>
          <w:color w:val="0D0E0E"/>
          <w:spacing w:val="-3"/>
        </w:rPr>
        <w:t> </w:t>
      </w:r>
      <w:r>
        <w:rPr>
          <w:color w:val="0D0E0E"/>
        </w:rPr>
        <w:t>meta</w:t>
      </w:r>
      <w:r>
        <w:rPr>
          <w:color w:val="0D0E0E"/>
          <w:spacing w:val="-5"/>
        </w:rPr>
        <w:t> </w:t>
      </w:r>
      <w:r>
        <w:rPr>
          <w:color w:val="0D0E0E"/>
        </w:rPr>
        <w:t>de</w:t>
      </w:r>
      <w:r>
        <w:rPr>
          <w:color w:val="0D0E0E"/>
          <w:spacing w:val="-2"/>
        </w:rPr>
        <w:t> </w:t>
      </w:r>
      <w:r>
        <w:rPr>
          <w:color w:val="0D0E0E"/>
        </w:rPr>
        <w:t>5%</w:t>
      </w:r>
      <w:r>
        <w:rPr>
          <w:color w:val="0D0E0E"/>
          <w:spacing w:val="-2"/>
        </w:rPr>
        <w:t> </w:t>
      </w:r>
      <w:r>
        <w:rPr>
          <w:color w:val="0D0E0E"/>
        </w:rPr>
        <w:t>de</w:t>
      </w:r>
      <w:r>
        <w:rPr>
          <w:color w:val="0D0E0E"/>
          <w:spacing w:val="-2"/>
        </w:rPr>
        <w:t> </w:t>
      </w:r>
      <w:r>
        <w:rPr>
          <w:color w:val="0D0E0E"/>
        </w:rPr>
        <w:t>crescimento para</w:t>
      </w:r>
      <w:r>
        <w:rPr>
          <w:color w:val="0D0E0E"/>
          <w:spacing w:val="-4"/>
        </w:rPr>
        <w:t> </w:t>
      </w:r>
      <w:r>
        <w:rPr>
          <w:color w:val="0D0E0E"/>
        </w:rPr>
        <w:t>2023</w:t>
      </w:r>
      <w:r>
        <w:rPr>
          <w:color w:val="0D0E0E"/>
          <w:spacing w:val="-5"/>
        </w:rPr>
        <w:t> </w:t>
      </w:r>
      <w:r>
        <w:rPr>
          <w:color w:val="0D0E0E"/>
        </w:rPr>
        <w:t>seja</w:t>
      </w:r>
      <w:r>
        <w:rPr>
          <w:color w:val="0D0E0E"/>
          <w:spacing w:val="-4"/>
        </w:rPr>
        <w:t> </w:t>
      </w:r>
      <w:r>
        <w:rPr>
          <w:color w:val="0D0E0E"/>
        </w:rPr>
        <w:t>atingida</w:t>
      </w:r>
      <w:r>
        <w:rPr>
          <w:color w:val="0D0E0E"/>
          <w:spacing w:val="-4"/>
        </w:rPr>
        <w:t> </w:t>
      </w:r>
      <w:r>
        <w:rPr>
          <w:color w:val="0D0E0E"/>
        </w:rPr>
        <w:t>com</w:t>
      </w:r>
      <w:r>
        <w:rPr>
          <w:color w:val="0D0E0E"/>
          <w:spacing w:val="-5"/>
        </w:rPr>
        <w:t> </w:t>
      </w:r>
      <w:r>
        <w:rPr>
          <w:color w:val="0D0E0E"/>
        </w:rPr>
        <w:t>êxito,</w:t>
      </w:r>
      <w:r>
        <w:rPr>
          <w:color w:val="0D0E0E"/>
          <w:spacing w:val="-3"/>
        </w:rPr>
        <w:t> </w:t>
      </w:r>
      <w:r>
        <w:rPr>
          <w:color w:val="0D0E0E"/>
        </w:rPr>
        <w:t>apesar</w:t>
      </w:r>
      <w:r>
        <w:rPr>
          <w:color w:val="0D0E0E"/>
          <w:spacing w:val="-5"/>
        </w:rPr>
        <w:t> </w:t>
      </w:r>
      <w:r>
        <w:rPr>
          <w:color w:val="0D0E0E"/>
        </w:rPr>
        <w:t>dos</w:t>
      </w:r>
      <w:r>
        <w:rPr>
          <w:color w:val="0D0E0E"/>
          <w:spacing w:val="-4"/>
        </w:rPr>
        <w:t> </w:t>
      </w:r>
      <w:r>
        <w:rPr>
          <w:color w:val="0D0E0E"/>
        </w:rPr>
        <w:t>outros</w:t>
      </w:r>
      <w:r>
        <w:rPr>
          <w:color w:val="0D0E0E"/>
          <w:spacing w:val="-4"/>
        </w:rPr>
        <w:t> </w:t>
      </w:r>
      <w:r>
        <w:rPr>
          <w:color w:val="0D0E0E"/>
        </w:rPr>
        <w:t>indicadores</w:t>
      </w:r>
      <w:r>
        <w:rPr>
          <w:color w:val="0D0E0E"/>
          <w:spacing w:val="-3"/>
        </w:rPr>
        <w:t> </w:t>
      </w:r>
      <w:r>
        <w:rPr>
          <w:color w:val="0D0E0E"/>
        </w:rPr>
        <w:t>de</w:t>
      </w:r>
      <w:r>
        <w:rPr>
          <w:color w:val="0D0E0E"/>
          <w:spacing w:val="-4"/>
        </w:rPr>
        <w:t> </w:t>
      </w:r>
      <w:r>
        <w:rPr>
          <w:color w:val="0D0E0E"/>
        </w:rPr>
        <w:t>atividade</w:t>
      </w:r>
      <w:r>
        <w:rPr>
          <w:color w:val="0D0E0E"/>
          <w:spacing w:val="-3"/>
        </w:rPr>
        <w:t> </w:t>
      </w:r>
      <w:r>
        <w:rPr>
          <w:color w:val="0D0E0E"/>
        </w:rPr>
        <w:t>trazerem desconfiança para alguns analistas.</w:t>
      </w:r>
    </w:p>
    <w:p>
      <w:pPr>
        <w:pStyle w:val="BodyText"/>
        <w:rPr>
          <w:sz w:val="26"/>
        </w:rPr>
      </w:pPr>
    </w:p>
    <w:p>
      <w:pPr>
        <w:pStyle w:val="BodyText"/>
        <w:spacing w:before="151"/>
        <w:rPr>
          <w:sz w:val="26"/>
        </w:rPr>
      </w:pPr>
    </w:p>
    <w:p>
      <w:pPr>
        <w:pStyle w:val="Heading2"/>
      </w:pPr>
      <w:r>
        <w:rPr>
          <w:color w:val="FF0000"/>
          <w:spacing w:val="-5"/>
        </w:rPr>
        <w:t>PMI</w:t>
      </w:r>
    </w:p>
    <w:p>
      <w:pPr>
        <w:pStyle w:val="BodyText"/>
        <w:spacing w:line="281" w:lineRule="exact" w:before="242"/>
        <w:ind w:left="892"/>
      </w:pPr>
      <w:r>
        <w:rPr>
          <w:color w:val="0D0E0E"/>
        </w:rPr>
        <w:t>Apesar</w:t>
      </w:r>
      <w:r>
        <w:rPr>
          <w:color w:val="0D0E0E"/>
          <w:spacing w:val="23"/>
        </w:rPr>
        <w:t> </w:t>
      </w:r>
      <w:r>
        <w:rPr>
          <w:color w:val="0D0E0E"/>
        </w:rPr>
        <w:t>de</w:t>
      </w:r>
      <w:r>
        <w:rPr>
          <w:color w:val="0D0E0E"/>
          <w:spacing w:val="23"/>
        </w:rPr>
        <w:t> </w:t>
      </w:r>
      <w:r>
        <w:rPr>
          <w:color w:val="0D0E0E"/>
        </w:rPr>
        <w:t>provavelmente</w:t>
      </w:r>
      <w:r>
        <w:rPr>
          <w:color w:val="0D0E0E"/>
          <w:spacing w:val="24"/>
        </w:rPr>
        <w:t> </w:t>
      </w:r>
      <w:r>
        <w:rPr>
          <w:color w:val="0D0E0E"/>
        </w:rPr>
        <w:t>atingir</w:t>
      </w:r>
      <w:r>
        <w:rPr>
          <w:color w:val="0D0E0E"/>
          <w:spacing w:val="23"/>
        </w:rPr>
        <w:t> </w:t>
      </w:r>
      <w:r>
        <w:rPr>
          <w:color w:val="0D0E0E"/>
        </w:rPr>
        <w:t>a</w:t>
      </w:r>
      <w:r>
        <w:rPr>
          <w:color w:val="0D0E0E"/>
          <w:spacing w:val="23"/>
        </w:rPr>
        <w:t> </w:t>
      </w:r>
      <w:r>
        <w:rPr>
          <w:color w:val="0D0E0E"/>
        </w:rPr>
        <w:t>meta</w:t>
      </w:r>
      <w:r>
        <w:rPr>
          <w:color w:val="0D0E0E"/>
          <w:spacing w:val="23"/>
        </w:rPr>
        <w:t> </w:t>
      </w:r>
      <w:r>
        <w:rPr>
          <w:color w:val="0D0E0E"/>
        </w:rPr>
        <w:t>do</w:t>
      </w:r>
      <w:r>
        <w:rPr>
          <w:color w:val="0D0E0E"/>
          <w:spacing w:val="23"/>
        </w:rPr>
        <w:t> </w:t>
      </w:r>
      <w:r>
        <w:rPr>
          <w:color w:val="0D0E0E"/>
        </w:rPr>
        <w:t>PIB,</w:t>
      </w:r>
      <w:r>
        <w:rPr>
          <w:color w:val="0D0E0E"/>
          <w:spacing w:val="24"/>
        </w:rPr>
        <w:t> </w:t>
      </w:r>
      <w:r>
        <w:rPr>
          <w:color w:val="0D0E0E"/>
        </w:rPr>
        <w:t>a</w:t>
      </w:r>
      <w:r>
        <w:rPr>
          <w:color w:val="0D0E0E"/>
          <w:spacing w:val="23"/>
        </w:rPr>
        <w:t> </w:t>
      </w:r>
      <w:r>
        <w:rPr>
          <w:color w:val="0D0E0E"/>
        </w:rPr>
        <w:t>expectativa</w:t>
      </w:r>
      <w:r>
        <w:rPr>
          <w:color w:val="0D0E0E"/>
          <w:spacing w:val="24"/>
        </w:rPr>
        <w:t> </w:t>
      </w:r>
      <w:r>
        <w:rPr>
          <w:color w:val="0D0E0E"/>
        </w:rPr>
        <w:t>da</w:t>
      </w:r>
      <w:r>
        <w:rPr>
          <w:color w:val="0D0E0E"/>
          <w:spacing w:val="24"/>
        </w:rPr>
        <w:t> </w:t>
      </w:r>
      <w:r>
        <w:rPr>
          <w:color w:val="0D0E0E"/>
          <w:spacing w:val="-2"/>
        </w:rPr>
        <w:t>recuperação</w:t>
      </w:r>
    </w:p>
    <w:p>
      <w:pPr>
        <w:pStyle w:val="BodyText"/>
        <w:ind w:left="184" w:right="1250"/>
        <w:jc w:val="both"/>
      </w:pPr>
      <w:r>
        <w:rPr>
          <w:color w:val="0D0E0E"/>
        </w:rPr>
        <w:t>chinesa</w:t>
      </w:r>
      <w:r>
        <w:rPr>
          <w:color w:val="0D0E0E"/>
          <w:spacing w:val="-6"/>
        </w:rPr>
        <w:t> </w:t>
      </w:r>
      <w:r>
        <w:rPr>
          <w:color w:val="0D0E0E"/>
        </w:rPr>
        <w:t>era</w:t>
      </w:r>
      <w:r>
        <w:rPr>
          <w:color w:val="0D0E0E"/>
          <w:spacing w:val="-6"/>
        </w:rPr>
        <w:t> </w:t>
      </w:r>
      <w:r>
        <w:rPr>
          <w:color w:val="0D0E0E"/>
        </w:rPr>
        <w:t>muito</w:t>
      </w:r>
      <w:r>
        <w:rPr>
          <w:color w:val="0D0E0E"/>
          <w:spacing w:val="-7"/>
        </w:rPr>
        <w:t> </w:t>
      </w:r>
      <w:r>
        <w:rPr>
          <w:color w:val="0D0E0E"/>
        </w:rPr>
        <w:t>mais</w:t>
      </w:r>
      <w:r>
        <w:rPr>
          <w:color w:val="0D0E0E"/>
          <w:spacing w:val="-8"/>
        </w:rPr>
        <w:t> </w:t>
      </w:r>
      <w:r>
        <w:rPr>
          <w:color w:val="0D0E0E"/>
        </w:rPr>
        <w:t>alta.</w:t>
      </w:r>
      <w:r>
        <w:rPr>
          <w:color w:val="0D0E0E"/>
          <w:spacing w:val="-6"/>
        </w:rPr>
        <w:t> </w:t>
      </w:r>
      <w:r>
        <w:rPr>
          <w:color w:val="0D0E0E"/>
        </w:rPr>
        <w:t>Após</w:t>
      </w:r>
      <w:r>
        <w:rPr>
          <w:color w:val="0D0E0E"/>
          <w:spacing w:val="-7"/>
        </w:rPr>
        <w:t> </w:t>
      </w:r>
      <w:r>
        <w:rPr>
          <w:color w:val="0D0E0E"/>
        </w:rPr>
        <w:t>a</w:t>
      </w:r>
      <w:r>
        <w:rPr>
          <w:color w:val="0D0E0E"/>
          <w:spacing w:val="-8"/>
        </w:rPr>
        <w:t> </w:t>
      </w:r>
      <w:r>
        <w:rPr>
          <w:color w:val="0D0E0E"/>
        </w:rPr>
        <w:t>reabertura</w:t>
      </w:r>
      <w:r>
        <w:rPr>
          <w:color w:val="0D0E0E"/>
          <w:spacing w:val="-8"/>
        </w:rPr>
        <w:t> </w:t>
      </w:r>
      <w:r>
        <w:rPr>
          <w:color w:val="0D0E0E"/>
        </w:rPr>
        <w:t>da</w:t>
      </w:r>
      <w:r>
        <w:rPr>
          <w:color w:val="0D0E0E"/>
          <w:spacing w:val="-6"/>
        </w:rPr>
        <w:t> </w:t>
      </w:r>
      <w:r>
        <w:rPr>
          <w:color w:val="0D0E0E"/>
        </w:rPr>
        <w:t>economia</w:t>
      </w:r>
      <w:r>
        <w:rPr>
          <w:color w:val="0D0E0E"/>
          <w:spacing w:val="-8"/>
        </w:rPr>
        <w:t> </w:t>
      </w:r>
      <w:r>
        <w:rPr>
          <w:color w:val="0D0E0E"/>
        </w:rPr>
        <w:t>após</w:t>
      </w:r>
      <w:r>
        <w:rPr>
          <w:color w:val="0D0E0E"/>
          <w:spacing w:val="-7"/>
        </w:rPr>
        <w:t> </w:t>
      </w:r>
      <w:r>
        <w:rPr>
          <w:color w:val="0D0E0E"/>
        </w:rPr>
        <w:t>a</w:t>
      </w:r>
      <w:r>
        <w:rPr>
          <w:color w:val="0D0E0E"/>
          <w:spacing w:val="-8"/>
        </w:rPr>
        <w:t> </w:t>
      </w:r>
      <w:r>
        <w:rPr>
          <w:color w:val="0D0E0E"/>
        </w:rPr>
        <w:t>pandemia,</w:t>
      </w:r>
      <w:r>
        <w:rPr>
          <w:color w:val="0D0E0E"/>
          <w:spacing w:val="-8"/>
        </w:rPr>
        <w:t> </w:t>
      </w:r>
      <w:r>
        <w:rPr>
          <w:color w:val="0D0E0E"/>
        </w:rPr>
        <w:t>esperava- se que a gigante asiática fosse atingir os 6% de crescimento ao ano. Essa desconfiança não vem do PIB e sim dos PMI mais fracos.</w:t>
      </w:r>
    </w:p>
    <w:p>
      <w:pPr>
        <w:pStyle w:val="BodyText"/>
        <w:spacing w:after="0"/>
        <w:jc w:val="both"/>
        <w:sectPr>
          <w:pgSz w:w="11920" w:h="16850"/>
          <w:pgMar w:top="1340" w:bottom="280" w:left="1417" w:right="141"/>
        </w:sectPr>
      </w:pPr>
    </w:p>
    <w:p>
      <w:pPr>
        <w:pStyle w:val="BodyText"/>
        <w:spacing w:before="80"/>
        <w:ind w:left="184" w:right="1253" w:firstLine="707"/>
        <w:jc w:val="both"/>
      </w:pPr>
      <w:r>
        <w:rPr>
          <w:color w:val="0D0E0E"/>
        </w:rPr>
        <w:t>O setor de serviços, ainda que acima dos 50 pontos, permanece bem abaixo do que foram os primeiros meses do ano. O dado de novembro veio em 51,50 pontos ante 50,40 pontos de setembro.</w:t>
      </w:r>
    </w:p>
    <w:p>
      <w:pPr>
        <w:pStyle w:val="Heading4"/>
        <w:spacing w:before="238"/>
        <w:ind w:left="711"/>
      </w:pPr>
      <w:r>
        <w:rPr>
          <w:color w:val="0D0E0E"/>
        </w:rPr>
        <w:t>PMI</w:t>
      </w:r>
      <w:r>
        <w:rPr>
          <w:color w:val="0D0E0E"/>
          <w:spacing w:val="-2"/>
        </w:rPr>
        <w:t> </w:t>
      </w:r>
      <w:r>
        <w:rPr>
          <w:color w:val="0D0E0E"/>
        </w:rPr>
        <w:t>Serviços</w:t>
      </w:r>
      <w:r>
        <w:rPr>
          <w:color w:val="0D0E0E"/>
          <w:spacing w:val="-2"/>
        </w:rPr>
        <w:t> </w:t>
      </w:r>
      <w:r>
        <w:rPr>
          <w:color w:val="0D0E0E"/>
        </w:rPr>
        <w:t>–</w:t>
      </w:r>
      <w:r>
        <w:rPr>
          <w:color w:val="0D0E0E"/>
          <w:spacing w:val="-2"/>
        </w:rPr>
        <w:t> China:</w:t>
      </w:r>
    </w:p>
    <w:p>
      <w:pPr>
        <w:pStyle w:val="BodyText"/>
        <w:spacing w:before="10"/>
        <w:rPr>
          <w:b/>
          <w:sz w:val="19"/>
        </w:rPr>
      </w:pPr>
      <w:r>
        <w:rPr>
          <w:b/>
          <w:sz w:val="19"/>
        </w:rPr>
        <w:drawing>
          <wp:anchor distT="0" distB="0" distL="0" distR="0" allowOverlap="1" layoutInCell="1" locked="0" behindDoc="1" simplePos="0" relativeHeight="487599104">
            <wp:simplePos x="0" y="0"/>
            <wp:positionH relativeFrom="page">
              <wp:posOffset>1016000</wp:posOffset>
            </wp:positionH>
            <wp:positionV relativeFrom="paragraph">
              <wp:posOffset>163151</wp:posOffset>
            </wp:positionV>
            <wp:extent cx="5646803" cy="2742914"/>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30" cstate="print"/>
                    <a:stretch>
                      <a:fillRect/>
                    </a:stretch>
                  </pic:blipFill>
                  <pic:spPr>
                    <a:xfrm>
                      <a:off x="0" y="0"/>
                      <a:ext cx="5646803" cy="2742914"/>
                    </a:xfrm>
                    <a:prstGeom prst="rect">
                      <a:avLst/>
                    </a:prstGeom>
                  </pic:spPr>
                </pic:pic>
              </a:graphicData>
            </a:graphic>
          </wp:anchor>
        </w:drawing>
      </w:r>
    </w:p>
    <w:p>
      <w:pPr>
        <w:spacing w:before="10"/>
        <w:ind w:left="2611" w:right="0" w:firstLine="0"/>
        <w:jc w:val="left"/>
        <w:rPr>
          <w:rFonts w:ascii="Calibri"/>
          <w:i/>
          <w:sz w:val="20"/>
        </w:rPr>
      </w:pPr>
      <w:r>
        <w:rPr>
          <w:rFonts w:ascii="Calibri"/>
          <w:i/>
          <w:color w:val="0D0E0E"/>
          <w:spacing w:val="-2"/>
          <w:sz w:val="20"/>
        </w:rPr>
        <w:t>https://tradingeconomics.com/china/services-</w:t>
      </w:r>
      <w:r>
        <w:rPr>
          <w:rFonts w:ascii="Calibri"/>
          <w:i/>
          <w:color w:val="0D0E0E"/>
          <w:spacing w:val="-5"/>
          <w:sz w:val="20"/>
        </w:rPr>
        <w:t>pmi</w:t>
      </w:r>
    </w:p>
    <w:p>
      <w:pPr>
        <w:pStyle w:val="BodyText"/>
        <w:spacing w:before="239"/>
        <w:ind w:left="184" w:right="1256" w:firstLine="707"/>
        <w:jc w:val="both"/>
      </w:pPr>
      <w:r>
        <w:rPr>
          <w:color w:val="0D0E0E"/>
        </w:rPr>
        <w:t>Após voltar ao campo de contração em outubro, o PMI de Manufatura teve alta de</w:t>
      </w:r>
      <w:r>
        <w:rPr>
          <w:color w:val="0D0E0E"/>
          <w:spacing w:val="-2"/>
        </w:rPr>
        <w:t> </w:t>
      </w:r>
      <w:r>
        <w:rPr>
          <w:color w:val="0D0E0E"/>
        </w:rPr>
        <w:t>50,7</w:t>
      </w:r>
      <w:r>
        <w:rPr>
          <w:color w:val="0D0E0E"/>
          <w:spacing w:val="-3"/>
        </w:rPr>
        <w:t> </w:t>
      </w:r>
      <w:r>
        <w:rPr>
          <w:color w:val="0D0E0E"/>
        </w:rPr>
        <w:t>em</w:t>
      </w:r>
      <w:r>
        <w:rPr>
          <w:color w:val="0D0E0E"/>
          <w:spacing w:val="-3"/>
        </w:rPr>
        <w:t> </w:t>
      </w:r>
      <w:r>
        <w:rPr>
          <w:color w:val="0D0E0E"/>
        </w:rPr>
        <w:t>novembro,</w:t>
      </w:r>
      <w:r>
        <w:rPr>
          <w:color w:val="0D0E0E"/>
          <w:spacing w:val="-3"/>
        </w:rPr>
        <w:t> </w:t>
      </w:r>
      <w:r>
        <w:rPr>
          <w:color w:val="0D0E0E"/>
        </w:rPr>
        <w:t>ainda</w:t>
      </w:r>
      <w:r>
        <w:rPr>
          <w:color w:val="0D0E0E"/>
          <w:spacing w:val="-3"/>
        </w:rPr>
        <w:t> </w:t>
      </w:r>
      <w:r>
        <w:rPr>
          <w:color w:val="0D0E0E"/>
        </w:rPr>
        <w:t>bem</w:t>
      </w:r>
      <w:r>
        <w:rPr>
          <w:color w:val="0D0E0E"/>
          <w:spacing w:val="-3"/>
        </w:rPr>
        <w:t> </w:t>
      </w:r>
      <w:r>
        <w:rPr>
          <w:color w:val="0D0E0E"/>
        </w:rPr>
        <w:t>próximo</w:t>
      </w:r>
      <w:r>
        <w:rPr>
          <w:color w:val="0D0E0E"/>
          <w:spacing w:val="-2"/>
        </w:rPr>
        <w:t> </w:t>
      </w:r>
      <w:r>
        <w:rPr>
          <w:color w:val="0D0E0E"/>
        </w:rPr>
        <w:t>do</w:t>
      </w:r>
      <w:r>
        <w:rPr>
          <w:color w:val="0D0E0E"/>
          <w:spacing w:val="-2"/>
        </w:rPr>
        <w:t> </w:t>
      </w:r>
      <w:r>
        <w:rPr>
          <w:color w:val="0D0E0E"/>
        </w:rPr>
        <w:t>valor</w:t>
      </w:r>
      <w:r>
        <w:rPr>
          <w:color w:val="0D0E0E"/>
          <w:spacing w:val="-3"/>
        </w:rPr>
        <w:t> </w:t>
      </w:r>
      <w:r>
        <w:rPr>
          <w:color w:val="0D0E0E"/>
        </w:rPr>
        <w:t>neutro,</w:t>
      </w:r>
      <w:r>
        <w:rPr>
          <w:color w:val="0D0E0E"/>
          <w:spacing w:val="-2"/>
        </w:rPr>
        <w:t> </w:t>
      </w:r>
      <w:r>
        <w:rPr>
          <w:color w:val="0D0E0E"/>
        </w:rPr>
        <w:t>porém,</w:t>
      </w:r>
      <w:r>
        <w:rPr>
          <w:color w:val="0D0E0E"/>
          <w:spacing w:val="-2"/>
        </w:rPr>
        <w:t> </w:t>
      </w:r>
      <w:r>
        <w:rPr>
          <w:color w:val="0D0E0E"/>
        </w:rPr>
        <w:t>acima</w:t>
      </w:r>
      <w:r>
        <w:rPr>
          <w:color w:val="0D0E0E"/>
          <w:spacing w:val="-2"/>
        </w:rPr>
        <w:t> </w:t>
      </w:r>
      <w:r>
        <w:rPr>
          <w:color w:val="0D0E0E"/>
        </w:rPr>
        <w:t>das</w:t>
      </w:r>
      <w:r>
        <w:rPr>
          <w:color w:val="0D0E0E"/>
          <w:spacing w:val="-2"/>
        </w:rPr>
        <w:t> </w:t>
      </w:r>
      <w:r>
        <w:rPr>
          <w:color w:val="0D0E0E"/>
        </w:rPr>
        <w:t>projeções de 49,80.</w:t>
      </w:r>
    </w:p>
    <w:p>
      <w:pPr>
        <w:pStyle w:val="BodyText"/>
        <w:spacing w:before="241"/>
        <w:ind w:left="184" w:right="1255" w:firstLine="707"/>
        <w:jc w:val="both"/>
      </w:pPr>
      <w:r>
        <w:rPr>
          <w:color w:val="0D0E0E"/>
        </w:rPr>
        <w:t>Essa baixa projeção de crescimento atribui-se principalmente pelas baixas exportações projetadas pela economia chinesa e pelos baixos índices de emprego divulgados recentemente.</w:t>
      </w:r>
    </w:p>
    <w:p>
      <w:pPr>
        <w:pStyle w:val="BodyText"/>
        <w:spacing w:after="0"/>
        <w:jc w:val="both"/>
        <w:sectPr>
          <w:pgSz w:w="11920" w:h="16850"/>
          <w:pgMar w:top="1280" w:bottom="280" w:left="1417" w:right="141"/>
        </w:sectPr>
      </w:pPr>
    </w:p>
    <w:p>
      <w:pPr>
        <w:pStyle w:val="Heading4"/>
        <w:ind w:left="711"/>
      </w:pPr>
      <w:r>
        <w:rPr>
          <w:color w:val="0D0E0E"/>
        </w:rPr>
        <w:t>PMI</w:t>
      </w:r>
      <w:r>
        <w:rPr>
          <w:color w:val="0D0E0E"/>
          <w:spacing w:val="-3"/>
        </w:rPr>
        <w:t> </w:t>
      </w:r>
      <w:r>
        <w:rPr>
          <w:color w:val="0D0E0E"/>
        </w:rPr>
        <w:t>Manufatura –</w:t>
      </w:r>
      <w:r>
        <w:rPr>
          <w:color w:val="0D0E0E"/>
          <w:spacing w:val="-3"/>
        </w:rPr>
        <w:t> </w:t>
      </w:r>
      <w:r>
        <w:rPr>
          <w:color w:val="0D0E0E"/>
          <w:spacing w:val="-2"/>
        </w:rPr>
        <w:t>China:</w:t>
      </w:r>
    </w:p>
    <w:p>
      <w:pPr>
        <w:pStyle w:val="BodyText"/>
        <w:spacing w:before="3"/>
        <w:rPr>
          <w:b/>
          <w:sz w:val="18"/>
        </w:rPr>
      </w:pPr>
      <w:r>
        <w:rPr>
          <w:b/>
          <w:sz w:val="18"/>
        </w:rPr>
        <w:drawing>
          <wp:anchor distT="0" distB="0" distL="0" distR="0" allowOverlap="1" layoutInCell="1" locked="0" behindDoc="1" simplePos="0" relativeHeight="487599616">
            <wp:simplePos x="0" y="0"/>
            <wp:positionH relativeFrom="page">
              <wp:posOffset>1082465</wp:posOffset>
            </wp:positionH>
            <wp:positionV relativeFrom="paragraph">
              <wp:posOffset>151277</wp:posOffset>
            </wp:positionV>
            <wp:extent cx="5580161" cy="2825781"/>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31" cstate="print"/>
                    <a:stretch>
                      <a:fillRect/>
                    </a:stretch>
                  </pic:blipFill>
                  <pic:spPr>
                    <a:xfrm>
                      <a:off x="0" y="0"/>
                      <a:ext cx="5580161" cy="2825781"/>
                    </a:xfrm>
                    <a:prstGeom prst="rect">
                      <a:avLst/>
                    </a:prstGeom>
                  </pic:spPr>
                </pic:pic>
              </a:graphicData>
            </a:graphic>
          </wp:anchor>
        </w:drawing>
      </w:r>
    </w:p>
    <w:p>
      <w:pPr>
        <w:spacing w:before="22"/>
        <w:ind w:left="711" w:right="1073" w:firstLine="0"/>
        <w:jc w:val="center"/>
        <w:rPr>
          <w:rFonts w:ascii="Calibri"/>
          <w:i/>
          <w:sz w:val="20"/>
        </w:rPr>
      </w:pPr>
      <w:r>
        <w:rPr>
          <w:rFonts w:ascii="Calibri"/>
          <w:i/>
          <w:color w:val="0D0E0E"/>
          <w:spacing w:val="-2"/>
          <w:sz w:val="20"/>
        </w:rPr>
        <w:t>https://tradingeconomics.com/china/manufacturing-</w:t>
      </w:r>
      <w:r>
        <w:rPr>
          <w:rFonts w:ascii="Calibri"/>
          <w:i/>
          <w:color w:val="0D0E0E"/>
          <w:spacing w:val="-5"/>
          <w:sz w:val="20"/>
        </w:rPr>
        <w:t>pmi</w:t>
      </w:r>
    </w:p>
    <w:p>
      <w:pPr>
        <w:pStyle w:val="BodyText"/>
        <w:spacing w:before="239"/>
        <w:ind w:left="184" w:right="1199" w:firstLine="707"/>
      </w:pPr>
      <w:r>
        <w:rPr>
          <w:color w:val="0D0E0E"/>
        </w:rPr>
        <w:t>Como</w:t>
      </w:r>
      <w:r>
        <w:rPr>
          <w:color w:val="0D0E0E"/>
          <w:spacing w:val="33"/>
        </w:rPr>
        <w:t> </w:t>
      </w:r>
      <w:r>
        <w:rPr>
          <w:color w:val="0D0E0E"/>
        </w:rPr>
        <w:t>consequência</w:t>
      </w:r>
      <w:r>
        <w:rPr>
          <w:color w:val="0D0E0E"/>
          <w:spacing w:val="34"/>
        </w:rPr>
        <w:t> </w:t>
      </w:r>
      <w:r>
        <w:rPr>
          <w:color w:val="0D0E0E"/>
        </w:rPr>
        <w:t>direta,</w:t>
      </w:r>
      <w:r>
        <w:rPr>
          <w:color w:val="0D0E0E"/>
          <w:spacing w:val="34"/>
        </w:rPr>
        <w:t> </w:t>
      </w:r>
      <w:r>
        <w:rPr>
          <w:color w:val="0D0E0E"/>
        </w:rPr>
        <w:t>o</w:t>
      </w:r>
      <w:r>
        <w:rPr>
          <w:color w:val="0D0E0E"/>
          <w:spacing w:val="36"/>
        </w:rPr>
        <w:t> </w:t>
      </w:r>
      <w:r>
        <w:rPr>
          <w:color w:val="0D0E0E"/>
        </w:rPr>
        <w:t>indicador</w:t>
      </w:r>
      <w:r>
        <w:rPr>
          <w:color w:val="0D0E0E"/>
          <w:spacing w:val="33"/>
        </w:rPr>
        <w:t> </w:t>
      </w:r>
      <w:r>
        <w:rPr>
          <w:color w:val="0D0E0E"/>
        </w:rPr>
        <w:t>composto</w:t>
      </w:r>
      <w:r>
        <w:rPr>
          <w:color w:val="0D0E0E"/>
          <w:spacing w:val="34"/>
        </w:rPr>
        <w:t> </w:t>
      </w:r>
      <w:r>
        <w:rPr>
          <w:color w:val="0D0E0E"/>
        </w:rPr>
        <w:t>voltou</w:t>
      </w:r>
      <w:r>
        <w:rPr>
          <w:color w:val="0D0E0E"/>
          <w:spacing w:val="35"/>
        </w:rPr>
        <w:t> </w:t>
      </w:r>
      <w:r>
        <w:rPr>
          <w:color w:val="0D0E0E"/>
        </w:rPr>
        <w:t>a</w:t>
      </w:r>
      <w:r>
        <w:rPr>
          <w:color w:val="0D0E0E"/>
          <w:spacing w:val="34"/>
        </w:rPr>
        <w:t> </w:t>
      </w:r>
      <w:r>
        <w:rPr>
          <w:color w:val="0D0E0E"/>
        </w:rPr>
        <w:t>crescer</w:t>
      </w:r>
      <w:r>
        <w:rPr>
          <w:color w:val="0D0E0E"/>
          <w:spacing w:val="35"/>
        </w:rPr>
        <w:t> </w:t>
      </w:r>
      <w:r>
        <w:rPr>
          <w:color w:val="0D0E0E"/>
        </w:rPr>
        <w:t>no</w:t>
      </w:r>
      <w:r>
        <w:rPr>
          <w:color w:val="0D0E0E"/>
          <w:spacing w:val="33"/>
        </w:rPr>
        <w:t> </w:t>
      </w:r>
      <w:r>
        <w:rPr>
          <w:color w:val="0D0E0E"/>
        </w:rPr>
        <w:t>mês</w:t>
      </w:r>
      <w:r>
        <w:rPr>
          <w:color w:val="0D0E0E"/>
          <w:spacing w:val="33"/>
        </w:rPr>
        <w:t> </w:t>
      </w:r>
      <w:r>
        <w:rPr>
          <w:color w:val="0D0E0E"/>
        </w:rPr>
        <w:t>de </w:t>
      </w:r>
      <w:r>
        <w:rPr>
          <w:color w:val="0D0E0E"/>
          <w:spacing w:val="-2"/>
        </w:rPr>
        <w:t>novembro.</w:t>
      </w:r>
    </w:p>
    <w:p>
      <w:pPr>
        <w:pStyle w:val="BodyText"/>
      </w:pPr>
    </w:p>
    <w:p>
      <w:pPr>
        <w:pStyle w:val="BodyText"/>
        <w:spacing w:before="197"/>
      </w:pPr>
    </w:p>
    <w:p>
      <w:pPr>
        <w:pStyle w:val="Heading4"/>
        <w:spacing w:before="0"/>
        <w:ind w:left="708"/>
      </w:pPr>
      <w:r>
        <w:rPr>
          <w:color w:val="0D0E0E"/>
        </w:rPr>
        <w:t>PMI</w:t>
      </w:r>
      <w:r>
        <w:rPr>
          <w:color w:val="0D0E0E"/>
          <w:spacing w:val="-4"/>
        </w:rPr>
        <w:t> </w:t>
      </w:r>
      <w:r>
        <w:rPr>
          <w:color w:val="0D0E0E"/>
        </w:rPr>
        <w:t>Composto</w:t>
      </w:r>
      <w:r>
        <w:rPr>
          <w:color w:val="0D0E0E"/>
          <w:spacing w:val="-1"/>
        </w:rPr>
        <w:t> </w:t>
      </w:r>
      <w:r>
        <w:rPr>
          <w:color w:val="0D0E0E"/>
        </w:rPr>
        <w:t>–</w:t>
      </w:r>
      <w:r>
        <w:rPr>
          <w:color w:val="0D0E0E"/>
          <w:spacing w:val="-2"/>
        </w:rPr>
        <w:t> </w:t>
      </w:r>
      <w:r>
        <w:rPr>
          <w:color w:val="0D0E0E"/>
          <w:spacing w:val="-4"/>
        </w:rPr>
        <w:t>China</w:t>
      </w:r>
    </w:p>
    <w:p>
      <w:pPr>
        <w:pStyle w:val="BodyText"/>
        <w:spacing w:before="6"/>
        <w:rPr>
          <w:b/>
          <w:sz w:val="18"/>
        </w:rPr>
      </w:pPr>
      <w:r>
        <w:rPr>
          <w:b/>
          <w:sz w:val="18"/>
        </w:rPr>
        <w:drawing>
          <wp:anchor distT="0" distB="0" distL="0" distR="0" allowOverlap="1" layoutInCell="1" locked="0" behindDoc="1" simplePos="0" relativeHeight="487600128">
            <wp:simplePos x="0" y="0"/>
            <wp:positionH relativeFrom="page">
              <wp:posOffset>1466214</wp:posOffset>
            </wp:positionH>
            <wp:positionV relativeFrom="paragraph">
              <wp:posOffset>153272</wp:posOffset>
            </wp:positionV>
            <wp:extent cx="5647929" cy="3090957"/>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32" cstate="print"/>
                    <a:stretch>
                      <a:fillRect/>
                    </a:stretch>
                  </pic:blipFill>
                  <pic:spPr>
                    <a:xfrm>
                      <a:off x="0" y="0"/>
                      <a:ext cx="5647929" cy="3090957"/>
                    </a:xfrm>
                    <a:prstGeom prst="rect">
                      <a:avLst/>
                    </a:prstGeom>
                  </pic:spPr>
                </pic:pic>
              </a:graphicData>
            </a:graphic>
          </wp:anchor>
        </w:drawing>
      </w:r>
    </w:p>
    <w:p>
      <w:pPr>
        <w:spacing w:before="264"/>
        <w:ind w:left="713" w:right="1073" w:firstLine="0"/>
        <w:jc w:val="center"/>
        <w:rPr>
          <w:rFonts w:ascii="Calibri"/>
          <w:i/>
          <w:sz w:val="20"/>
        </w:rPr>
      </w:pPr>
      <w:r>
        <w:rPr>
          <w:rFonts w:ascii="Calibri"/>
          <w:i/>
          <w:color w:val="0D0E0E"/>
          <w:spacing w:val="-2"/>
          <w:sz w:val="20"/>
        </w:rPr>
        <w:t>https://tradingeconomics.com/china/composite-</w:t>
      </w:r>
      <w:r>
        <w:rPr>
          <w:rFonts w:ascii="Calibri"/>
          <w:i/>
          <w:color w:val="0D0E0E"/>
          <w:spacing w:val="-5"/>
          <w:sz w:val="20"/>
        </w:rPr>
        <w:t>pmi</w:t>
      </w:r>
    </w:p>
    <w:p>
      <w:pPr>
        <w:spacing w:after="0"/>
        <w:jc w:val="center"/>
        <w:rPr>
          <w:rFonts w:ascii="Calibri"/>
          <w:i/>
          <w:sz w:val="20"/>
        </w:rPr>
        <w:sectPr>
          <w:pgSz w:w="11920" w:h="16850"/>
          <w:pgMar w:top="1280" w:bottom="280" w:left="1417" w:right="141"/>
        </w:sectPr>
      </w:pPr>
    </w:p>
    <w:p>
      <w:pPr>
        <w:pStyle w:val="Heading1"/>
      </w:pPr>
      <w:r>
        <w:rPr>
          <w:color w:val="0D0E0E"/>
          <w:spacing w:val="-2"/>
        </w:rPr>
        <w:t>BRASIL</w:t>
      </w:r>
    </w:p>
    <w:p>
      <w:pPr>
        <w:pStyle w:val="Heading3"/>
        <w:spacing w:before="240"/>
      </w:pPr>
      <w:r>
        <w:rPr>
          <w:color w:val="FF0000"/>
          <w:spacing w:val="-2"/>
        </w:rPr>
        <w:t>Juros</w:t>
      </w:r>
    </w:p>
    <w:p>
      <w:pPr>
        <w:pStyle w:val="BodyText"/>
        <w:spacing w:before="239"/>
        <w:ind w:left="892"/>
      </w:pPr>
      <w:r>
        <w:rPr>
          <w:color w:val="0D0E0E"/>
          <w:spacing w:val="-2"/>
        </w:rPr>
        <w:t>Em</w:t>
      </w:r>
      <w:r>
        <w:rPr>
          <w:color w:val="0D0E0E"/>
          <w:spacing w:val="-6"/>
        </w:rPr>
        <w:t> </w:t>
      </w:r>
      <w:r>
        <w:rPr>
          <w:color w:val="0D0E0E"/>
          <w:spacing w:val="-2"/>
        </w:rPr>
        <w:t>linha</w:t>
      </w:r>
      <w:r>
        <w:rPr>
          <w:color w:val="0D0E0E"/>
          <w:spacing w:val="-5"/>
        </w:rPr>
        <w:t> </w:t>
      </w:r>
      <w:r>
        <w:rPr>
          <w:color w:val="0D0E0E"/>
          <w:spacing w:val="-2"/>
        </w:rPr>
        <w:t>com</w:t>
      </w:r>
      <w:r>
        <w:rPr>
          <w:color w:val="0D0E0E"/>
          <w:spacing w:val="-7"/>
        </w:rPr>
        <w:t> </w:t>
      </w:r>
      <w:r>
        <w:rPr>
          <w:color w:val="0D0E0E"/>
          <w:spacing w:val="-2"/>
        </w:rPr>
        <w:t>os</w:t>
      </w:r>
      <w:r>
        <w:rPr>
          <w:color w:val="0D0E0E"/>
          <w:spacing w:val="-5"/>
        </w:rPr>
        <w:t> </w:t>
      </w:r>
      <w:r>
        <w:rPr>
          <w:color w:val="0D0E0E"/>
          <w:spacing w:val="-2"/>
        </w:rPr>
        <w:t>comunicados</w:t>
      </w:r>
      <w:r>
        <w:rPr>
          <w:color w:val="0D0E0E"/>
          <w:spacing w:val="-6"/>
        </w:rPr>
        <w:t> </w:t>
      </w:r>
      <w:r>
        <w:rPr>
          <w:color w:val="0D0E0E"/>
          <w:spacing w:val="-2"/>
        </w:rPr>
        <w:t>do</w:t>
      </w:r>
      <w:r>
        <w:rPr>
          <w:color w:val="0D0E0E"/>
          <w:spacing w:val="-6"/>
        </w:rPr>
        <w:t> </w:t>
      </w:r>
      <w:r>
        <w:rPr>
          <w:color w:val="0D0E0E"/>
          <w:spacing w:val="-2"/>
        </w:rPr>
        <w:t>Banco</w:t>
      </w:r>
      <w:r>
        <w:rPr>
          <w:color w:val="0D0E0E"/>
          <w:spacing w:val="-4"/>
        </w:rPr>
        <w:t> </w:t>
      </w:r>
      <w:r>
        <w:rPr>
          <w:color w:val="0D0E0E"/>
          <w:spacing w:val="-2"/>
        </w:rPr>
        <w:t>Central</w:t>
      </w:r>
      <w:r>
        <w:rPr>
          <w:color w:val="0D0E0E"/>
          <w:spacing w:val="-8"/>
        </w:rPr>
        <w:t> </w:t>
      </w:r>
      <w:r>
        <w:rPr>
          <w:color w:val="0D0E0E"/>
          <w:spacing w:val="-2"/>
        </w:rPr>
        <w:t>(Bacen)</w:t>
      </w:r>
      <w:r>
        <w:rPr>
          <w:color w:val="0D0E0E"/>
          <w:spacing w:val="-6"/>
        </w:rPr>
        <w:t> </w:t>
      </w:r>
      <w:r>
        <w:rPr>
          <w:color w:val="0D0E0E"/>
          <w:spacing w:val="-2"/>
        </w:rPr>
        <w:t>com</w:t>
      </w:r>
      <w:r>
        <w:rPr>
          <w:color w:val="0D0E0E"/>
          <w:spacing w:val="-7"/>
        </w:rPr>
        <w:t> </w:t>
      </w:r>
      <w:r>
        <w:rPr>
          <w:color w:val="0D0E0E"/>
          <w:spacing w:val="-2"/>
        </w:rPr>
        <w:t>o</w:t>
      </w:r>
      <w:r>
        <w:rPr>
          <w:color w:val="0D0E0E"/>
          <w:spacing w:val="-6"/>
        </w:rPr>
        <w:t> </w:t>
      </w:r>
      <w:r>
        <w:rPr>
          <w:color w:val="0D0E0E"/>
          <w:spacing w:val="-2"/>
        </w:rPr>
        <w:t>mercado,</w:t>
      </w:r>
      <w:r>
        <w:rPr>
          <w:color w:val="0D0E0E"/>
          <w:spacing w:val="-7"/>
        </w:rPr>
        <w:t> </w:t>
      </w:r>
      <w:r>
        <w:rPr>
          <w:color w:val="0D0E0E"/>
          <w:spacing w:val="-2"/>
        </w:rPr>
        <w:t>o</w:t>
      </w:r>
      <w:r>
        <w:rPr>
          <w:color w:val="0D0E0E"/>
          <w:spacing w:val="-5"/>
        </w:rPr>
        <w:t> </w:t>
      </w:r>
      <w:r>
        <w:rPr>
          <w:color w:val="0D0E0E"/>
          <w:spacing w:val="-2"/>
        </w:rPr>
        <w:t>Comitê</w:t>
      </w:r>
    </w:p>
    <w:p>
      <w:pPr>
        <w:pStyle w:val="BodyText"/>
        <w:spacing w:before="2"/>
        <w:ind w:left="184" w:right="1199"/>
      </w:pPr>
      <w:r>
        <w:rPr>
          <w:color w:val="0D0E0E"/>
        </w:rPr>
        <w:t>de Política Monetária (COPOM) realizou outro corte de 0,5 p.p na Taxa Selic, em linha com as expectativas do mercado.</w:t>
      </w:r>
    </w:p>
    <w:p>
      <w:pPr>
        <w:pStyle w:val="BodyText"/>
        <w:spacing w:before="239"/>
        <w:ind w:left="184" w:right="1253" w:firstLine="707"/>
        <w:jc w:val="both"/>
      </w:pPr>
      <w:r>
        <w:rPr>
          <w:color w:val="0D0E0E"/>
        </w:rPr>
        <w:t>A inflação, principal fator observado pelo Bacen, vem mostrando recuo e convergindo cada vez mais para dentro da meta estabelecida pelo CMN, ancorando as expectativas e possibilitando as reduções graduais de juros por parte do Banco Central presidido por Roberto Campos Neto. O comitê votou de maneira unânime na última reunião por uma redução de 0,5 p.p. Em comunicado, o Copom enfatizou que os membros</w:t>
      </w:r>
      <w:r>
        <w:rPr>
          <w:color w:val="0D0E0E"/>
          <w:spacing w:val="-5"/>
        </w:rPr>
        <w:t> </w:t>
      </w:r>
      <w:r>
        <w:rPr>
          <w:color w:val="0D0E0E"/>
        </w:rPr>
        <w:t>do</w:t>
      </w:r>
      <w:r>
        <w:rPr>
          <w:color w:val="0D0E0E"/>
          <w:spacing w:val="-5"/>
        </w:rPr>
        <w:t> </w:t>
      </w:r>
      <w:r>
        <w:rPr>
          <w:color w:val="0D0E0E"/>
        </w:rPr>
        <w:t>Comitê</w:t>
      </w:r>
      <w:r>
        <w:rPr>
          <w:color w:val="0D0E0E"/>
          <w:spacing w:val="-4"/>
        </w:rPr>
        <w:t> </w:t>
      </w:r>
      <w:r>
        <w:rPr>
          <w:color w:val="0D0E0E"/>
        </w:rPr>
        <w:t>preveem</w:t>
      </w:r>
      <w:r>
        <w:rPr>
          <w:color w:val="0D0E0E"/>
          <w:spacing w:val="-5"/>
        </w:rPr>
        <w:t> </w:t>
      </w:r>
      <w:r>
        <w:rPr>
          <w:color w:val="0D0E0E"/>
        </w:rPr>
        <w:t>cortes</w:t>
      </w:r>
      <w:r>
        <w:rPr>
          <w:color w:val="0D0E0E"/>
          <w:spacing w:val="-5"/>
        </w:rPr>
        <w:t> </w:t>
      </w:r>
      <w:r>
        <w:rPr>
          <w:color w:val="0D0E0E"/>
        </w:rPr>
        <w:t>de</w:t>
      </w:r>
      <w:r>
        <w:rPr>
          <w:color w:val="0D0E0E"/>
          <w:spacing w:val="-4"/>
        </w:rPr>
        <w:t> </w:t>
      </w:r>
      <w:r>
        <w:rPr>
          <w:color w:val="0D0E0E"/>
        </w:rPr>
        <w:t>mesma</w:t>
      </w:r>
      <w:r>
        <w:rPr>
          <w:color w:val="0D0E0E"/>
          <w:spacing w:val="-5"/>
        </w:rPr>
        <w:t> </w:t>
      </w:r>
      <w:r>
        <w:rPr>
          <w:color w:val="0D0E0E"/>
        </w:rPr>
        <w:t>magnitude</w:t>
      </w:r>
      <w:r>
        <w:rPr>
          <w:color w:val="0D0E0E"/>
          <w:spacing w:val="-4"/>
        </w:rPr>
        <w:t> </w:t>
      </w:r>
      <w:r>
        <w:rPr>
          <w:color w:val="0D0E0E"/>
        </w:rPr>
        <w:t>nas</w:t>
      </w:r>
      <w:r>
        <w:rPr>
          <w:color w:val="0D0E0E"/>
          <w:spacing w:val="-5"/>
        </w:rPr>
        <w:t> </w:t>
      </w:r>
      <w:r>
        <w:rPr>
          <w:color w:val="0D0E0E"/>
        </w:rPr>
        <w:t>próximas</w:t>
      </w:r>
      <w:r>
        <w:rPr>
          <w:color w:val="0D0E0E"/>
          <w:spacing w:val="-4"/>
        </w:rPr>
        <w:t> </w:t>
      </w:r>
      <w:r>
        <w:rPr>
          <w:color w:val="0D0E0E"/>
        </w:rPr>
        <w:t>reuniões</w:t>
      </w:r>
      <w:r>
        <w:rPr>
          <w:color w:val="0D0E0E"/>
          <w:spacing w:val="-5"/>
        </w:rPr>
        <w:t> </w:t>
      </w:r>
      <w:r>
        <w:rPr>
          <w:color w:val="0D0E0E"/>
        </w:rPr>
        <w:t>e</w:t>
      </w:r>
      <w:r>
        <w:rPr>
          <w:color w:val="0D0E0E"/>
          <w:spacing w:val="-4"/>
        </w:rPr>
        <w:t> </w:t>
      </w:r>
      <w:r>
        <w:rPr>
          <w:color w:val="0D0E0E"/>
        </w:rPr>
        <w:t>que o prazo de extensão dos cortes vai depender principalmente da evolução do processo inflacionário, além das expectativas de inflação e do hiato do produto.</w:t>
      </w:r>
    </w:p>
    <w:p>
      <w:pPr>
        <w:pStyle w:val="BodyText"/>
        <w:spacing w:before="241"/>
        <w:ind w:left="184" w:right="1254" w:firstLine="707"/>
        <w:jc w:val="both"/>
      </w:pPr>
      <w:r>
        <w:rPr>
          <w:color w:val="0D0E0E"/>
        </w:rPr>
        <w:t>A Taxa Selic, taxa básica de juros do Brasil, encontra-se em 11,75% ao ano, e apesar</w:t>
      </w:r>
      <w:r>
        <w:rPr>
          <w:color w:val="0D0E0E"/>
          <w:spacing w:val="-14"/>
        </w:rPr>
        <w:t> </w:t>
      </w:r>
      <w:r>
        <w:rPr>
          <w:color w:val="0D0E0E"/>
        </w:rPr>
        <w:t>do</w:t>
      </w:r>
      <w:r>
        <w:rPr>
          <w:color w:val="0D0E0E"/>
          <w:spacing w:val="-13"/>
        </w:rPr>
        <w:t> </w:t>
      </w:r>
      <w:r>
        <w:rPr>
          <w:color w:val="0D0E0E"/>
        </w:rPr>
        <w:t>corte</w:t>
      </w:r>
      <w:r>
        <w:rPr>
          <w:color w:val="0D0E0E"/>
          <w:spacing w:val="-13"/>
        </w:rPr>
        <w:t> </w:t>
      </w:r>
      <w:r>
        <w:rPr>
          <w:color w:val="0D0E0E"/>
        </w:rPr>
        <w:t>realizado,</w:t>
      </w:r>
      <w:r>
        <w:rPr>
          <w:color w:val="0D0E0E"/>
          <w:spacing w:val="-13"/>
        </w:rPr>
        <w:t> </w:t>
      </w:r>
      <w:r>
        <w:rPr>
          <w:color w:val="0D0E0E"/>
        </w:rPr>
        <w:t>Campos</w:t>
      </w:r>
      <w:r>
        <w:rPr>
          <w:color w:val="0D0E0E"/>
          <w:spacing w:val="-14"/>
        </w:rPr>
        <w:t> </w:t>
      </w:r>
      <w:r>
        <w:rPr>
          <w:color w:val="0D0E0E"/>
        </w:rPr>
        <w:t>Neto</w:t>
      </w:r>
      <w:r>
        <w:rPr>
          <w:color w:val="0D0E0E"/>
          <w:spacing w:val="-13"/>
        </w:rPr>
        <w:t> </w:t>
      </w:r>
      <w:r>
        <w:rPr>
          <w:color w:val="0D0E0E"/>
        </w:rPr>
        <w:t>reitera</w:t>
      </w:r>
      <w:r>
        <w:rPr>
          <w:color w:val="0D0E0E"/>
          <w:spacing w:val="-13"/>
        </w:rPr>
        <w:t> </w:t>
      </w:r>
      <w:r>
        <w:rPr>
          <w:color w:val="0D0E0E"/>
        </w:rPr>
        <w:t>a</w:t>
      </w:r>
      <w:r>
        <w:rPr>
          <w:color w:val="0D0E0E"/>
          <w:spacing w:val="-13"/>
        </w:rPr>
        <w:t> </w:t>
      </w:r>
      <w:r>
        <w:rPr>
          <w:color w:val="0D0E0E"/>
        </w:rPr>
        <w:t>necessidade</w:t>
      </w:r>
      <w:r>
        <w:rPr>
          <w:color w:val="0D0E0E"/>
          <w:spacing w:val="-13"/>
        </w:rPr>
        <w:t> </w:t>
      </w:r>
      <w:r>
        <w:rPr>
          <w:color w:val="0D0E0E"/>
        </w:rPr>
        <w:t>de</w:t>
      </w:r>
      <w:r>
        <w:rPr>
          <w:color w:val="0D0E0E"/>
          <w:spacing w:val="-14"/>
        </w:rPr>
        <w:t> </w:t>
      </w:r>
      <w:r>
        <w:rPr>
          <w:color w:val="0D0E0E"/>
        </w:rPr>
        <w:t>sólidos</w:t>
      </w:r>
      <w:r>
        <w:rPr>
          <w:color w:val="0D0E0E"/>
          <w:spacing w:val="-13"/>
        </w:rPr>
        <w:t> </w:t>
      </w:r>
      <w:r>
        <w:rPr>
          <w:color w:val="0D0E0E"/>
        </w:rPr>
        <w:t>pilares</w:t>
      </w:r>
      <w:r>
        <w:rPr>
          <w:color w:val="0D0E0E"/>
          <w:spacing w:val="-13"/>
        </w:rPr>
        <w:t> </w:t>
      </w:r>
      <w:r>
        <w:rPr>
          <w:color w:val="0D0E0E"/>
        </w:rPr>
        <w:t>para</w:t>
      </w:r>
      <w:r>
        <w:rPr>
          <w:color w:val="0D0E0E"/>
          <w:spacing w:val="-13"/>
        </w:rPr>
        <w:t> </w:t>
      </w:r>
      <w:r>
        <w:rPr>
          <w:color w:val="0D0E0E"/>
        </w:rPr>
        <w:t>que a continuidade dessas medidas seja realizada. Além da inflação sob controle, o presidente da instituição pontua com fervor a importância da questão fiscal que deve estar bem planejada.</w:t>
      </w:r>
    </w:p>
    <w:p>
      <w:pPr>
        <w:pStyle w:val="BodyText"/>
        <w:spacing w:before="240"/>
        <w:ind w:left="184" w:right="1257" w:firstLine="707"/>
        <w:jc w:val="both"/>
      </w:pPr>
      <w:r>
        <w:rPr>
          <w:color w:val="0D0E0E"/>
        </w:rPr>
        <w:t>Além</w:t>
      </w:r>
      <w:r>
        <w:rPr>
          <w:color w:val="0D0E0E"/>
          <w:spacing w:val="-2"/>
        </w:rPr>
        <w:t> </w:t>
      </w:r>
      <w:r>
        <w:rPr>
          <w:color w:val="0D0E0E"/>
        </w:rPr>
        <w:t>dos</w:t>
      </w:r>
      <w:r>
        <w:rPr>
          <w:color w:val="0D0E0E"/>
          <w:spacing w:val="-2"/>
        </w:rPr>
        <w:t> </w:t>
      </w:r>
      <w:r>
        <w:rPr>
          <w:color w:val="0D0E0E"/>
        </w:rPr>
        <w:t>desafios</w:t>
      </w:r>
      <w:r>
        <w:rPr>
          <w:color w:val="0D0E0E"/>
          <w:spacing w:val="-2"/>
        </w:rPr>
        <w:t> </w:t>
      </w:r>
      <w:r>
        <w:rPr>
          <w:color w:val="0D0E0E"/>
        </w:rPr>
        <w:t>internos, o</w:t>
      </w:r>
      <w:r>
        <w:rPr>
          <w:color w:val="0D0E0E"/>
          <w:spacing w:val="-2"/>
        </w:rPr>
        <w:t> </w:t>
      </w:r>
      <w:r>
        <w:rPr>
          <w:color w:val="0D0E0E"/>
        </w:rPr>
        <w:t>cenário</w:t>
      </w:r>
      <w:r>
        <w:rPr>
          <w:color w:val="0D0E0E"/>
          <w:spacing w:val="-2"/>
        </w:rPr>
        <w:t> </w:t>
      </w:r>
      <w:r>
        <w:rPr>
          <w:color w:val="0D0E0E"/>
        </w:rPr>
        <w:t>externo incerto</w:t>
      </w:r>
      <w:r>
        <w:rPr>
          <w:color w:val="0D0E0E"/>
          <w:spacing w:val="-1"/>
        </w:rPr>
        <w:t> </w:t>
      </w:r>
      <w:r>
        <w:rPr>
          <w:color w:val="0D0E0E"/>
        </w:rPr>
        <w:t>gerava</w:t>
      </w:r>
      <w:r>
        <w:rPr>
          <w:color w:val="0D0E0E"/>
          <w:spacing w:val="-1"/>
        </w:rPr>
        <w:t> </w:t>
      </w:r>
      <w:r>
        <w:rPr>
          <w:color w:val="0D0E0E"/>
        </w:rPr>
        <w:t>muita</w:t>
      </w:r>
      <w:r>
        <w:rPr>
          <w:color w:val="0D0E0E"/>
          <w:spacing w:val="-1"/>
        </w:rPr>
        <w:t> </w:t>
      </w:r>
      <w:r>
        <w:rPr>
          <w:color w:val="0D0E0E"/>
        </w:rPr>
        <w:t>insegurança. Com</w:t>
      </w:r>
      <w:r>
        <w:rPr>
          <w:color w:val="0D0E0E"/>
          <w:spacing w:val="-6"/>
        </w:rPr>
        <w:t> </w:t>
      </w:r>
      <w:r>
        <w:rPr>
          <w:color w:val="0D0E0E"/>
        </w:rPr>
        <w:t>a</w:t>
      </w:r>
      <w:r>
        <w:rPr>
          <w:color w:val="0D0E0E"/>
          <w:spacing w:val="-5"/>
        </w:rPr>
        <w:t> </w:t>
      </w:r>
      <w:r>
        <w:rPr>
          <w:color w:val="0D0E0E"/>
        </w:rPr>
        <w:t>curva</w:t>
      </w:r>
      <w:r>
        <w:rPr>
          <w:color w:val="0D0E0E"/>
          <w:spacing w:val="-5"/>
        </w:rPr>
        <w:t> </w:t>
      </w:r>
      <w:r>
        <w:rPr>
          <w:color w:val="0D0E0E"/>
        </w:rPr>
        <w:t>de</w:t>
      </w:r>
      <w:r>
        <w:rPr>
          <w:color w:val="0D0E0E"/>
          <w:spacing w:val="-4"/>
        </w:rPr>
        <w:t> </w:t>
      </w:r>
      <w:r>
        <w:rPr>
          <w:color w:val="0D0E0E"/>
        </w:rPr>
        <w:t>juros</w:t>
      </w:r>
      <w:r>
        <w:rPr>
          <w:color w:val="0D0E0E"/>
          <w:spacing w:val="-5"/>
        </w:rPr>
        <w:t> </w:t>
      </w:r>
      <w:r>
        <w:rPr>
          <w:color w:val="0D0E0E"/>
        </w:rPr>
        <w:t>dos</w:t>
      </w:r>
      <w:r>
        <w:rPr>
          <w:color w:val="0D0E0E"/>
          <w:spacing w:val="-5"/>
        </w:rPr>
        <w:t> </w:t>
      </w:r>
      <w:r>
        <w:rPr>
          <w:color w:val="0D0E0E"/>
        </w:rPr>
        <w:t>EUA</w:t>
      </w:r>
      <w:r>
        <w:rPr>
          <w:color w:val="0D0E0E"/>
          <w:spacing w:val="-5"/>
        </w:rPr>
        <w:t> </w:t>
      </w:r>
      <w:r>
        <w:rPr>
          <w:color w:val="0D0E0E"/>
        </w:rPr>
        <w:t>voltando</w:t>
      </w:r>
      <w:r>
        <w:rPr>
          <w:color w:val="0D0E0E"/>
          <w:spacing w:val="-5"/>
        </w:rPr>
        <w:t> </w:t>
      </w:r>
      <w:r>
        <w:rPr>
          <w:color w:val="0D0E0E"/>
        </w:rPr>
        <w:t>a</w:t>
      </w:r>
      <w:r>
        <w:rPr>
          <w:color w:val="0D0E0E"/>
          <w:spacing w:val="-5"/>
        </w:rPr>
        <w:t> </w:t>
      </w:r>
      <w:r>
        <w:rPr>
          <w:color w:val="0D0E0E"/>
        </w:rPr>
        <w:t>se</w:t>
      </w:r>
      <w:r>
        <w:rPr>
          <w:color w:val="0D0E0E"/>
          <w:spacing w:val="-4"/>
        </w:rPr>
        <w:t> </w:t>
      </w:r>
      <w:r>
        <w:rPr>
          <w:color w:val="0D0E0E"/>
        </w:rPr>
        <w:t>fechar,</w:t>
      </w:r>
      <w:r>
        <w:rPr>
          <w:color w:val="0D0E0E"/>
          <w:spacing w:val="-4"/>
        </w:rPr>
        <w:t> </w:t>
      </w:r>
      <w:r>
        <w:rPr>
          <w:color w:val="0D0E0E"/>
        </w:rPr>
        <w:t>a</w:t>
      </w:r>
      <w:r>
        <w:rPr>
          <w:color w:val="0D0E0E"/>
          <w:spacing w:val="-5"/>
        </w:rPr>
        <w:t> </w:t>
      </w:r>
      <w:r>
        <w:rPr>
          <w:color w:val="0D0E0E"/>
        </w:rPr>
        <w:t>inflação</w:t>
      </w:r>
      <w:r>
        <w:rPr>
          <w:color w:val="0D0E0E"/>
          <w:spacing w:val="-4"/>
        </w:rPr>
        <w:t> </w:t>
      </w:r>
      <w:r>
        <w:rPr>
          <w:color w:val="0D0E0E"/>
        </w:rPr>
        <w:t>global</w:t>
      </w:r>
      <w:r>
        <w:rPr>
          <w:color w:val="0D0E0E"/>
          <w:spacing w:val="-5"/>
        </w:rPr>
        <w:t> </w:t>
      </w:r>
      <w:r>
        <w:rPr>
          <w:color w:val="0D0E0E"/>
        </w:rPr>
        <w:t>mais</w:t>
      </w:r>
      <w:r>
        <w:rPr>
          <w:color w:val="0D0E0E"/>
          <w:spacing w:val="-4"/>
        </w:rPr>
        <w:t> </w:t>
      </w:r>
      <w:r>
        <w:rPr>
          <w:color w:val="0D0E0E"/>
        </w:rPr>
        <w:t>controlada</w:t>
      </w:r>
      <w:r>
        <w:rPr>
          <w:color w:val="0D0E0E"/>
          <w:spacing w:val="-5"/>
        </w:rPr>
        <w:t> </w:t>
      </w:r>
      <w:r>
        <w:rPr>
          <w:color w:val="0D0E0E"/>
        </w:rPr>
        <w:t>e</w:t>
      </w:r>
      <w:r>
        <w:rPr>
          <w:color w:val="0D0E0E"/>
          <w:spacing w:val="-4"/>
        </w:rPr>
        <w:t> </w:t>
      </w:r>
      <w:r>
        <w:rPr>
          <w:color w:val="0D0E0E"/>
        </w:rPr>
        <w:t>a perspectiva do fim dos ciclos de alta dos juros no redor do mundo voltaram a animar a </w:t>
      </w:r>
      <w:r>
        <w:rPr>
          <w:color w:val="0D0E0E"/>
          <w:spacing w:val="-2"/>
        </w:rPr>
        <w:t>economia.</w:t>
      </w:r>
    </w:p>
    <w:p>
      <w:pPr>
        <w:pStyle w:val="BodyText"/>
      </w:pPr>
    </w:p>
    <w:p>
      <w:pPr>
        <w:pStyle w:val="BodyText"/>
        <w:spacing w:before="198"/>
      </w:pPr>
    </w:p>
    <w:p>
      <w:pPr>
        <w:pStyle w:val="Heading3"/>
      </w:pPr>
      <w:r>
        <w:rPr>
          <w:color w:val="FF0000"/>
          <w:spacing w:val="-2"/>
        </w:rPr>
        <w:t>Inflação</w:t>
      </w:r>
    </w:p>
    <w:p>
      <w:pPr>
        <w:pStyle w:val="BodyText"/>
        <w:spacing w:before="242"/>
        <w:ind w:left="184" w:right="1261" w:firstLine="707"/>
        <w:jc w:val="both"/>
      </w:pPr>
      <w:r>
        <w:rPr>
          <w:color w:val="0D0E0E"/>
        </w:rPr>
        <w:t>O IPCA mais uma vez apresentou resultado abaixo do esperado pelo mercado, animando os investidores que esperam cortes de maior magnitude nas próximas reuniões do COPOM. Com alta de 0,28%, ante 0,24% em outubro, o índice teve sua alta puxada</w:t>
      </w:r>
      <w:r>
        <w:rPr>
          <w:color w:val="0D0E0E"/>
          <w:spacing w:val="-3"/>
        </w:rPr>
        <w:t> </w:t>
      </w:r>
      <w:r>
        <w:rPr>
          <w:color w:val="0D0E0E"/>
        </w:rPr>
        <w:t>principalmente</w:t>
      </w:r>
      <w:r>
        <w:rPr>
          <w:color w:val="0D0E0E"/>
          <w:spacing w:val="-2"/>
        </w:rPr>
        <w:t> </w:t>
      </w:r>
      <w:r>
        <w:rPr>
          <w:color w:val="0D0E0E"/>
        </w:rPr>
        <w:t>pelo</w:t>
      </w:r>
      <w:r>
        <w:rPr>
          <w:color w:val="0D0E0E"/>
          <w:spacing w:val="-2"/>
        </w:rPr>
        <w:t> </w:t>
      </w:r>
      <w:r>
        <w:rPr>
          <w:color w:val="0D0E0E"/>
        </w:rPr>
        <w:t>setor</w:t>
      </w:r>
      <w:r>
        <w:rPr>
          <w:color w:val="0D0E0E"/>
          <w:spacing w:val="-3"/>
        </w:rPr>
        <w:t> </w:t>
      </w:r>
      <w:r>
        <w:rPr>
          <w:color w:val="0D0E0E"/>
        </w:rPr>
        <w:t>de</w:t>
      </w:r>
      <w:r>
        <w:rPr>
          <w:color w:val="0D0E0E"/>
          <w:spacing w:val="-2"/>
        </w:rPr>
        <w:t> </w:t>
      </w:r>
      <w:r>
        <w:rPr>
          <w:color w:val="0D0E0E"/>
        </w:rPr>
        <w:t>Alimentação</w:t>
      </w:r>
      <w:r>
        <w:rPr>
          <w:color w:val="0D0E0E"/>
          <w:spacing w:val="-2"/>
        </w:rPr>
        <w:t> </w:t>
      </w:r>
      <w:r>
        <w:rPr>
          <w:color w:val="0D0E0E"/>
        </w:rPr>
        <w:t>e</w:t>
      </w:r>
      <w:r>
        <w:rPr>
          <w:color w:val="0D0E0E"/>
          <w:spacing w:val="-2"/>
        </w:rPr>
        <w:t> </w:t>
      </w:r>
      <w:r>
        <w:rPr>
          <w:color w:val="0D0E0E"/>
        </w:rPr>
        <w:t>Bebidas,</w:t>
      </w:r>
      <w:r>
        <w:rPr>
          <w:color w:val="0D0E0E"/>
          <w:spacing w:val="-1"/>
        </w:rPr>
        <w:t> </w:t>
      </w:r>
      <w:r>
        <w:rPr>
          <w:color w:val="0D0E0E"/>
        </w:rPr>
        <w:t>que</w:t>
      </w:r>
      <w:r>
        <w:rPr>
          <w:color w:val="0D0E0E"/>
          <w:spacing w:val="-2"/>
        </w:rPr>
        <w:t> </w:t>
      </w:r>
      <w:r>
        <w:rPr>
          <w:color w:val="0D0E0E"/>
        </w:rPr>
        <w:t>teve</w:t>
      </w:r>
      <w:r>
        <w:rPr>
          <w:color w:val="0D0E0E"/>
          <w:spacing w:val="-2"/>
        </w:rPr>
        <w:t> </w:t>
      </w:r>
      <w:r>
        <w:rPr>
          <w:color w:val="0D0E0E"/>
        </w:rPr>
        <w:t>alta</w:t>
      </w:r>
      <w:r>
        <w:rPr>
          <w:color w:val="0D0E0E"/>
          <w:spacing w:val="-2"/>
        </w:rPr>
        <w:t> </w:t>
      </w:r>
      <w:r>
        <w:rPr>
          <w:color w:val="0D0E0E"/>
        </w:rPr>
        <w:t>de</w:t>
      </w:r>
      <w:r>
        <w:rPr>
          <w:color w:val="0D0E0E"/>
          <w:spacing w:val="-2"/>
        </w:rPr>
        <w:t> </w:t>
      </w:r>
      <w:r>
        <w:rPr>
          <w:color w:val="0D0E0E"/>
        </w:rPr>
        <w:t>0,63%</w:t>
      </w:r>
      <w:r>
        <w:rPr>
          <w:color w:val="0D0E0E"/>
          <w:spacing w:val="-2"/>
        </w:rPr>
        <w:t> </w:t>
      </w:r>
      <w:r>
        <w:rPr>
          <w:color w:val="0D0E0E"/>
        </w:rPr>
        <w:t>e</w:t>
      </w:r>
      <w:r>
        <w:rPr>
          <w:color w:val="0D0E0E"/>
          <w:spacing w:val="-2"/>
        </w:rPr>
        <w:t> </w:t>
      </w:r>
      <w:r>
        <w:rPr>
          <w:color w:val="0D0E0E"/>
        </w:rPr>
        <w:t>o maior impacto no índice (0,13 p.p.)</w:t>
      </w:r>
    </w:p>
    <w:p>
      <w:pPr>
        <w:pStyle w:val="BodyText"/>
        <w:spacing w:after="0"/>
        <w:jc w:val="both"/>
        <w:sectPr>
          <w:pgSz w:w="11920" w:h="16850"/>
          <w:pgMar w:top="1340" w:bottom="280" w:left="1417" w:right="141"/>
        </w:sectPr>
      </w:pPr>
    </w:p>
    <w:p>
      <w:pPr>
        <w:pStyle w:val="Heading4"/>
        <w:ind w:left="711"/>
      </w:pPr>
      <w:r>
        <w:rPr>
          <w:color w:val="0D0E0E"/>
        </w:rPr>
        <w:t>IPCA</w:t>
      </w:r>
      <w:r>
        <w:rPr>
          <w:color w:val="0D0E0E"/>
          <w:spacing w:val="-3"/>
        </w:rPr>
        <w:t> </w:t>
      </w:r>
      <w:r>
        <w:rPr>
          <w:color w:val="0D0E0E"/>
        </w:rPr>
        <w:t>Mensal</w:t>
      </w:r>
      <w:r>
        <w:rPr>
          <w:color w:val="0D0E0E"/>
          <w:spacing w:val="-1"/>
        </w:rPr>
        <w:t> </w:t>
      </w:r>
      <w:r>
        <w:rPr>
          <w:color w:val="0D0E0E"/>
        </w:rPr>
        <w:t>–</w:t>
      </w:r>
      <w:r>
        <w:rPr>
          <w:color w:val="0D0E0E"/>
          <w:spacing w:val="-2"/>
        </w:rPr>
        <w:t> Brasil:</w:t>
      </w:r>
    </w:p>
    <w:p>
      <w:pPr>
        <w:pStyle w:val="BodyText"/>
        <w:spacing w:before="5"/>
        <w:rPr>
          <w:b/>
          <w:sz w:val="5"/>
        </w:rPr>
      </w:pPr>
      <w:r>
        <w:rPr>
          <w:b/>
          <w:sz w:val="5"/>
        </w:rPr>
        <w:drawing>
          <wp:anchor distT="0" distB="0" distL="0" distR="0" allowOverlap="1" layoutInCell="1" locked="0" behindDoc="1" simplePos="0" relativeHeight="487600640">
            <wp:simplePos x="0" y="0"/>
            <wp:positionH relativeFrom="page">
              <wp:posOffset>1016000</wp:posOffset>
            </wp:positionH>
            <wp:positionV relativeFrom="paragraph">
              <wp:posOffset>55773</wp:posOffset>
            </wp:positionV>
            <wp:extent cx="5648574" cy="2552319"/>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33" cstate="print"/>
                    <a:stretch>
                      <a:fillRect/>
                    </a:stretch>
                  </pic:blipFill>
                  <pic:spPr>
                    <a:xfrm>
                      <a:off x="0" y="0"/>
                      <a:ext cx="5648574" cy="2552319"/>
                    </a:xfrm>
                    <a:prstGeom prst="rect">
                      <a:avLst/>
                    </a:prstGeom>
                  </pic:spPr>
                </pic:pic>
              </a:graphicData>
            </a:graphic>
          </wp:anchor>
        </w:drawing>
      </w:r>
    </w:p>
    <w:p>
      <w:pPr>
        <w:spacing w:before="8"/>
        <w:ind w:left="710" w:right="1073" w:firstLine="0"/>
        <w:jc w:val="center"/>
        <w:rPr>
          <w:rFonts w:ascii="Calibri"/>
          <w:i/>
          <w:sz w:val="20"/>
        </w:rPr>
      </w:pPr>
      <w:r>
        <w:rPr>
          <w:rFonts w:ascii="Calibri"/>
          <w:i/>
          <w:color w:val="0D0E0E"/>
          <w:spacing w:val="-2"/>
          <w:sz w:val="20"/>
        </w:rPr>
        <w:t>https://tradingeconomics.com/brazil/inflation-rate-</w:t>
      </w:r>
      <w:r>
        <w:rPr>
          <w:rFonts w:ascii="Calibri"/>
          <w:i/>
          <w:color w:val="0D0E0E"/>
          <w:spacing w:val="-5"/>
          <w:sz w:val="20"/>
        </w:rPr>
        <w:t>mom</w:t>
      </w:r>
    </w:p>
    <w:p>
      <w:pPr>
        <w:pStyle w:val="BodyText"/>
        <w:rPr>
          <w:rFonts w:ascii="Calibri"/>
          <w:i/>
          <w:sz w:val="20"/>
        </w:rPr>
      </w:pPr>
    </w:p>
    <w:p>
      <w:pPr>
        <w:pStyle w:val="BodyText"/>
        <w:rPr>
          <w:rFonts w:ascii="Calibri"/>
          <w:i/>
          <w:sz w:val="20"/>
        </w:rPr>
      </w:pPr>
    </w:p>
    <w:p>
      <w:pPr>
        <w:pStyle w:val="BodyText"/>
        <w:spacing w:before="27"/>
        <w:rPr>
          <w:rFonts w:ascii="Calibri"/>
          <w:i/>
          <w:sz w:val="20"/>
        </w:rPr>
      </w:pPr>
    </w:p>
    <w:p>
      <w:pPr>
        <w:pStyle w:val="BodyText"/>
        <w:ind w:left="184" w:right="1259" w:firstLine="707"/>
        <w:jc w:val="both"/>
      </w:pPr>
      <w:r>
        <w:rPr>
          <w:color w:val="0D0E0E"/>
        </w:rPr>
        <w:t>No acumulado no ano, o IPCA tem alta de 4,04%, o que indica que a inflação vai ficar dentro da meta deste ano, pelo menos dentro do teto de variação. A meta de 2023 é</w:t>
      </w:r>
      <w:r>
        <w:rPr>
          <w:color w:val="0D0E0E"/>
          <w:spacing w:val="-14"/>
        </w:rPr>
        <w:t> </w:t>
      </w:r>
      <w:r>
        <w:rPr>
          <w:color w:val="0D0E0E"/>
        </w:rPr>
        <w:t>de</w:t>
      </w:r>
      <w:r>
        <w:rPr>
          <w:color w:val="0D0E0E"/>
          <w:spacing w:val="-13"/>
        </w:rPr>
        <w:t> </w:t>
      </w:r>
      <w:r>
        <w:rPr>
          <w:color w:val="0D0E0E"/>
        </w:rPr>
        <w:t>3,25%,</w:t>
      </w:r>
      <w:r>
        <w:rPr>
          <w:color w:val="0D0E0E"/>
          <w:spacing w:val="-13"/>
        </w:rPr>
        <w:t> </w:t>
      </w:r>
      <w:r>
        <w:rPr>
          <w:color w:val="0D0E0E"/>
        </w:rPr>
        <w:t>porém,</w:t>
      </w:r>
      <w:r>
        <w:rPr>
          <w:color w:val="0D0E0E"/>
          <w:spacing w:val="-13"/>
        </w:rPr>
        <w:t> </w:t>
      </w:r>
      <w:r>
        <w:rPr>
          <w:color w:val="0D0E0E"/>
        </w:rPr>
        <w:t>existe</w:t>
      </w:r>
      <w:r>
        <w:rPr>
          <w:color w:val="0D0E0E"/>
          <w:spacing w:val="-14"/>
        </w:rPr>
        <w:t> </w:t>
      </w:r>
      <w:r>
        <w:rPr>
          <w:color w:val="0D0E0E"/>
        </w:rPr>
        <w:t>uma</w:t>
      </w:r>
      <w:r>
        <w:rPr>
          <w:color w:val="0D0E0E"/>
          <w:spacing w:val="-13"/>
        </w:rPr>
        <w:t> </w:t>
      </w:r>
      <w:r>
        <w:rPr>
          <w:color w:val="0D0E0E"/>
        </w:rPr>
        <w:t>variação</w:t>
      </w:r>
      <w:r>
        <w:rPr>
          <w:color w:val="0D0E0E"/>
          <w:spacing w:val="-13"/>
        </w:rPr>
        <w:t> </w:t>
      </w:r>
      <w:r>
        <w:rPr>
          <w:color w:val="0D0E0E"/>
        </w:rPr>
        <w:t>aceitável</w:t>
      </w:r>
      <w:r>
        <w:rPr>
          <w:color w:val="0D0E0E"/>
          <w:spacing w:val="-13"/>
        </w:rPr>
        <w:t> </w:t>
      </w:r>
      <w:r>
        <w:rPr>
          <w:color w:val="0D0E0E"/>
        </w:rPr>
        <w:t>de</w:t>
      </w:r>
      <w:r>
        <w:rPr>
          <w:color w:val="0D0E0E"/>
          <w:spacing w:val="-13"/>
        </w:rPr>
        <w:t> </w:t>
      </w:r>
      <w:r>
        <w:rPr>
          <w:color w:val="0D0E0E"/>
        </w:rPr>
        <w:t>1,5%</w:t>
      </w:r>
      <w:r>
        <w:rPr>
          <w:color w:val="0D0E0E"/>
          <w:spacing w:val="-14"/>
        </w:rPr>
        <w:t> </w:t>
      </w:r>
      <w:r>
        <w:rPr>
          <w:color w:val="0D0E0E"/>
        </w:rPr>
        <w:t>da</w:t>
      </w:r>
      <w:r>
        <w:rPr>
          <w:color w:val="0D0E0E"/>
          <w:spacing w:val="-13"/>
        </w:rPr>
        <w:t> </w:t>
      </w:r>
      <w:r>
        <w:rPr>
          <w:color w:val="0D0E0E"/>
        </w:rPr>
        <w:t>meta,</w:t>
      </w:r>
      <w:r>
        <w:rPr>
          <w:color w:val="0D0E0E"/>
          <w:spacing w:val="-13"/>
        </w:rPr>
        <w:t> </w:t>
      </w:r>
      <w:r>
        <w:rPr>
          <w:color w:val="0D0E0E"/>
        </w:rPr>
        <w:t>tanto</w:t>
      </w:r>
      <w:r>
        <w:rPr>
          <w:color w:val="0D0E0E"/>
          <w:spacing w:val="-13"/>
        </w:rPr>
        <w:t> </w:t>
      </w:r>
      <w:r>
        <w:rPr>
          <w:color w:val="0D0E0E"/>
        </w:rPr>
        <w:t>para</w:t>
      </w:r>
      <w:r>
        <w:rPr>
          <w:color w:val="0D0E0E"/>
          <w:spacing w:val="-13"/>
        </w:rPr>
        <w:t> </w:t>
      </w:r>
      <w:r>
        <w:rPr>
          <w:color w:val="0D0E0E"/>
        </w:rPr>
        <w:t>cima</w:t>
      </w:r>
      <w:r>
        <w:rPr>
          <w:color w:val="0D0E0E"/>
          <w:spacing w:val="-14"/>
        </w:rPr>
        <w:t> </w:t>
      </w:r>
      <w:r>
        <w:rPr>
          <w:color w:val="0D0E0E"/>
        </w:rPr>
        <w:t>como para baixo, ou seja, o teto da meta é 4,75%.</w:t>
      </w:r>
    </w:p>
    <w:p>
      <w:pPr>
        <w:pStyle w:val="BodyText"/>
      </w:pPr>
    </w:p>
    <w:p>
      <w:pPr>
        <w:pStyle w:val="BodyText"/>
        <w:spacing w:before="247"/>
      </w:pPr>
    </w:p>
    <w:p>
      <w:pPr>
        <w:pStyle w:val="Heading1"/>
        <w:spacing w:before="0"/>
      </w:pPr>
      <w:r>
        <w:rPr>
          <w:color w:val="0D0E0E"/>
        </w:rPr>
        <w:t>INDICADORES</w:t>
      </w:r>
      <w:r>
        <w:rPr>
          <w:color w:val="0D0E0E"/>
          <w:spacing w:val="-7"/>
        </w:rPr>
        <w:t> </w:t>
      </w:r>
      <w:r>
        <w:rPr>
          <w:color w:val="0D0E0E"/>
        </w:rPr>
        <w:t>DE</w:t>
      </w:r>
      <w:r>
        <w:rPr>
          <w:color w:val="0D0E0E"/>
          <w:spacing w:val="-5"/>
        </w:rPr>
        <w:t> </w:t>
      </w:r>
      <w:r>
        <w:rPr>
          <w:color w:val="0D0E0E"/>
          <w:spacing w:val="-2"/>
        </w:rPr>
        <w:t>ATIVIDADE</w:t>
      </w:r>
    </w:p>
    <w:p>
      <w:pPr>
        <w:pStyle w:val="Heading3"/>
        <w:spacing w:before="239"/>
      </w:pPr>
      <w:r>
        <w:rPr>
          <w:color w:val="FF0000"/>
          <w:spacing w:val="-4"/>
        </w:rPr>
        <w:t>IBC-</w:t>
      </w:r>
      <w:r>
        <w:rPr>
          <w:color w:val="FF0000"/>
          <w:spacing w:val="-5"/>
        </w:rPr>
        <w:t>Br</w:t>
      </w:r>
    </w:p>
    <w:p>
      <w:pPr>
        <w:pStyle w:val="BodyText"/>
        <w:spacing w:line="281" w:lineRule="exact" w:before="242"/>
        <w:ind w:left="892"/>
      </w:pPr>
      <w:r>
        <w:rPr>
          <w:color w:val="0D0E0E"/>
        </w:rPr>
        <w:t>O</w:t>
      </w:r>
      <w:r>
        <w:rPr>
          <w:color w:val="0D0E0E"/>
          <w:spacing w:val="-2"/>
        </w:rPr>
        <w:t> </w:t>
      </w:r>
      <w:r>
        <w:rPr>
          <w:color w:val="0D0E0E"/>
        </w:rPr>
        <w:t>IBC-Br,</w:t>
      </w:r>
      <w:r>
        <w:rPr>
          <w:color w:val="0D0E0E"/>
          <w:spacing w:val="-1"/>
        </w:rPr>
        <w:t> </w:t>
      </w:r>
      <w:r>
        <w:rPr>
          <w:color w:val="0D0E0E"/>
        </w:rPr>
        <w:t>que</w:t>
      </w:r>
      <w:r>
        <w:rPr>
          <w:color w:val="0D0E0E"/>
          <w:spacing w:val="-1"/>
        </w:rPr>
        <w:t> </w:t>
      </w:r>
      <w:r>
        <w:rPr>
          <w:color w:val="0D0E0E"/>
        </w:rPr>
        <w:t>é</w:t>
      </w:r>
      <w:r>
        <w:rPr>
          <w:color w:val="0D0E0E"/>
          <w:spacing w:val="-1"/>
        </w:rPr>
        <w:t> </w:t>
      </w:r>
      <w:r>
        <w:rPr>
          <w:color w:val="0D0E0E"/>
        </w:rPr>
        <w:t>considerado um</w:t>
      </w:r>
      <w:r>
        <w:rPr>
          <w:color w:val="0D0E0E"/>
          <w:spacing w:val="-2"/>
        </w:rPr>
        <w:t> </w:t>
      </w:r>
      <w:r>
        <w:rPr>
          <w:color w:val="0D0E0E"/>
        </w:rPr>
        <w:t>indicador</w:t>
      </w:r>
      <w:r>
        <w:rPr>
          <w:color w:val="0D0E0E"/>
          <w:spacing w:val="-3"/>
        </w:rPr>
        <w:t> </w:t>
      </w:r>
      <w:r>
        <w:rPr>
          <w:color w:val="0D0E0E"/>
        </w:rPr>
        <w:t>que</w:t>
      </w:r>
      <w:r>
        <w:rPr>
          <w:color w:val="0D0E0E"/>
          <w:spacing w:val="-4"/>
        </w:rPr>
        <w:t> </w:t>
      </w:r>
      <w:r>
        <w:rPr>
          <w:color w:val="0D0E0E"/>
        </w:rPr>
        <w:t>prevê</w:t>
      </w:r>
      <w:r>
        <w:rPr>
          <w:color w:val="0D0E0E"/>
          <w:spacing w:val="-1"/>
        </w:rPr>
        <w:t> </w:t>
      </w:r>
      <w:r>
        <w:rPr>
          <w:color w:val="0D0E0E"/>
        </w:rPr>
        <w:t>o PIB,</w:t>
      </w:r>
      <w:r>
        <w:rPr>
          <w:color w:val="0D0E0E"/>
          <w:spacing w:val="-1"/>
        </w:rPr>
        <w:t> </w:t>
      </w:r>
      <w:r>
        <w:rPr>
          <w:color w:val="0D0E0E"/>
        </w:rPr>
        <w:t>trouxe</w:t>
      </w:r>
      <w:r>
        <w:rPr>
          <w:color w:val="0D0E0E"/>
          <w:spacing w:val="-1"/>
        </w:rPr>
        <w:t> </w:t>
      </w:r>
      <w:r>
        <w:rPr>
          <w:color w:val="0D0E0E"/>
        </w:rPr>
        <w:t>um dado </w:t>
      </w:r>
      <w:r>
        <w:rPr>
          <w:color w:val="0D0E0E"/>
          <w:spacing w:val="-4"/>
        </w:rPr>
        <w:t>para</w:t>
      </w:r>
    </w:p>
    <w:p>
      <w:pPr>
        <w:pStyle w:val="BodyText"/>
        <w:ind w:left="184" w:right="1199"/>
      </w:pPr>
      <w:r>
        <w:rPr>
          <w:color w:val="0D0E0E"/>
        </w:rPr>
        <w:t>o</w:t>
      </w:r>
      <w:r>
        <w:rPr>
          <w:color w:val="0D0E0E"/>
          <w:spacing w:val="24"/>
        </w:rPr>
        <w:t> </w:t>
      </w:r>
      <w:r>
        <w:rPr>
          <w:color w:val="0D0E0E"/>
        </w:rPr>
        <w:t>3º</w:t>
      </w:r>
      <w:r>
        <w:rPr>
          <w:color w:val="0D0E0E"/>
          <w:spacing w:val="24"/>
        </w:rPr>
        <w:t> </w:t>
      </w:r>
      <w:r>
        <w:rPr>
          <w:color w:val="0D0E0E"/>
        </w:rPr>
        <w:t>trimestre</w:t>
      </w:r>
      <w:r>
        <w:rPr>
          <w:color w:val="0D0E0E"/>
          <w:spacing w:val="25"/>
        </w:rPr>
        <w:t> </w:t>
      </w:r>
      <w:r>
        <w:rPr>
          <w:color w:val="0D0E0E"/>
        </w:rPr>
        <w:t>abaixo</w:t>
      </w:r>
      <w:r>
        <w:rPr>
          <w:color w:val="0D0E0E"/>
          <w:spacing w:val="24"/>
        </w:rPr>
        <w:t> </w:t>
      </w:r>
      <w:r>
        <w:rPr>
          <w:color w:val="0D0E0E"/>
        </w:rPr>
        <w:t>das</w:t>
      </w:r>
      <w:r>
        <w:rPr>
          <w:color w:val="0D0E0E"/>
          <w:spacing w:val="24"/>
        </w:rPr>
        <w:t> </w:t>
      </w:r>
      <w:r>
        <w:rPr>
          <w:color w:val="0D0E0E"/>
        </w:rPr>
        <w:t>expectativas</w:t>
      </w:r>
      <w:r>
        <w:rPr>
          <w:color w:val="0D0E0E"/>
          <w:spacing w:val="25"/>
        </w:rPr>
        <w:t> </w:t>
      </w:r>
      <w:r>
        <w:rPr>
          <w:color w:val="0D0E0E"/>
        </w:rPr>
        <w:t>de</w:t>
      </w:r>
      <w:r>
        <w:rPr>
          <w:color w:val="0D0E0E"/>
          <w:spacing w:val="24"/>
        </w:rPr>
        <w:t> </w:t>
      </w:r>
      <w:r>
        <w:rPr>
          <w:color w:val="0D0E0E"/>
        </w:rPr>
        <w:t>mercado.</w:t>
      </w:r>
      <w:r>
        <w:rPr>
          <w:color w:val="0D0E0E"/>
          <w:spacing w:val="24"/>
        </w:rPr>
        <w:t> </w:t>
      </w:r>
      <w:r>
        <w:rPr>
          <w:color w:val="0D0E0E"/>
        </w:rPr>
        <w:t>A</w:t>
      </w:r>
      <w:r>
        <w:rPr>
          <w:color w:val="0D0E0E"/>
          <w:spacing w:val="24"/>
        </w:rPr>
        <w:t> </w:t>
      </w:r>
      <w:r>
        <w:rPr>
          <w:color w:val="0D0E0E"/>
        </w:rPr>
        <w:t>projeção</w:t>
      </w:r>
      <w:r>
        <w:rPr>
          <w:color w:val="0D0E0E"/>
          <w:spacing w:val="25"/>
        </w:rPr>
        <w:t> </w:t>
      </w:r>
      <w:r>
        <w:rPr>
          <w:color w:val="0D0E0E"/>
        </w:rPr>
        <w:t>era de</w:t>
      </w:r>
      <w:r>
        <w:rPr>
          <w:color w:val="0D0E0E"/>
          <w:spacing w:val="24"/>
        </w:rPr>
        <w:t> </w:t>
      </w:r>
      <w:r>
        <w:rPr>
          <w:color w:val="0D0E0E"/>
        </w:rPr>
        <w:t>0,20%</w:t>
      </w:r>
      <w:r>
        <w:rPr>
          <w:color w:val="0D0E0E"/>
          <w:spacing w:val="25"/>
        </w:rPr>
        <w:t> </w:t>
      </w:r>
      <w:r>
        <w:rPr>
          <w:color w:val="0D0E0E"/>
        </w:rPr>
        <w:t>de</w:t>
      </w:r>
      <w:r>
        <w:rPr>
          <w:color w:val="0D0E0E"/>
          <w:spacing w:val="24"/>
        </w:rPr>
        <w:t> </w:t>
      </w:r>
      <w:r>
        <w:rPr>
          <w:color w:val="0D0E0E"/>
        </w:rPr>
        <w:t>alta, porém o resultado veio em queda de -0,64%.</w:t>
      </w:r>
    </w:p>
    <w:p>
      <w:pPr>
        <w:pStyle w:val="BodyText"/>
        <w:spacing w:before="239"/>
        <w:ind w:left="184" w:right="1262" w:firstLine="707"/>
        <w:jc w:val="both"/>
      </w:pPr>
      <w:r>
        <w:rPr>
          <w:color w:val="0D0E0E"/>
        </w:rPr>
        <w:t>Essa queda, ainda que não seja o resultado oficial divulgado pelo IBGE, não surpreende o mercado pois os indicadores antecedentes, como o PMI, apontavam para um fraco desempenho do setor de serviços no 3º trimestre.</w:t>
      </w:r>
    </w:p>
    <w:p>
      <w:pPr>
        <w:pStyle w:val="BodyText"/>
        <w:spacing w:before="240"/>
        <w:ind w:left="184" w:right="1260" w:firstLine="707"/>
        <w:jc w:val="both"/>
      </w:pPr>
      <w:r>
        <w:rPr>
          <w:color w:val="0D0E0E"/>
        </w:rPr>
        <w:t>Além</w:t>
      </w:r>
      <w:r>
        <w:rPr>
          <w:color w:val="0D0E0E"/>
          <w:spacing w:val="-6"/>
        </w:rPr>
        <w:t> </w:t>
      </w:r>
      <w:r>
        <w:rPr>
          <w:color w:val="0D0E0E"/>
        </w:rPr>
        <w:t>do</w:t>
      </w:r>
      <w:r>
        <w:rPr>
          <w:color w:val="0D0E0E"/>
          <w:spacing w:val="-6"/>
        </w:rPr>
        <w:t> </w:t>
      </w:r>
      <w:r>
        <w:rPr>
          <w:color w:val="0D0E0E"/>
        </w:rPr>
        <w:t>mais,</w:t>
      </w:r>
      <w:r>
        <w:rPr>
          <w:color w:val="0D0E0E"/>
          <w:spacing w:val="-5"/>
        </w:rPr>
        <w:t> </w:t>
      </w:r>
      <w:r>
        <w:rPr>
          <w:color w:val="0D0E0E"/>
        </w:rPr>
        <w:t>a</w:t>
      </w:r>
      <w:r>
        <w:rPr>
          <w:color w:val="0D0E0E"/>
          <w:spacing w:val="-8"/>
        </w:rPr>
        <w:t> </w:t>
      </w:r>
      <w:r>
        <w:rPr>
          <w:color w:val="0D0E0E"/>
        </w:rPr>
        <w:t>produção</w:t>
      </w:r>
      <w:r>
        <w:rPr>
          <w:color w:val="0D0E0E"/>
          <w:spacing w:val="-6"/>
        </w:rPr>
        <w:t> </w:t>
      </w:r>
      <w:r>
        <w:rPr>
          <w:color w:val="0D0E0E"/>
        </w:rPr>
        <w:t>do</w:t>
      </w:r>
      <w:r>
        <w:rPr>
          <w:color w:val="0D0E0E"/>
          <w:spacing w:val="-6"/>
        </w:rPr>
        <w:t> </w:t>
      </w:r>
      <w:r>
        <w:rPr>
          <w:color w:val="0D0E0E"/>
        </w:rPr>
        <w:t>minério</w:t>
      </w:r>
      <w:r>
        <w:rPr>
          <w:color w:val="0D0E0E"/>
          <w:spacing w:val="-8"/>
        </w:rPr>
        <w:t> </w:t>
      </w:r>
      <w:r>
        <w:rPr>
          <w:color w:val="0D0E0E"/>
        </w:rPr>
        <w:t>de</w:t>
      </w:r>
      <w:r>
        <w:rPr>
          <w:color w:val="0D0E0E"/>
          <w:spacing w:val="-5"/>
        </w:rPr>
        <w:t> </w:t>
      </w:r>
      <w:r>
        <w:rPr>
          <w:color w:val="0D0E0E"/>
        </w:rPr>
        <w:t>ferro</w:t>
      </w:r>
      <w:r>
        <w:rPr>
          <w:color w:val="0D0E0E"/>
          <w:spacing w:val="-9"/>
        </w:rPr>
        <w:t> </w:t>
      </w:r>
      <w:r>
        <w:rPr>
          <w:color w:val="0D0E0E"/>
        </w:rPr>
        <w:t>brasileiro</w:t>
      </w:r>
      <w:r>
        <w:rPr>
          <w:color w:val="0D0E0E"/>
          <w:spacing w:val="-6"/>
        </w:rPr>
        <w:t> </w:t>
      </w:r>
      <w:r>
        <w:rPr>
          <w:color w:val="0D0E0E"/>
        </w:rPr>
        <w:t>no</w:t>
      </w:r>
      <w:r>
        <w:rPr>
          <w:color w:val="0D0E0E"/>
          <w:spacing w:val="-6"/>
        </w:rPr>
        <w:t> </w:t>
      </w:r>
      <w:r>
        <w:rPr>
          <w:color w:val="0D0E0E"/>
        </w:rPr>
        <w:t>3º</w:t>
      </w:r>
      <w:r>
        <w:rPr>
          <w:color w:val="0D0E0E"/>
          <w:spacing w:val="-8"/>
        </w:rPr>
        <w:t> </w:t>
      </w:r>
      <w:r>
        <w:rPr>
          <w:color w:val="0D0E0E"/>
        </w:rPr>
        <w:t>trimestre</w:t>
      </w:r>
      <w:r>
        <w:rPr>
          <w:color w:val="0D0E0E"/>
          <w:spacing w:val="-5"/>
        </w:rPr>
        <w:t> </w:t>
      </w:r>
      <w:r>
        <w:rPr>
          <w:color w:val="0D0E0E"/>
        </w:rPr>
        <w:t>também contou com uma queda de -3,9% no período.</w:t>
      </w:r>
    </w:p>
    <w:p>
      <w:pPr>
        <w:pStyle w:val="BodyText"/>
        <w:spacing w:before="242"/>
        <w:ind w:left="184" w:right="1258" w:firstLine="707"/>
        <w:jc w:val="both"/>
      </w:pPr>
      <w:r>
        <w:rPr>
          <w:color w:val="0D0E0E"/>
        </w:rPr>
        <w:t>A divulgação do IBC-Br aconteceria dia 15 de dezembro, porém, foi adiada pelo Banco Central para 20 de dezembro, devido a mobilização dos servidores.</w:t>
      </w:r>
    </w:p>
    <w:p>
      <w:pPr>
        <w:pStyle w:val="BodyText"/>
        <w:rPr>
          <w:sz w:val="26"/>
        </w:rPr>
      </w:pPr>
    </w:p>
    <w:p>
      <w:pPr>
        <w:pStyle w:val="BodyText"/>
        <w:spacing w:before="150"/>
        <w:rPr>
          <w:sz w:val="26"/>
        </w:rPr>
      </w:pPr>
    </w:p>
    <w:p>
      <w:pPr>
        <w:pStyle w:val="Heading2"/>
      </w:pPr>
      <w:r>
        <w:rPr>
          <w:color w:val="FF0000"/>
          <w:spacing w:val="-5"/>
        </w:rPr>
        <w:t>PMI</w:t>
      </w:r>
    </w:p>
    <w:p>
      <w:pPr>
        <w:pStyle w:val="BodyText"/>
        <w:spacing w:line="281" w:lineRule="exact" w:before="242"/>
        <w:ind w:left="892"/>
      </w:pPr>
      <w:r>
        <w:rPr>
          <w:color w:val="0D0E0E"/>
        </w:rPr>
        <w:t>O</w:t>
      </w:r>
      <w:r>
        <w:rPr>
          <w:color w:val="0D0E0E"/>
          <w:spacing w:val="-11"/>
        </w:rPr>
        <w:t> </w:t>
      </w:r>
      <w:r>
        <w:rPr>
          <w:color w:val="0D0E0E"/>
        </w:rPr>
        <w:t>PMI</w:t>
      </w:r>
      <w:r>
        <w:rPr>
          <w:color w:val="0D0E0E"/>
          <w:spacing w:val="-11"/>
        </w:rPr>
        <w:t> </w:t>
      </w:r>
      <w:r>
        <w:rPr>
          <w:color w:val="0D0E0E"/>
        </w:rPr>
        <w:t>de</w:t>
      </w:r>
      <w:r>
        <w:rPr>
          <w:color w:val="0D0E0E"/>
          <w:spacing w:val="-12"/>
        </w:rPr>
        <w:t> </w:t>
      </w:r>
      <w:r>
        <w:rPr>
          <w:color w:val="0D0E0E"/>
        </w:rPr>
        <w:t>Serviços</w:t>
      </w:r>
      <w:r>
        <w:rPr>
          <w:color w:val="0D0E0E"/>
          <w:spacing w:val="-10"/>
        </w:rPr>
        <w:t> </w:t>
      </w:r>
      <w:r>
        <w:rPr>
          <w:color w:val="0D0E0E"/>
        </w:rPr>
        <w:t>apresentou</w:t>
      </w:r>
      <w:r>
        <w:rPr>
          <w:color w:val="0D0E0E"/>
          <w:spacing w:val="-10"/>
        </w:rPr>
        <w:t> </w:t>
      </w:r>
      <w:r>
        <w:rPr>
          <w:color w:val="0D0E0E"/>
        </w:rPr>
        <w:t>pelo</w:t>
      </w:r>
      <w:r>
        <w:rPr>
          <w:color w:val="0D0E0E"/>
          <w:spacing w:val="-9"/>
        </w:rPr>
        <w:t> </w:t>
      </w:r>
      <w:r>
        <w:rPr>
          <w:color w:val="0D0E0E"/>
        </w:rPr>
        <w:t>segundo</w:t>
      </w:r>
      <w:r>
        <w:rPr>
          <w:color w:val="0D0E0E"/>
          <w:spacing w:val="-10"/>
        </w:rPr>
        <w:t> </w:t>
      </w:r>
      <w:r>
        <w:rPr>
          <w:color w:val="0D0E0E"/>
        </w:rPr>
        <w:t>mês</w:t>
      </w:r>
      <w:r>
        <w:rPr>
          <w:color w:val="0D0E0E"/>
          <w:spacing w:val="-12"/>
        </w:rPr>
        <w:t> </w:t>
      </w:r>
      <w:r>
        <w:rPr>
          <w:color w:val="0D0E0E"/>
        </w:rPr>
        <w:t>consecutivo</w:t>
      </w:r>
      <w:r>
        <w:rPr>
          <w:color w:val="0D0E0E"/>
          <w:spacing w:val="-10"/>
        </w:rPr>
        <w:t> </w:t>
      </w:r>
      <w:r>
        <w:rPr>
          <w:color w:val="0D0E0E"/>
        </w:rPr>
        <w:t>resultado</w:t>
      </w:r>
      <w:r>
        <w:rPr>
          <w:color w:val="0D0E0E"/>
          <w:spacing w:val="-12"/>
        </w:rPr>
        <w:t> </w:t>
      </w:r>
      <w:r>
        <w:rPr>
          <w:color w:val="0D0E0E"/>
        </w:rPr>
        <w:t>no</w:t>
      </w:r>
      <w:r>
        <w:rPr>
          <w:color w:val="0D0E0E"/>
          <w:spacing w:val="-8"/>
        </w:rPr>
        <w:t> </w:t>
      </w:r>
      <w:r>
        <w:rPr>
          <w:color w:val="0D0E0E"/>
          <w:spacing w:val="-2"/>
        </w:rPr>
        <w:t>campo</w:t>
      </w:r>
    </w:p>
    <w:p>
      <w:pPr>
        <w:pStyle w:val="BodyText"/>
        <w:ind w:left="184"/>
      </w:pPr>
      <w:r>
        <w:rPr>
          <w:color w:val="0D0E0E"/>
        </w:rPr>
        <w:t>de</w:t>
      </w:r>
      <w:r>
        <w:rPr>
          <w:color w:val="0D0E0E"/>
          <w:spacing w:val="29"/>
        </w:rPr>
        <w:t>  </w:t>
      </w:r>
      <w:r>
        <w:rPr>
          <w:color w:val="0D0E0E"/>
        </w:rPr>
        <w:t>expansão.</w:t>
      </w:r>
      <w:r>
        <w:rPr>
          <w:color w:val="0D0E0E"/>
          <w:spacing w:val="30"/>
        </w:rPr>
        <w:t>  </w:t>
      </w:r>
      <w:r>
        <w:rPr>
          <w:color w:val="0D0E0E"/>
        </w:rPr>
        <w:t>Com</w:t>
      </w:r>
      <w:r>
        <w:rPr>
          <w:color w:val="0D0E0E"/>
          <w:spacing w:val="29"/>
        </w:rPr>
        <w:t>  </w:t>
      </w:r>
      <w:r>
        <w:rPr>
          <w:color w:val="0D0E0E"/>
        </w:rPr>
        <w:t>alta</w:t>
      </w:r>
      <w:r>
        <w:rPr>
          <w:color w:val="0D0E0E"/>
          <w:spacing w:val="30"/>
        </w:rPr>
        <w:t>  </w:t>
      </w:r>
      <w:r>
        <w:rPr>
          <w:color w:val="0D0E0E"/>
        </w:rPr>
        <w:t>de</w:t>
      </w:r>
      <w:r>
        <w:rPr>
          <w:color w:val="0D0E0E"/>
          <w:spacing w:val="29"/>
        </w:rPr>
        <w:t>  </w:t>
      </w:r>
      <w:r>
        <w:rPr>
          <w:color w:val="0D0E0E"/>
        </w:rPr>
        <w:t>51,2</w:t>
      </w:r>
      <w:r>
        <w:rPr>
          <w:color w:val="0D0E0E"/>
          <w:spacing w:val="29"/>
        </w:rPr>
        <w:t>  </w:t>
      </w:r>
      <w:r>
        <w:rPr>
          <w:color w:val="0D0E0E"/>
        </w:rPr>
        <w:t>em</w:t>
      </w:r>
      <w:r>
        <w:rPr>
          <w:color w:val="0D0E0E"/>
          <w:spacing w:val="30"/>
        </w:rPr>
        <w:t>  </w:t>
      </w:r>
      <w:r>
        <w:rPr>
          <w:color w:val="0D0E0E"/>
        </w:rPr>
        <w:t>novembro,</w:t>
      </w:r>
      <w:r>
        <w:rPr>
          <w:color w:val="0D0E0E"/>
          <w:spacing w:val="30"/>
        </w:rPr>
        <w:t>  </w:t>
      </w:r>
      <w:r>
        <w:rPr>
          <w:color w:val="0D0E0E"/>
        </w:rPr>
        <w:t>o</w:t>
      </w:r>
      <w:r>
        <w:rPr>
          <w:color w:val="0D0E0E"/>
          <w:spacing w:val="29"/>
        </w:rPr>
        <w:t>  </w:t>
      </w:r>
      <w:r>
        <w:rPr>
          <w:color w:val="0D0E0E"/>
        </w:rPr>
        <w:t>índice</w:t>
      </w:r>
      <w:r>
        <w:rPr>
          <w:color w:val="0D0E0E"/>
          <w:spacing w:val="30"/>
        </w:rPr>
        <w:t>  </w:t>
      </w:r>
      <w:r>
        <w:rPr>
          <w:color w:val="0D0E0E"/>
        </w:rPr>
        <w:t>teve</w:t>
      </w:r>
      <w:r>
        <w:rPr>
          <w:color w:val="0D0E0E"/>
          <w:spacing w:val="28"/>
        </w:rPr>
        <w:t>  </w:t>
      </w:r>
      <w:r>
        <w:rPr>
          <w:color w:val="0D0E0E"/>
        </w:rPr>
        <w:t>como</w:t>
      </w:r>
      <w:r>
        <w:rPr>
          <w:color w:val="0D0E0E"/>
          <w:spacing w:val="33"/>
        </w:rPr>
        <w:t>  </w:t>
      </w:r>
      <w:r>
        <w:rPr>
          <w:color w:val="0D0E0E"/>
          <w:spacing w:val="-2"/>
        </w:rPr>
        <w:t>principal</w:t>
      </w:r>
    </w:p>
    <w:p>
      <w:pPr>
        <w:pStyle w:val="BodyText"/>
        <w:spacing w:after="0"/>
        <w:sectPr>
          <w:pgSz w:w="11920" w:h="16850"/>
          <w:pgMar w:top="1280" w:bottom="280" w:left="1417" w:right="141"/>
        </w:sectPr>
      </w:pPr>
    </w:p>
    <w:p>
      <w:pPr>
        <w:pStyle w:val="BodyText"/>
        <w:spacing w:before="80"/>
        <w:ind w:left="184" w:right="1199"/>
      </w:pPr>
      <w:r>
        <w:rPr>
          <w:color w:val="0D0E0E"/>
        </w:rPr>
        <w:t>impulsionador</w:t>
      </w:r>
      <w:r>
        <w:rPr>
          <w:color w:val="0D0E0E"/>
          <w:spacing w:val="40"/>
        </w:rPr>
        <w:t> </w:t>
      </w:r>
      <w:r>
        <w:rPr>
          <w:color w:val="0D0E0E"/>
        </w:rPr>
        <w:t>o</w:t>
      </w:r>
      <w:r>
        <w:rPr>
          <w:color w:val="0D0E0E"/>
          <w:spacing w:val="40"/>
        </w:rPr>
        <w:t> </w:t>
      </w:r>
      <w:r>
        <w:rPr>
          <w:color w:val="0D0E0E"/>
        </w:rPr>
        <w:t>aumento</w:t>
      </w:r>
      <w:r>
        <w:rPr>
          <w:color w:val="0D0E0E"/>
          <w:spacing w:val="40"/>
        </w:rPr>
        <w:t> </w:t>
      </w:r>
      <w:r>
        <w:rPr>
          <w:color w:val="0D0E0E"/>
        </w:rPr>
        <w:t>no</w:t>
      </w:r>
      <w:r>
        <w:rPr>
          <w:color w:val="0D0E0E"/>
          <w:spacing w:val="40"/>
        </w:rPr>
        <w:t> </w:t>
      </w:r>
      <w:r>
        <w:rPr>
          <w:color w:val="0D0E0E"/>
        </w:rPr>
        <w:t>número</w:t>
      </w:r>
      <w:r>
        <w:rPr>
          <w:color w:val="0D0E0E"/>
          <w:spacing w:val="40"/>
        </w:rPr>
        <w:t> </w:t>
      </w:r>
      <w:r>
        <w:rPr>
          <w:color w:val="0D0E0E"/>
        </w:rPr>
        <w:t>no</w:t>
      </w:r>
      <w:r>
        <w:rPr>
          <w:color w:val="0D0E0E"/>
          <w:spacing w:val="40"/>
        </w:rPr>
        <w:t> </w:t>
      </w:r>
      <w:r>
        <w:rPr>
          <w:color w:val="0D0E0E"/>
        </w:rPr>
        <w:t>nível</w:t>
      </w:r>
      <w:r>
        <w:rPr>
          <w:color w:val="0D0E0E"/>
          <w:spacing w:val="40"/>
        </w:rPr>
        <w:t> </w:t>
      </w:r>
      <w:r>
        <w:rPr>
          <w:color w:val="0D0E0E"/>
        </w:rPr>
        <w:t>de</w:t>
      </w:r>
      <w:r>
        <w:rPr>
          <w:color w:val="0D0E0E"/>
          <w:spacing w:val="40"/>
        </w:rPr>
        <w:t> </w:t>
      </w:r>
      <w:r>
        <w:rPr>
          <w:color w:val="0D0E0E"/>
        </w:rPr>
        <w:t>emprego,</w:t>
      </w:r>
      <w:r>
        <w:rPr>
          <w:color w:val="0D0E0E"/>
          <w:spacing w:val="40"/>
        </w:rPr>
        <w:t> </w:t>
      </w:r>
      <w:r>
        <w:rPr>
          <w:color w:val="0D0E0E"/>
        </w:rPr>
        <w:t>além</w:t>
      </w:r>
      <w:r>
        <w:rPr>
          <w:color w:val="0D0E0E"/>
          <w:spacing w:val="40"/>
        </w:rPr>
        <w:t> </w:t>
      </w:r>
      <w:r>
        <w:rPr>
          <w:color w:val="0D0E0E"/>
        </w:rPr>
        <w:t>de</w:t>
      </w:r>
      <w:r>
        <w:rPr>
          <w:color w:val="0D0E0E"/>
          <w:spacing w:val="40"/>
        </w:rPr>
        <w:t> </w:t>
      </w:r>
      <w:r>
        <w:rPr>
          <w:color w:val="0D0E0E"/>
        </w:rPr>
        <w:t>melhora</w:t>
      </w:r>
      <w:r>
        <w:rPr>
          <w:color w:val="0D0E0E"/>
          <w:spacing w:val="40"/>
        </w:rPr>
        <w:t> </w:t>
      </w:r>
      <w:r>
        <w:rPr>
          <w:color w:val="0D0E0E"/>
        </w:rPr>
        <w:t>nas</w:t>
      </w:r>
      <w:r>
        <w:rPr>
          <w:color w:val="0D0E0E"/>
          <w:spacing w:val="40"/>
        </w:rPr>
        <w:t> </w:t>
      </w:r>
      <w:r>
        <w:rPr>
          <w:color w:val="0D0E0E"/>
        </w:rPr>
        <w:t>condições de demanda.</w:t>
      </w:r>
    </w:p>
    <w:p>
      <w:pPr>
        <w:pStyle w:val="BodyText"/>
      </w:pPr>
    </w:p>
    <w:p>
      <w:pPr>
        <w:pStyle w:val="BodyText"/>
        <w:spacing w:before="197"/>
      </w:pPr>
    </w:p>
    <w:p>
      <w:pPr>
        <w:pStyle w:val="BodyText"/>
        <w:ind w:left="3566"/>
      </w:pPr>
      <w:r>
        <w:rPr>
          <w:color w:val="0D0E0E"/>
        </w:rPr>
        <w:t>PMI</w:t>
      </w:r>
      <w:r>
        <w:rPr>
          <w:color w:val="0D0E0E"/>
          <w:spacing w:val="-3"/>
        </w:rPr>
        <w:t> </w:t>
      </w:r>
      <w:r>
        <w:rPr>
          <w:color w:val="0D0E0E"/>
        </w:rPr>
        <w:t>Serviços –</w:t>
      </w:r>
      <w:r>
        <w:rPr>
          <w:color w:val="0D0E0E"/>
          <w:spacing w:val="-1"/>
        </w:rPr>
        <w:t> </w:t>
      </w:r>
      <w:r>
        <w:rPr>
          <w:color w:val="0D0E0E"/>
          <w:spacing w:val="-2"/>
        </w:rPr>
        <w:t>Brasil</w:t>
      </w:r>
    </w:p>
    <w:p>
      <w:pPr>
        <w:pStyle w:val="BodyText"/>
        <w:spacing w:before="6"/>
        <w:rPr>
          <w:sz w:val="13"/>
        </w:rPr>
      </w:pPr>
      <w:r>
        <w:rPr>
          <w:sz w:val="13"/>
        </w:rPr>
        <w:drawing>
          <wp:anchor distT="0" distB="0" distL="0" distR="0" allowOverlap="1" layoutInCell="1" locked="0" behindDoc="1" simplePos="0" relativeHeight="487601152">
            <wp:simplePos x="0" y="0"/>
            <wp:positionH relativeFrom="page">
              <wp:posOffset>1016000</wp:posOffset>
            </wp:positionH>
            <wp:positionV relativeFrom="paragraph">
              <wp:posOffset>116309</wp:posOffset>
            </wp:positionV>
            <wp:extent cx="5647299" cy="3008090"/>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34" cstate="print"/>
                    <a:stretch>
                      <a:fillRect/>
                    </a:stretch>
                  </pic:blipFill>
                  <pic:spPr>
                    <a:xfrm>
                      <a:off x="0" y="0"/>
                      <a:ext cx="5647299" cy="3008090"/>
                    </a:xfrm>
                    <a:prstGeom prst="rect">
                      <a:avLst/>
                    </a:prstGeom>
                  </pic:spPr>
                </pic:pic>
              </a:graphicData>
            </a:graphic>
          </wp:anchor>
        </w:drawing>
      </w:r>
    </w:p>
    <w:p>
      <w:pPr>
        <w:spacing w:before="11"/>
        <w:ind w:left="711" w:right="1073" w:firstLine="0"/>
        <w:jc w:val="center"/>
        <w:rPr>
          <w:rFonts w:ascii="Calibri"/>
          <w:i/>
          <w:sz w:val="20"/>
        </w:rPr>
      </w:pPr>
      <w:r>
        <w:rPr>
          <w:rFonts w:ascii="Calibri"/>
          <w:i/>
          <w:color w:val="0D0E0E"/>
          <w:spacing w:val="-2"/>
          <w:sz w:val="20"/>
        </w:rPr>
        <w:t>https://tradingeconomics.com/brazil/services-</w:t>
      </w:r>
      <w:r>
        <w:rPr>
          <w:rFonts w:ascii="Calibri"/>
          <w:i/>
          <w:color w:val="0D0E0E"/>
          <w:spacing w:val="-5"/>
          <w:sz w:val="20"/>
        </w:rPr>
        <w:t>pmi</w:t>
      </w:r>
    </w:p>
    <w:p>
      <w:pPr>
        <w:pStyle w:val="BodyText"/>
        <w:rPr>
          <w:rFonts w:ascii="Calibri"/>
          <w:i/>
          <w:sz w:val="20"/>
        </w:rPr>
      </w:pPr>
    </w:p>
    <w:p>
      <w:pPr>
        <w:pStyle w:val="BodyText"/>
        <w:rPr>
          <w:rFonts w:ascii="Calibri"/>
          <w:i/>
          <w:sz w:val="20"/>
        </w:rPr>
      </w:pPr>
    </w:p>
    <w:p>
      <w:pPr>
        <w:pStyle w:val="BodyText"/>
        <w:spacing w:before="28"/>
        <w:rPr>
          <w:rFonts w:ascii="Calibri"/>
          <w:i/>
          <w:sz w:val="20"/>
        </w:rPr>
      </w:pPr>
    </w:p>
    <w:p>
      <w:pPr>
        <w:pStyle w:val="BodyText"/>
        <w:ind w:left="184" w:right="1255" w:firstLine="707"/>
        <w:jc w:val="both"/>
      </w:pPr>
      <w:r>
        <w:rPr>
          <w:color w:val="0D0E0E"/>
        </w:rPr>
        <w:t>No lado Industrial, o</w:t>
      </w:r>
      <w:r>
        <w:rPr>
          <w:color w:val="0D0E0E"/>
          <w:spacing w:val="-1"/>
        </w:rPr>
        <w:t> </w:t>
      </w:r>
      <w:r>
        <w:rPr>
          <w:color w:val="0D0E0E"/>
        </w:rPr>
        <w:t>índice permanece abaixo</w:t>
      </w:r>
      <w:r>
        <w:rPr>
          <w:color w:val="0D0E0E"/>
          <w:spacing w:val="-1"/>
        </w:rPr>
        <w:t> </w:t>
      </w:r>
      <w:r>
        <w:rPr>
          <w:color w:val="0D0E0E"/>
        </w:rPr>
        <w:t>do nível neutro (50) pelo terceiro mês</w:t>
      </w:r>
      <w:r>
        <w:rPr>
          <w:color w:val="0D0E0E"/>
          <w:spacing w:val="-14"/>
        </w:rPr>
        <w:t> </w:t>
      </w:r>
      <w:r>
        <w:rPr>
          <w:color w:val="0D0E0E"/>
        </w:rPr>
        <w:t>consecutivo.</w:t>
      </w:r>
      <w:r>
        <w:rPr>
          <w:color w:val="0D0E0E"/>
          <w:spacing w:val="-13"/>
        </w:rPr>
        <w:t> </w:t>
      </w:r>
      <w:r>
        <w:rPr>
          <w:color w:val="0D0E0E"/>
        </w:rPr>
        <w:t>Apesar</w:t>
      </w:r>
      <w:r>
        <w:rPr>
          <w:color w:val="0D0E0E"/>
          <w:spacing w:val="-13"/>
        </w:rPr>
        <w:t> </w:t>
      </w:r>
      <w:r>
        <w:rPr>
          <w:color w:val="0D0E0E"/>
        </w:rPr>
        <w:t>disso,</w:t>
      </w:r>
      <w:r>
        <w:rPr>
          <w:color w:val="0D0E0E"/>
          <w:spacing w:val="-13"/>
        </w:rPr>
        <w:t> </w:t>
      </w:r>
      <w:r>
        <w:rPr>
          <w:color w:val="0D0E0E"/>
        </w:rPr>
        <w:t>houve</w:t>
      </w:r>
      <w:r>
        <w:rPr>
          <w:color w:val="0D0E0E"/>
          <w:spacing w:val="-14"/>
        </w:rPr>
        <w:t> </w:t>
      </w:r>
      <w:r>
        <w:rPr>
          <w:color w:val="0D0E0E"/>
        </w:rPr>
        <w:t>melhora</w:t>
      </w:r>
      <w:r>
        <w:rPr>
          <w:color w:val="0D0E0E"/>
          <w:spacing w:val="-13"/>
        </w:rPr>
        <w:t> </w:t>
      </w:r>
      <w:r>
        <w:rPr>
          <w:color w:val="0D0E0E"/>
        </w:rPr>
        <w:t>em</w:t>
      </w:r>
      <w:r>
        <w:rPr>
          <w:color w:val="0D0E0E"/>
          <w:spacing w:val="-13"/>
        </w:rPr>
        <w:t> </w:t>
      </w:r>
      <w:r>
        <w:rPr>
          <w:color w:val="0D0E0E"/>
        </w:rPr>
        <w:t>novembro</w:t>
      </w:r>
      <w:r>
        <w:rPr>
          <w:color w:val="0D0E0E"/>
          <w:spacing w:val="-13"/>
        </w:rPr>
        <w:t> </w:t>
      </w:r>
      <w:r>
        <w:rPr>
          <w:color w:val="0D0E0E"/>
        </w:rPr>
        <w:t>em</w:t>
      </w:r>
      <w:r>
        <w:rPr>
          <w:color w:val="0D0E0E"/>
          <w:spacing w:val="-13"/>
        </w:rPr>
        <w:t> </w:t>
      </w:r>
      <w:r>
        <w:rPr>
          <w:color w:val="0D0E0E"/>
        </w:rPr>
        <w:t>relação</w:t>
      </w:r>
      <w:r>
        <w:rPr>
          <w:color w:val="0D0E0E"/>
          <w:spacing w:val="-14"/>
        </w:rPr>
        <w:t> </w:t>
      </w:r>
      <w:r>
        <w:rPr>
          <w:color w:val="0D0E0E"/>
        </w:rPr>
        <w:t>a</w:t>
      </w:r>
      <w:r>
        <w:rPr>
          <w:color w:val="0D0E0E"/>
          <w:spacing w:val="-13"/>
        </w:rPr>
        <w:t> </w:t>
      </w:r>
      <w:r>
        <w:rPr>
          <w:color w:val="0D0E0E"/>
        </w:rPr>
        <w:t>outubro</w:t>
      </w:r>
      <w:r>
        <w:rPr>
          <w:color w:val="0D0E0E"/>
          <w:spacing w:val="-13"/>
        </w:rPr>
        <w:t> </w:t>
      </w:r>
      <w:r>
        <w:rPr>
          <w:color w:val="0D0E0E"/>
        </w:rPr>
        <w:t>(49,4 ante</w:t>
      </w:r>
      <w:r>
        <w:rPr>
          <w:color w:val="0D0E0E"/>
          <w:spacing w:val="-7"/>
        </w:rPr>
        <w:t> </w:t>
      </w:r>
      <w:r>
        <w:rPr>
          <w:color w:val="0D0E0E"/>
        </w:rPr>
        <w:t>48,6).</w:t>
      </w:r>
      <w:r>
        <w:rPr>
          <w:color w:val="0D0E0E"/>
          <w:spacing w:val="-7"/>
        </w:rPr>
        <w:t> </w:t>
      </w:r>
      <w:r>
        <w:rPr>
          <w:color w:val="0D0E0E"/>
        </w:rPr>
        <w:t>A</w:t>
      </w:r>
      <w:r>
        <w:rPr>
          <w:color w:val="0D0E0E"/>
          <w:spacing w:val="-8"/>
        </w:rPr>
        <w:t> </w:t>
      </w:r>
      <w:r>
        <w:rPr>
          <w:color w:val="0D0E0E"/>
        </w:rPr>
        <w:t>atividade</w:t>
      </w:r>
      <w:r>
        <w:rPr>
          <w:color w:val="0D0E0E"/>
          <w:spacing w:val="-7"/>
        </w:rPr>
        <w:t> </w:t>
      </w:r>
      <w:r>
        <w:rPr>
          <w:color w:val="0D0E0E"/>
        </w:rPr>
        <w:t>industrial</w:t>
      </w:r>
      <w:r>
        <w:rPr>
          <w:color w:val="0D0E0E"/>
          <w:spacing w:val="-8"/>
        </w:rPr>
        <w:t> </w:t>
      </w:r>
      <w:r>
        <w:rPr>
          <w:color w:val="0D0E0E"/>
        </w:rPr>
        <w:t>vem</w:t>
      </w:r>
      <w:r>
        <w:rPr>
          <w:color w:val="0D0E0E"/>
          <w:spacing w:val="-6"/>
        </w:rPr>
        <w:t> </w:t>
      </w:r>
      <w:r>
        <w:rPr>
          <w:color w:val="0D0E0E"/>
        </w:rPr>
        <w:t>apresentando</w:t>
      </w:r>
      <w:r>
        <w:rPr>
          <w:color w:val="0D0E0E"/>
          <w:spacing w:val="-6"/>
        </w:rPr>
        <w:t> </w:t>
      </w:r>
      <w:r>
        <w:rPr>
          <w:color w:val="0D0E0E"/>
        </w:rPr>
        <w:t>dificuldade</w:t>
      </w:r>
      <w:r>
        <w:rPr>
          <w:color w:val="0D0E0E"/>
          <w:spacing w:val="-7"/>
        </w:rPr>
        <w:t> </w:t>
      </w:r>
      <w:r>
        <w:rPr>
          <w:color w:val="0D0E0E"/>
        </w:rPr>
        <w:t>no</w:t>
      </w:r>
      <w:r>
        <w:rPr>
          <w:color w:val="0D0E0E"/>
          <w:spacing w:val="-7"/>
        </w:rPr>
        <w:t> </w:t>
      </w:r>
      <w:r>
        <w:rPr>
          <w:color w:val="0D0E0E"/>
        </w:rPr>
        <w:t>Brasil,</w:t>
      </w:r>
      <w:r>
        <w:rPr>
          <w:color w:val="0D0E0E"/>
          <w:spacing w:val="-6"/>
        </w:rPr>
        <w:t> </w:t>
      </w:r>
      <w:r>
        <w:rPr>
          <w:color w:val="0D0E0E"/>
        </w:rPr>
        <w:t>com</w:t>
      </w:r>
      <w:r>
        <w:rPr>
          <w:color w:val="0D0E0E"/>
          <w:spacing w:val="-8"/>
        </w:rPr>
        <w:t> </w:t>
      </w:r>
      <w:r>
        <w:rPr>
          <w:color w:val="0D0E0E"/>
        </w:rPr>
        <w:t>apenas</w:t>
      </w:r>
      <w:r>
        <w:rPr>
          <w:color w:val="0D0E0E"/>
          <w:spacing w:val="-7"/>
        </w:rPr>
        <w:t> </w:t>
      </w:r>
      <w:r>
        <w:rPr>
          <w:color w:val="0D0E0E"/>
        </w:rPr>
        <w:t>1 mês no campo de expansão (agosto).</w:t>
      </w:r>
    </w:p>
    <w:p>
      <w:pPr>
        <w:pStyle w:val="Heading4"/>
        <w:spacing w:before="240"/>
        <w:ind w:left="3662" w:right="0"/>
        <w:jc w:val="left"/>
      </w:pPr>
      <w:r>
        <w:rPr>
          <w:color w:val="0D0E0E"/>
        </w:rPr>
        <w:t>PMI</w:t>
      </w:r>
      <w:r>
        <w:rPr>
          <w:color w:val="0D0E0E"/>
          <w:spacing w:val="-3"/>
        </w:rPr>
        <w:t> </w:t>
      </w:r>
      <w:r>
        <w:rPr>
          <w:color w:val="0D0E0E"/>
        </w:rPr>
        <w:t>Manufatura</w:t>
      </w:r>
      <w:r>
        <w:rPr>
          <w:color w:val="0D0E0E"/>
          <w:spacing w:val="1"/>
        </w:rPr>
        <w:t> </w:t>
      </w:r>
      <w:r>
        <w:rPr>
          <w:color w:val="0D0E0E"/>
        </w:rPr>
        <w:t>–</w:t>
      </w:r>
      <w:r>
        <w:rPr>
          <w:color w:val="0D0E0E"/>
          <w:spacing w:val="-3"/>
        </w:rPr>
        <w:t> </w:t>
      </w:r>
      <w:r>
        <w:rPr>
          <w:color w:val="0D0E0E"/>
          <w:spacing w:val="-2"/>
        </w:rPr>
        <w:t>Brasil</w:t>
      </w:r>
    </w:p>
    <w:p>
      <w:pPr>
        <w:pStyle w:val="BodyText"/>
        <w:spacing w:before="9"/>
        <w:rPr>
          <w:b/>
          <w:sz w:val="4"/>
        </w:rPr>
      </w:pPr>
      <w:r>
        <w:rPr>
          <w:b/>
          <w:sz w:val="4"/>
        </w:rPr>
        <w:drawing>
          <wp:anchor distT="0" distB="0" distL="0" distR="0" allowOverlap="1" layoutInCell="1" locked="0" behindDoc="1" simplePos="0" relativeHeight="487601664">
            <wp:simplePos x="0" y="0"/>
            <wp:positionH relativeFrom="page">
              <wp:posOffset>1082465</wp:posOffset>
            </wp:positionH>
            <wp:positionV relativeFrom="paragraph">
              <wp:posOffset>51035</wp:posOffset>
            </wp:positionV>
            <wp:extent cx="5568488" cy="2718054"/>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35" cstate="print"/>
                    <a:stretch>
                      <a:fillRect/>
                    </a:stretch>
                  </pic:blipFill>
                  <pic:spPr>
                    <a:xfrm>
                      <a:off x="0" y="0"/>
                      <a:ext cx="5568488" cy="2718054"/>
                    </a:xfrm>
                    <a:prstGeom prst="rect">
                      <a:avLst/>
                    </a:prstGeom>
                  </pic:spPr>
                </pic:pic>
              </a:graphicData>
            </a:graphic>
          </wp:anchor>
        </w:drawing>
      </w:r>
    </w:p>
    <w:p>
      <w:pPr>
        <w:spacing w:before="21"/>
        <w:ind w:left="711" w:right="1073" w:firstLine="0"/>
        <w:jc w:val="center"/>
        <w:rPr>
          <w:rFonts w:ascii="Calibri"/>
          <w:i/>
          <w:sz w:val="20"/>
        </w:rPr>
      </w:pPr>
      <w:r>
        <w:rPr>
          <w:rFonts w:ascii="Calibri"/>
          <w:i/>
          <w:color w:val="0D0E0E"/>
          <w:spacing w:val="-2"/>
          <w:sz w:val="20"/>
        </w:rPr>
        <w:t>https://tradingeconomics.com/brazil/manufacturing-</w:t>
      </w:r>
      <w:r>
        <w:rPr>
          <w:rFonts w:ascii="Calibri"/>
          <w:i/>
          <w:color w:val="0D0E0E"/>
          <w:spacing w:val="-5"/>
          <w:sz w:val="20"/>
        </w:rPr>
        <w:t>pmi</w:t>
      </w:r>
    </w:p>
    <w:p>
      <w:pPr>
        <w:spacing w:after="0"/>
        <w:jc w:val="center"/>
        <w:rPr>
          <w:rFonts w:ascii="Calibri"/>
          <w:i/>
          <w:sz w:val="20"/>
        </w:rPr>
        <w:sectPr>
          <w:pgSz w:w="11920" w:h="16850"/>
          <w:pgMar w:top="1280" w:bottom="280" w:left="1417" w:right="141"/>
        </w:sectPr>
      </w:pPr>
    </w:p>
    <w:p>
      <w:pPr>
        <w:pStyle w:val="BodyText"/>
        <w:spacing w:before="80"/>
        <w:ind w:left="184" w:right="1261" w:firstLine="707"/>
        <w:jc w:val="both"/>
      </w:pPr>
      <w:r>
        <w:rPr>
          <w:color w:val="0D0E0E"/>
        </w:rPr>
        <w:t>Na síntese, o PMI composto teve seu maior resultado desde junho de 2023, impulsionado pela melhora no setor privado da economia.</w:t>
      </w:r>
    </w:p>
    <w:p>
      <w:pPr>
        <w:pStyle w:val="Heading4"/>
        <w:spacing w:before="239"/>
        <w:ind w:left="711"/>
      </w:pPr>
      <w:r>
        <w:rPr>
          <w:color w:val="0D0E0E"/>
        </w:rPr>
        <w:t>PMI</w:t>
      </w:r>
      <w:r>
        <w:rPr>
          <w:color w:val="0D0E0E"/>
          <w:spacing w:val="-4"/>
        </w:rPr>
        <w:t> </w:t>
      </w:r>
      <w:r>
        <w:rPr>
          <w:color w:val="0D0E0E"/>
        </w:rPr>
        <w:t>Composto</w:t>
      </w:r>
      <w:r>
        <w:rPr>
          <w:color w:val="0D0E0E"/>
          <w:spacing w:val="-2"/>
        </w:rPr>
        <w:t> </w:t>
      </w:r>
      <w:r>
        <w:rPr>
          <w:color w:val="0D0E0E"/>
        </w:rPr>
        <w:t>–</w:t>
      </w:r>
      <w:r>
        <w:rPr>
          <w:color w:val="0D0E0E"/>
          <w:spacing w:val="-2"/>
        </w:rPr>
        <w:t> Brasil:</w:t>
      </w:r>
    </w:p>
    <w:p>
      <w:pPr>
        <w:pStyle w:val="BodyText"/>
        <w:spacing w:before="106"/>
        <w:rPr>
          <w:b/>
          <w:sz w:val="20"/>
        </w:rPr>
      </w:pPr>
      <w:r>
        <w:rPr>
          <w:b/>
          <w:sz w:val="20"/>
        </w:rPr>
        <w:drawing>
          <wp:anchor distT="0" distB="0" distL="0" distR="0" allowOverlap="1" layoutInCell="1" locked="0" behindDoc="1" simplePos="0" relativeHeight="487602176">
            <wp:simplePos x="0" y="0"/>
            <wp:positionH relativeFrom="page">
              <wp:posOffset>1082465</wp:posOffset>
            </wp:positionH>
            <wp:positionV relativeFrom="paragraph">
              <wp:posOffset>231710</wp:posOffset>
            </wp:positionV>
            <wp:extent cx="5582406" cy="2684906"/>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36" cstate="print"/>
                    <a:stretch>
                      <a:fillRect/>
                    </a:stretch>
                  </pic:blipFill>
                  <pic:spPr>
                    <a:xfrm>
                      <a:off x="0" y="0"/>
                      <a:ext cx="5582406" cy="2684906"/>
                    </a:xfrm>
                    <a:prstGeom prst="rect">
                      <a:avLst/>
                    </a:prstGeom>
                  </pic:spPr>
                </pic:pic>
              </a:graphicData>
            </a:graphic>
          </wp:anchor>
        </w:drawing>
      </w:r>
    </w:p>
    <w:p>
      <w:pPr>
        <w:spacing w:before="9"/>
        <w:ind w:left="709" w:right="1073" w:firstLine="0"/>
        <w:jc w:val="center"/>
        <w:rPr>
          <w:rFonts w:ascii="Calibri"/>
          <w:i/>
          <w:sz w:val="20"/>
        </w:rPr>
      </w:pPr>
      <w:r>
        <w:rPr>
          <w:rFonts w:ascii="Calibri"/>
          <w:i/>
          <w:color w:val="0D0E0E"/>
          <w:spacing w:val="-2"/>
          <w:sz w:val="20"/>
        </w:rPr>
        <w:t>https://tradingeconomics.com/brazil/composite-</w:t>
      </w:r>
      <w:r>
        <w:rPr>
          <w:rFonts w:ascii="Calibri"/>
          <w:i/>
          <w:color w:val="0D0E0E"/>
          <w:spacing w:val="-5"/>
          <w:sz w:val="20"/>
        </w:rPr>
        <w:t>pmi</w:t>
      </w:r>
    </w:p>
    <w:p>
      <w:pPr>
        <w:pStyle w:val="BodyText"/>
        <w:rPr>
          <w:rFonts w:ascii="Calibri"/>
          <w:i/>
          <w:sz w:val="20"/>
        </w:rPr>
      </w:pPr>
    </w:p>
    <w:p>
      <w:pPr>
        <w:pStyle w:val="BodyText"/>
        <w:rPr>
          <w:rFonts w:ascii="Calibri"/>
          <w:i/>
          <w:sz w:val="20"/>
        </w:rPr>
      </w:pPr>
    </w:p>
    <w:p>
      <w:pPr>
        <w:pStyle w:val="BodyText"/>
        <w:spacing w:before="27"/>
        <w:rPr>
          <w:rFonts w:ascii="Calibri"/>
          <w:i/>
          <w:sz w:val="20"/>
        </w:rPr>
      </w:pPr>
    </w:p>
    <w:p>
      <w:pPr>
        <w:pStyle w:val="Heading3"/>
      </w:pPr>
      <w:r>
        <w:rPr>
          <w:color w:val="FF0000"/>
          <w:spacing w:val="-2"/>
        </w:rPr>
        <w:t>Câmbio</w:t>
      </w:r>
    </w:p>
    <w:p>
      <w:pPr>
        <w:pStyle w:val="BodyText"/>
        <w:spacing w:before="241"/>
        <w:ind w:left="184" w:right="1261" w:firstLine="707"/>
        <w:jc w:val="both"/>
      </w:pPr>
      <w:r>
        <w:rPr>
          <w:color w:val="0D0E0E"/>
        </w:rPr>
        <w:t>A nossa moeda sofreu uma alta valorização no mês de novembro em relação ao Dólar americano. O dólar teve queda de 2,20% no mês perante ao real, encerrando o mês aos R$ 4,92.</w:t>
      </w:r>
    </w:p>
    <w:p>
      <w:pPr>
        <w:pStyle w:val="BodyText"/>
        <w:spacing w:before="240"/>
        <w:ind w:left="184" w:right="1261" w:firstLine="707"/>
        <w:jc w:val="both"/>
      </w:pPr>
      <w:r>
        <w:rPr>
          <w:color w:val="0D0E0E"/>
        </w:rPr>
        <w:t>O alívio na curva de juros de longo prazo, além das pressões inflacionárias diminuírem ao redor do mundo, fizeram com que o dólar se desvalorizasse em relação as moedas globais.</w:t>
      </w:r>
    </w:p>
    <w:p>
      <w:pPr>
        <w:pStyle w:val="BodyText"/>
        <w:rPr>
          <w:sz w:val="26"/>
        </w:rPr>
      </w:pPr>
    </w:p>
    <w:p>
      <w:pPr>
        <w:pStyle w:val="BodyText"/>
        <w:spacing w:before="152"/>
        <w:rPr>
          <w:sz w:val="26"/>
        </w:rPr>
      </w:pPr>
    </w:p>
    <w:p>
      <w:pPr>
        <w:pStyle w:val="Heading3"/>
      </w:pPr>
      <w:r>
        <w:rPr>
          <w:color w:val="FF0000"/>
          <w:spacing w:val="-2"/>
        </w:rPr>
        <w:t>Bolsa</w:t>
      </w:r>
    </w:p>
    <w:p>
      <w:pPr>
        <w:pStyle w:val="BodyText"/>
        <w:spacing w:before="239"/>
        <w:ind w:left="892"/>
      </w:pPr>
      <w:r>
        <w:rPr>
          <w:color w:val="0D0E0E"/>
        </w:rPr>
        <w:t>A</w:t>
      </w:r>
      <w:r>
        <w:rPr>
          <w:color w:val="0D0E0E"/>
          <w:spacing w:val="1"/>
        </w:rPr>
        <w:t> </w:t>
      </w:r>
      <w:r>
        <w:rPr>
          <w:color w:val="0D0E0E"/>
        </w:rPr>
        <w:t>bolsa</w:t>
      </w:r>
      <w:r>
        <w:rPr>
          <w:color w:val="0D0E0E"/>
          <w:spacing w:val="3"/>
        </w:rPr>
        <w:t> </w:t>
      </w:r>
      <w:r>
        <w:rPr>
          <w:color w:val="0D0E0E"/>
        </w:rPr>
        <w:t>doméstica</w:t>
      </w:r>
      <w:r>
        <w:rPr>
          <w:color w:val="0D0E0E"/>
          <w:spacing w:val="4"/>
        </w:rPr>
        <w:t> </w:t>
      </w:r>
      <w:r>
        <w:rPr>
          <w:color w:val="0D0E0E"/>
        </w:rPr>
        <w:t>viveu</w:t>
      </w:r>
      <w:r>
        <w:rPr>
          <w:color w:val="0D0E0E"/>
          <w:spacing w:val="4"/>
        </w:rPr>
        <w:t> </w:t>
      </w:r>
      <w:r>
        <w:rPr>
          <w:color w:val="0D0E0E"/>
        </w:rPr>
        <w:t>um</w:t>
      </w:r>
      <w:r>
        <w:rPr>
          <w:color w:val="0D0E0E"/>
          <w:spacing w:val="2"/>
        </w:rPr>
        <w:t> </w:t>
      </w:r>
      <w:r>
        <w:rPr>
          <w:color w:val="0D0E0E"/>
        </w:rPr>
        <w:t>verdadeiro</w:t>
      </w:r>
      <w:r>
        <w:rPr>
          <w:color w:val="0D0E0E"/>
          <w:spacing w:val="1"/>
        </w:rPr>
        <w:t> </w:t>
      </w:r>
      <w:r>
        <w:rPr>
          <w:color w:val="0D0E0E"/>
        </w:rPr>
        <w:t>“céu</w:t>
      </w:r>
      <w:r>
        <w:rPr>
          <w:color w:val="0D0E0E"/>
          <w:spacing w:val="4"/>
        </w:rPr>
        <w:t> </w:t>
      </w:r>
      <w:r>
        <w:rPr>
          <w:color w:val="0D0E0E"/>
        </w:rPr>
        <w:t>de</w:t>
      </w:r>
      <w:r>
        <w:rPr>
          <w:color w:val="0D0E0E"/>
          <w:spacing w:val="4"/>
        </w:rPr>
        <w:t> </w:t>
      </w:r>
      <w:r>
        <w:rPr>
          <w:color w:val="0D0E0E"/>
        </w:rPr>
        <w:t>brigadeiro”,</w:t>
      </w:r>
      <w:r>
        <w:rPr>
          <w:color w:val="0D0E0E"/>
          <w:spacing w:val="2"/>
        </w:rPr>
        <w:t> </w:t>
      </w:r>
      <w:r>
        <w:rPr>
          <w:color w:val="0D0E0E"/>
        </w:rPr>
        <w:t>impulsionada</w:t>
      </w:r>
      <w:r>
        <w:rPr>
          <w:color w:val="0D0E0E"/>
          <w:spacing w:val="2"/>
        </w:rPr>
        <w:t> </w:t>
      </w:r>
      <w:r>
        <w:rPr>
          <w:color w:val="0D0E0E"/>
          <w:spacing w:val="-2"/>
        </w:rPr>
        <w:t>pelas</w:t>
      </w:r>
    </w:p>
    <w:p>
      <w:pPr>
        <w:pStyle w:val="BodyText"/>
        <w:spacing w:before="1"/>
        <w:ind w:left="184" w:right="1199"/>
      </w:pPr>
      <w:r>
        <w:rPr>
          <w:color w:val="0D0E0E"/>
        </w:rPr>
        <w:t>melhoras</w:t>
      </w:r>
      <w:r>
        <w:rPr>
          <w:color w:val="0D0E0E"/>
          <w:spacing w:val="80"/>
        </w:rPr>
        <w:t> </w:t>
      </w:r>
      <w:r>
        <w:rPr>
          <w:color w:val="0D0E0E"/>
        </w:rPr>
        <w:t>condições</w:t>
      </w:r>
      <w:r>
        <w:rPr>
          <w:color w:val="0D0E0E"/>
          <w:spacing w:val="80"/>
        </w:rPr>
        <w:t> </w:t>
      </w:r>
      <w:r>
        <w:rPr>
          <w:color w:val="0D0E0E"/>
        </w:rPr>
        <w:t>econômicas</w:t>
      </w:r>
      <w:r>
        <w:rPr>
          <w:color w:val="0D0E0E"/>
          <w:spacing w:val="80"/>
        </w:rPr>
        <w:t> </w:t>
      </w:r>
      <w:r>
        <w:rPr>
          <w:color w:val="0D0E0E"/>
        </w:rPr>
        <w:t>ao</w:t>
      </w:r>
      <w:r>
        <w:rPr>
          <w:color w:val="0D0E0E"/>
          <w:spacing w:val="80"/>
        </w:rPr>
        <w:t> </w:t>
      </w:r>
      <w:r>
        <w:rPr>
          <w:color w:val="0D0E0E"/>
        </w:rPr>
        <w:t>redor</w:t>
      </w:r>
      <w:r>
        <w:rPr>
          <w:color w:val="0D0E0E"/>
          <w:spacing w:val="77"/>
        </w:rPr>
        <w:t> </w:t>
      </w:r>
      <w:r>
        <w:rPr>
          <w:color w:val="0D0E0E"/>
        </w:rPr>
        <w:t>do</w:t>
      </w:r>
      <w:r>
        <w:rPr>
          <w:color w:val="0D0E0E"/>
          <w:spacing w:val="80"/>
        </w:rPr>
        <w:t> </w:t>
      </w:r>
      <w:r>
        <w:rPr>
          <w:color w:val="0D0E0E"/>
        </w:rPr>
        <w:t>mundo,</w:t>
      </w:r>
      <w:r>
        <w:rPr>
          <w:color w:val="0D0E0E"/>
          <w:spacing w:val="79"/>
        </w:rPr>
        <w:t> </w:t>
      </w:r>
      <w:r>
        <w:rPr>
          <w:color w:val="0D0E0E"/>
        </w:rPr>
        <w:t>o</w:t>
      </w:r>
      <w:r>
        <w:rPr>
          <w:color w:val="0D0E0E"/>
          <w:spacing w:val="80"/>
        </w:rPr>
        <w:t> </w:t>
      </w:r>
      <w:r>
        <w:rPr>
          <w:color w:val="0D0E0E"/>
        </w:rPr>
        <w:t>Ibovespa</w:t>
      </w:r>
      <w:r>
        <w:rPr>
          <w:color w:val="0D0E0E"/>
          <w:spacing w:val="79"/>
        </w:rPr>
        <w:t> </w:t>
      </w:r>
      <w:r>
        <w:rPr>
          <w:color w:val="0D0E0E"/>
        </w:rPr>
        <w:t>acompanhou</w:t>
      </w:r>
      <w:r>
        <w:rPr>
          <w:color w:val="0D0E0E"/>
          <w:spacing w:val="80"/>
        </w:rPr>
        <w:t> </w:t>
      </w:r>
      <w:r>
        <w:rPr>
          <w:color w:val="0D0E0E"/>
        </w:rPr>
        <w:t>o movimento das bolsas globais e encerrou o novembro com o melhor retorno do ano.</w:t>
      </w:r>
    </w:p>
    <w:p>
      <w:pPr>
        <w:pStyle w:val="BodyText"/>
        <w:spacing w:before="241"/>
        <w:ind w:left="184" w:right="1252" w:firstLine="707"/>
        <w:jc w:val="both"/>
      </w:pPr>
      <w:r>
        <w:rPr>
          <w:color w:val="0D0E0E"/>
        </w:rPr>
        <w:t>O Ibovespa saiu dos 113.161 pontos para 127.331 pontos, representando uma alta de 12,54%. Uma variação positiva dessa magnitude não era vista desde novembro de</w:t>
      </w:r>
      <w:r>
        <w:rPr>
          <w:color w:val="0D0E0E"/>
          <w:spacing w:val="-2"/>
        </w:rPr>
        <w:t> </w:t>
      </w:r>
      <w:r>
        <w:rPr>
          <w:color w:val="0D0E0E"/>
        </w:rPr>
        <w:t>2020.</w:t>
      </w:r>
      <w:r>
        <w:rPr>
          <w:color w:val="0D0E0E"/>
          <w:spacing w:val="-2"/>
        </w:rPr>
        <w:t> </w:t>
      </w:r>
      <w:r>
        <w:rPr>
          <w:color w:val="0D0E0E"/>
        </w:rPr>
        <w:t>O</w:t>
      </w:r>
      <w:r>
        <w:rPr>
          <w:color w:val="0D0E0E"/>
          <w:spacing w:val="-3"/>
        </w:rPr>
        <w:t> </w:t>
      </w:r>
      <w:r>
        <w:rPr>
          <w:color w:val="0D0E0E"/>
        </w:rPr>
        <w:t>fechamento</w:t>
      </w:r>
      <w:r>
        <w:rPr>
          <w:color w:val="0D0E0E"/>
          <w:spacing w:val="-5"/>
        </w:rPr>
        <w:t> </w:t>
      </w:r>
      <w:r>
        <w:rPr>
          <w:color w:val="0D0E0E"/>
        </w:rPr>
        <w:t>da</w:t>
      </w:r>
      <w:r>
        <w:rPr>
          <w:color w:val="0D0E0E"/>
          <w:spacing w:val="-3"/>
        </w:rPr>
        <w:t> </w:t>
      </w:r>
      <w:r>
        <w:rPr>
          <w:color w:val="0D0E0E"/>
        </w:rPr>
        <w:t>curva</w:t>
      </w:r>
      <w:r>
        <w:rPr>
          <w:color w:val="0D0E0E"/>
          <w:spacing w:val="-3"/>
        </w:rPr>
        <w:t> </w:t>
      </w:r>
      <w:r>
        <w:rPr>
          <w:color w:val="0D0E0E"/>
        </w:rPr>
        <w:t>de</w:t>
      </w:r>
      <w:r>
        <w:rPr>
          <w:color w:val="0D0E0E"/>
          <w:spacing w:val="-4"/>
        </w:rPr>
        <w:t> </w:t>
      </w:r>
      <w:r>
        <w:rPr>
          <w:color w:val="0D0E0E"/>
        </w:rPr>
        <w:t>juros</w:t>
      </w:r>
      <w:r>
        <w:rPr>
          <w:color w:val="0D0E0E"/>
          <w:spacing w:val="-2"/>
        </w:rPr>
        <w:t> </w:t>
      </w:r>
      <w:r>
        <w:rPr>
          <w:color w:val="0D0E0E"/>
        </w:rPr>
        <w:t>nos</w:t>
      </w:r>
      <w:r>
        <w:rPr>
          <w:color w:val="0D0E0E"/>
          <w:spacing w:val="-5"/>
        </w:rPr>
        <w:t> </w:t>
      </w:r>
      <w:r>
        <w:rPr>
          <w:color w:val="0D0E0E"/>
        </w:rPr>
        <w:t>EUA</w:t>
      </w:r>
      <w:r>
        <w:rPr>
          <w:color w:val="0D0E0E"/>
          <w:spacing w:val="-3"/>
        </w:rPr>
        <w:t> </w:t>
      </w:r>
      <w:r>
        <w:rPr>
          <w:color w:val="0D0E0E"/>
        </w:rPr>
        <w:t>foi</w:t>
      </w:r>
      <w:r>
        <w:rPr>
          <w:color w:val="0D0E0E"/>
          <w:spacing w:val="-3"/>
        </w:rPr>
        <w:t> </w:t>
      </w:r>
      <w:r>
        <w:rPr>
          <w:color w:val="0D0E0E"/>
        </w:rPr>
        <w:t>crucial</w:t>
      </w:r>
      <w:r>
        <w:rPr>
          <w:color w:val="0D0E0E"/>
          <w:spacing w:val="-3"/>
        </w:rPr>
        <w:t> </w:t>
      </w:r>
      <w:r>
        <w:rPr>
          <w:color w:val="0D0E0E"/>
        </w:rPr>
        <w:t>para</w:t>
      </w:r>
      <w:r>
        <w:rPr>
          <w:color w:val="0D0E0E"/>
          <w:spacing w:val="-3"/>
        </w:rPr>
        <w:t> </w:t>
      </w:r>
      <w:r>
        <w:rPr>
          <w:color w:val="0D0E0E"/>
        </w:rPr>
        <w:t>esse</w:t>
      </w:r>
      <w:r>
        <w:rPr>
          <w:color w:val="0D0E0E"/>
          <w:spacing w:val="-6"/>
        </w:rPr>
        <w:t> </w:t>
      </w:r>
      <w:r>
        <w:rPr>
          <w:color w:val="0D0E0E"/>
        </w:rPr>
        <w:t>retorno</w:t>
      </w:r>
      <w:r>
        <w:rPr>
          <w:color w:val="0D0E0E"/>
          <w:spacing w:val="-2"/>
        </w:rPr>
        <w:t> </w:t>
      </w:r>
      <w:r>
        <w:rPr>
          <w:color w:val="0D0E0E"/>
        </w:rPr>
        <w:t>positivo, que aumentou o apetite pelo risco e impulsionou os mercados de renda variável. Além disso, o cenário fiscal doméstico também ajudou, o fato do governo anunciar que deve manter a meta de déficit zero animou os investidores. No ano, o Ibovespa tem alta de 22,91% e a expectativa é que a bolsa encerre o ano aos 130 mil pontos.</w:t>
      </w:r>
    </w:p>
    <w:p>
      <w:pPr>
        <w:pStyle w:val="BodyText"/>
        <w:spacing w:after="0"/>
        <w:jc w:val="both"/>
        <w:sectPr>
          <w:pgSz w:w="11920" w:h="16850"/>
          <w:pgMar w:top="1280" w:bottom="280" w:left="1417" w:right="141"/>
        </w:sectPr>
      </w:pPr>
    </w:p>
    <w:p>
      <w:pPr>
        <w:pStyle w:val="Heading4"/>
        <w:ind w:left="709"/>
      </w:pPr>
      <w:r>
        <w:rPr>
          <w:color w:val="0D0E0E"/>
        </w:rPr>
        <w:t>IBOVESPA</w:t>
      </w:r>
      <w:r>
        <w:rPr>
          <w:color w:val="0D0E0E"/>
          <w:spacing w:val="-6"/>
        </w:rPr>
        <w:t> </w:t>
      </w:r>
      <w:r>
        <w:rPr>
          <w:color w:val="0D0E0E"/>
        </w:rPr>
        <w:t>–</w:t>
      </w:r>
      <w:r>
        <w:rPr>
          <w:color w:val="0D0E0E"/>
          <w:spacing w:val="-3"/>
        </w:rPr>
        <w:t> </w:t>
      </w:r>
      <w:r>
        <w:rPr>
          <w:color w:val="0D0E0E"/>
          <w:spacing w:val="-4"/>
        </w:rPr>
        <w:t>2023:</w:t>
      </w:r>
    </w:p>
    <w:p>
      <w:pPr>
        <w:pStyle w:val="BodyText"/>
        <w:spacing w:before="2"/>
        <w:rPr>
          <w:b/>
          <w:sz w:val="18"/>
        </w:rPr>
      </w:pPr>
      <w:r>
        <w:rPr>
          <w:b/>
          <w:sz w:val="18"/>
        </w:rPr>
        <w:drawing>
          <wp:anchor distT="0" distB="0" distL="0" distR="0" allowOverlap="1" layoutInCell="1" locked="0" behindDoc="1" simplePos="0" relativeHeight="487602688">
            <wp:simplePos x="0" y="0"/>
            <wp:positionH relativeFrom="page">
              <wp:posOffset>1016000</wp:posOffset>
            </wp:positionH>
            <wp:positionV relativeFrom="paragraph">
              <wp:posOffset>150642</wp:posOffset>
            </wp:positionV>
            <wp:extent cx="5637497" cy="3157251"/>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37" cstate="print"/>
                    <a:stretch>
                      <a:fillRect/>
                    </a:stretch>
                  </pic:blipFill>
                  <pic:spPr>
                    <a:xfrm>
                      <a:off x="0" y="0"/>
                      <a:ext cx="5637497" cy="3157251"/>
                    </a:xfrm>
                    <a:prstGeom prst="rect">
                      <a:avLst/>
                    </a:prstGeom>
                  </pic:spPr>
                </pic:pic>
              </a:graphicData>
            </a:graphic>
          </wp:anchor>
        </w:drawing>
      </w:r>
    </w:p>
    <w:p>
      <w:pPr>
        <w:spacing w:before="20"/>
        <w:ind w:left="712" w:right="1073" w:firstLine="0"/>
        <w:jc w:val="center"/>
        <w:rPr>
          <w:rFonts w:ascii="Calibri"/>
          <w:i/>
          <w:sz w:val="20"/>
        </w:rPr>
      </w:pPr>
      <w:r>
        <w:rPr>
          <w:rFonts w:ascii="Calibri"/>
          <w:i/>
          <w:color w:val="0D0E0E"/>
          <w:sz w:val="20"/>
        </w:rPr>
        <w:t>Quantum</w:t>
      </w:r>
      <w:r>
        <w:rPr>
          <w:rFonts w:ascii="Calibri"/>
          <w:i/>
          <w:color w:val="0D0E0E"/>
          <w:spacing w:val="-10"/>
          <w:sz w:val="20"/>
        </w:rPr>
        <w:t> </w:t>
      </w:r>
      <w:r>
        <w:rPr>
          <w:rFonts w:ascii="Calibri"/>
          <w:i/>
          <w:color w:val="0D0E0E"/>
          <w:spacing w:val="-2"/>
          <w:sz w:val="20"/>
        </w:rPr>
        <w:t>Finance</w:t>
      </w:r>
    </w:p>
    <w:p>
      <w:pPr>
        <w:pStyle w:val="BodyText"/>
        <w:rPr>
          <w:rFonts w:ascii="Calibri"/>
          <w:i/>
          <w:sz w:val="20"/>
        </w:rPr>
      </w:pPr>
    </w:p>
    <w:p>
      <w:pPr>
        <w:pStyle w:val="BodyText"/>
        <w:rPr>
          <w:rFonts w:ascii="Calibri"/>
          <w:i/>
          <w:sz w:val="20"/>
        </w:rPr>
      </w:pPr>
    </w:p>
    <w:p>
      <w:pPr>
        <w:pStyle w:val="BodyText"/>
        <w:spacing w:before="27"/>
        <w:rPr>
          <w:rFonts w:ascii="Calibri"/>
          <w:i/>
          <w:sz w:val="20"/>
        </w:rPr>
      </w:pPr>
    </w:p>
    <w:p>
      <w:pPr>
        <w:pStyle w:val="Heading3"/>
      </w:pPr>
      <w:r>
        <w:rPr>
          <w:color w:val="FF0000"/>
        </w:rPr>
        <w:t>Renda</w:t>
      </w:r>
      <w:r>
        <w:rPr>
          <w:color w:val="FF0000"/>
          <w:spacing w:val="-6"/>
        </w:rPr>
        <w:t> </w:t>
      </w:r>
      <w:r>
        <w:rPr>
          <w:color w:val="FF0000"/>
          <w:spacing w:val="-4"/>
        </w:rPr>
        <w:t>Fixa</w:t>
      </w:r>
    </w:p>
    <w:p>
      <w:pPr>
        <w:pStyle w:val="BodyText"/>
        <w:spacing w:before="239"/>
        <w:ind w:left="184" w:right="1254" w:firstLine="707"/>
        <w:jc w:val="both"/>
      </w:pPr>
      <w:r>
        <w:rPr>
          <w:color w:val="0D0E0E"/>
        </w:rPr>
        <w:t>Nos</w:t>
      </w:r>
      <w:r>
        <w:rPr>
          <w:color w:val="0D0E0E"/>
          <w:spacing w:val="-11"/>
        </w:rPr>
        <w:t> </w:t>
      </w:r>
      <w:r>
        <w:rPr>
          <w:color w:val="0D0E0E"/>
        </w:rPr>
        <w:t>índices</w:t>
      </w:r>
      <w:r>
        <w:rPr>
          <w:color w:val="0D0E0E"/>
          <w:spacing w:val="-11"/>
        </w:rPr>
        <w:t> </w:t>
      </w:r>
      <w:r>
        <w:rPr>
          <w:color w:val="0D0E0E"/>
        </w:rPr>
        <w:t>ANBIMA,</w:t>
      </w:r>
      <w:r>
        <w:rPr>
          <w:color w:val="0D0E0E"/>
          <w:spacing w:val="-8"/>
        </w:rPr>
        <w:t> </w:t>
      </w:r>
      <w:r>
        <w:rPr>
          <w:color w:val="0D0E0E"/>
        </w:rPr>
        <w:t>o</w:t>
      </w:r>
      <w:r>
        <w:rPr>
          <w:color w:val="0D0E0E"/>
          <w:spacing w:val="-11"/>
        </w:rPr>
        <w:t> </w:t>
      </w:r>
      <w:r>
        <w:rPr>
          <w:color w:val="0D0E0E"/>
        </w:rPr>
        <w:t>fechamento</w:t>
      </w:r>
      <w:r>
        <w:rPr>
          <w:color w:val="0D0E0E"/>
          <w:spacing w:val="-10"/>
        </w:rPr>
        <w:t> </w:t>
      </w:r>
      <w:r>
        <w:rPr>
          <w:color w:val="0D0E0E"/>
        </w:rPr>
        <w:t>da</w:t>
      </w:r>
      <w:r>
        <w:rPr>
          <w:color w:val="0D0E0E"/>
          <w:spacing w:val="-13"/>
        </w:rPr>
        <w:t> </w:t>
      </w:r>
      <w:r>
        <w:rPr>
          <w:color w:val="0D0E0E"/>
        </w:rPr>
        <w:t>curva</w:t>
      </w:r>
      <w:r>
        <w:rPr>
          <w:color w:val="0D0E0E"/>
          <w:spacing w:val="-10"/>
        </w:rPr>
        <w:t> </w:t>
      </w:r>
      <w:r>
        <w:rPr>
          <w:color w:val="0D0E0E"/>
        </w:rPr>
        <w:t>de</w:t>
      </w:r>
      <w:r>
        <w:rPr>
          <w:color w:val="0D0E0E"/>
          <w:spacing w:val="-13"/>
        </w:rPr>
        <w:t> </w:t>
      </w:r>
      <w:r>
        <w:rPr>
          <w:color w:val="0D0E0E"/>
        </w:rPr>
        <w:t>juros</w:t>
      </w:r>
      <w:r>
        <w:rPr>
          <w:color w:val="0D0E0E"/>
          <w:spacing w:val="-11"/>
        </w:rPr>
        <w:t> </w:t>
      </w:r>
      <w:r>
        <w:rPr>
          <w:color w:val="0D0E0E"/>
        </w:rPr>
        <w:t>impulsionou</w:t>
      </w:r>
      <w:r>
        <w:rPr>
          <w:color w:val="0D0E0E"/>
          <w:spacing w:val="-10"/>
        </w:rPr>
        <w:t> </w:t>
      </w:r>
      <w:r>
        <w:rPr>
          <w:color w:val="0D0E0E"/>
        </w:rPr>
        <w:t>os</w:t>
      </w:r>
      <w:r>
        <w:rPr>
          <w:color w:val="0D0E0E"/>
          <w:spacing w:val="-11"/>
        </w:rPr>
        <w:t> </w:t>
      </w:r>
      <w:r>
        <w:rPr>
          <w:color w:val="0D0E0E"/>
        </w:rPr>
        <w:t>indicadores de renda fixa no geral, tanto os pré-fixados como os pós. O apetite ao risco não fez com que a renda fixa parasse de ser atrativa, porém, a expectativa é de queda da Selic até meados de 2024, prejudicando os rendimentos atrelados a taxa de juros.</w:t>
      </w:r>
    </w:p>
    <w:p>
      <w:pPr>
        <w:pStyle w:val="BodyText"/>
        <w:spacing w:before="241"/>
        <w:ind w:left="184" w:right="1256" w:firstLine="707"/>
        <w:jc w:val="both"/>
      </w:pPr>
      <w:r>
        <w:rPr>
          <w:color w:val="0D0E0E"/>
        </w:rPr>
        <w:t>O</w:t>
      </w:r>
      <w:r>
        <w:rPr>
          <w:color w:val="0D0E0E"/>
          <w:spacing w:val="-6"/>
        </w:rPr>
        <w:t> </w:t>
      </w:r>
      <w:r>
        <w:rPr>
          <w:color w:val="0D0E0E"/>
        </w:rPr>
        <w:t>destaque</w:t>
      </w:r>
      <w:r>
        <w:rPr>
          <w:color w:val="0D0E0E"/>
          <w:spacing w:val="-5"/>
        </w:rPr>
        <w:t> </w:t>
      </w:r>
      <w:r>
        <w:rPr>
          <w:color w:val="0D0E0E"/>
        </w:rPr>
        <w:t>do</w:t>
      </w:r>
      <w:r>
        <w:rPr>
          <w:color w:val="0D0E0E"/>
          <w:spacing w:val="-5"/>
        </w:rPr>
        <w:t> </w:t>
      </w:r>
      <w:r>
        <w:rPr>
          <w:color w:val="0D0E0E"/>
        </w:rPr>
        <w:t>mês</w:t>
      </w:r>
      <w:r>
        <w:rPr>
          <w:color w:val="0D0E0E"/>
          <w:spacing w:val="-5"/>
        </w:rPr>
        <w:t> </w:t>
      </w:r>
      <w:r>
        <w:rPr>
          <w:color w:val="0D0E0E"/>
        </w:rPr>
        <w:t>de</w:t>
      </w:r>
      <w:r>
        <w:rPr>
          <w:color w:val="0D0E0E"/>
          <w:spacing w:val="-4"/>
        </w:rPr>
        <w:t> </w:t>
      </w:r>
      <w:r>
        <w:rPr>
          <w:color w:val="0D0E0E"/>
        </w:rPr>
        <w:t>novembro</w:t>
      </w:r>
      <w:r>
        <w:rPr>
          <w:color w:val="0D0E0E"/>
          <w:spacing w:val="-5"/>
        </w:rPr>
        <w:t> </w:t>
      </w:r>
      <w:r>
        <w:rPr>
          <w:color w:val="0D0E0E"/>
        </w:rPr>
        <w:t>foi</w:t>
      </w:r>
      <w:r>
        <w:rPr>
          <w:color w:val="0D0E0E"/>
          <w:spacing w:val="-2"/>
        </w:rPr>
        <w:t> </w:t>
      </w:r>
      <w:r>
        <w:rPr>
          <w:color w:val="0D0E0E"/>
        </w:rPr>
        <w:t>dado</w:t>
      </w:r>
      <w:r>
        <w:rPr>
          <w:color w:val="0D0E0E"/>
          <w:spacing w:val="-5"/>
        </w:rPr>
        <w:t> </w:t>
      </w:r>
      <w:r>
        <w:rPr>
          <w:color w:val="0D0E0E"/>
        </w:rPr>
        <w:t>pelos</w:t>
      </w:r>
      <w:r>
        <w:rPr>
          <w:color w:val="0D0E0E"/>
          <w:spacing w:val="-5"/>
        </w:rPr>
        <w:t> </w:t>
      </w:r>
      <w:r>
        <w:rPr>
          <w:color w:val="0D0E0E"/>
        </w:rPr>
        <w:t>indicadores</w:t>
      </w:r>
      <w:r>
        <w:rPr>
          <w:color w:val="0D0E0E"/>
          <w:spacing w:val="-4"/>
        </w:rPr>
        <w:t> </w:t>
      </w:r>
      <w:r>
        <w:rPr>
          <w:color w:val="0D0E0E"/>
        </w:rPr>
        <w:t>prefixados</w:t>
      </w:r>
      <w:r>
        <w:rPr>
          <w:color w:val="0D0E0E"/>
          <w:spacing w:val="-5"/>
        </w:rPr>
        <w:t> </w:t>
      </w:r>
      <w:r>
        <w:rPr>
          <w:color w:val="0D0E0E"/>
        </w:rPr>
        <w:t>de</w:t>
      </w:r>
      <w:r>
        <w:rPr>
          <w:color w:val="0D0E0E"/>
          <w:spacing w:val="-4"/>
        </w:rPr>
        <w:t> </w:t>
      </w:r>
      <w:r>
        <w:rPr>
          <w:color w:val="0D0E0E"/>
        </w:rPr>
        <w:t>médio prazo, que são justamente os mais beneficiados com a tendência de queda da Selic. O IRF-M</w:t>
      </w:r>
      <w:r>
        <w:rPr>
          <w:color w:val="0D0E0E"/>
          <w:spacing w:val="-11"/>
        </w:rPr>
        <w:t> </w:t>
      </w:r>
      <w:r>
        <w:rPr>
          <w:color w:val="0D0E0E"/>
        </w:rPr>
        <w:t>e</w:t>
      </w:r>
      <w:r>
        <w:rPr>
          <w:color w:val="0D0E0E"/>
          <w:spacing w:val="-12"/>
        </w:rPr>
        <w:t> </w:t>
      </w:r>
      <w:r>
        <w:rPr>
          <w:color w:val="0D0E0E"/>
        </w:rPr>
        <w:t>o</w:t>
      </w:r>
      <w:r>
        <w:rPr>
          <w:color w:val="0D0E0E"/>
          <w:spacing w:val="-12"/>
        </w:rPr>
        <w:t> </w:t>
      </w:r>
      <w:r>
        <w:rPr>
          <w:color w:val="0D0E0E"/>
        </w:rPr>
        <w:t>IRF-M</w:t>
      </w:r>
      <w:r>
        <w:rPr>
          <w:color w:val="0D0E0E"/>
          <w:spacing w:val="-11"/>
        </w:rPr>
        <w:t> </w:t>
      </w:r>
      <w:r>
        <w:rPr>
          <w:color w:val="0D0E0E"/>
        </w:rPr>
        <w:t>1+,</w:t>
      </w:r>
      <w:r>
        <w:rPr>
          <w:color w:val="0D0E0E"/>
          <w:spacing w:val="-11"/>
        </w:rPr>
        <w:t> </w:t>
      </w:r>
      <w:r>
        <w:rPr>
          <w:color w:val="0D0E0E"/>
        </w:rPr>
        <w:t>além</w:t>
      </w:r>
      <w:r>
        <w:rPr>
          <w:color w:val="0D0E0E"/>
          <w:spacing w:val="-13"/>
        </w:rPr>
        <w:t> </w:t>
      </w:r>
      <w:r>
        <w:rPr>
          <w:color w:val="0D0E0E"/>
        </w:rPr>
        <w:t>do</w:t>
      </w:r>
      <w:r>
        <w:rPr>
          <w:color w:val="0D0E0E"/>
          <w:spacing w:val="-12"/>
        </w:rPr>
        <w:t> </w:t>
      </w:r>
      <w:r>
        <w:rPr>
          <w:color w:val="0D0E0E"/>
        </w:rPr>
        <w:t>IDkA</w:t>
      </w:r>
      <w:r>
        <w:rPr>
          <w:color w:val="0D0E0E"/>
          <w:spacing w:val="-13"/>
        </w:rPr>
        <w:t> </w:t>
      </w:r>
      <w:r>
        <w:rPr>
          <w:color w:val="0D0E0E"/>
        </w:rPr>
        <w:t>Pré</w:t>
      </w:r>
      <w:r>
        <w:rPr>
          <w:color w:val="0D0E0E"/>
          <w:spacing w:val="-10"/>
        </w:rPr>
        <w:t> </w:t>
      </w:r>
      <w:r>
        <w:rPr>
          <w:color w:val="0D0E0E"/>
        </w:rPr>
        <w:t>2A</w:t>
      </w:r>
      <w:r>
        <w:rPr>
          <w:color w:val="0D0E0E"/>
          <w:spacing w:val="-13"/>
        </w:rPr>
        <w:t> </w:t>
      </w:r>
      <w:r>
        <w:rPr>
          <w:color w:val="0D0E0E"/>
        </w:rPr>
        <w:t>tiveram</w:t>
      </w:r>
      <w:r>
        <w:rPr>
          <w:color w:val="0D0E0E"/>
          <w:spacing w:val="-13"/>
        </w:rPr>
        <w:t> </w:t>
      </w:r>
      <w:r>
        <w:rPr>
          <w:color w:val="0D0E0E"/>
        </w:rPr>
        <w:t>os</w:t>
      </w:r>
      <w:r>
        <w:rPr>
          <w:color w:val="0D0E0E"/>
          <w:spacing w:val="-12"/>
        </w:rPr>
        <w:t> </w:t>
      </w:r>
      <w:r>
        <w:rPr>
          <w:color w:val="0D0E0E"/>
        </w:rPr>
        <w:t>maiores</w:t>
      </w:r>
      <w:r>
        <w:rPr>
          <w:color w:val="0D0E0E"/>
          <w:spacing w:val="-9"/>
        </w:rPr>
        <w:t> </w:t>
      </w:r>
      <w:r>
        <w:rPr>
          <w:color w:val="0D0E0E"/>
        </w:rPr>
        <w:t>retornos</w:t>
      </w:r>
      <w:r>
        <w:rPr>
          <w:color w:val="0D0E0E"/>
          <w:spacing w:val="-9"/>
        </w:rPr>
        <w:t> </w:t>
      </w:r>
      <w:r>
        <w:rPr>
          <w:color w:val="0D0E0E"/>
        </w:rPr>
        <w:t>do</w:t>
      </w:r>
      <w:r>
        <w:rPr>
          <w:color w:val="0D0E0E"/>
          <w:spacing w:val="-12"/>
        </w:rPr>
        <w:t> </w:t>
      </w:r>
      <w:r>
        <w:rPr>
          <w:color w:val="0D0E0E"/>
        </w:rPr>
        <w:t>mês,</w:t>
      </w:r>
      <w:r>
        <w:rPr>
          <w:color w:val="0D0E0E"/>
          <w:spacing w:val="-11"/>
        </w:rPr>
        <w:t> </w:t>
      </w:r>
      <w:r>
        <w:rPr>
          <w:color w:val="0D0E0E"/>
        </w:rPr>
        <w:t>excluindo o IMA-Geral que possui todos os indicadores dentro do índice.</w:t>
      </w:r>
    </w:p>
    <w:p>
      <w:pPr>
        <w:pStyle w:val="BodyText"/>
        <w:spacing w:before="1"/>
        <w:rPr>
          <w:sz w:val="20"/>
        </w:rPr>
      </w:pPr>
    </w:p>
    <w:tbl>
      <w:tblPr>
        <w:tblW w:w="0" w:type="auto"/>
        <w:jc w:val="left"/>
        <w:tblInd w:w="962" w:type="dxa"/>
        <w:tblBorders>
          <w:top w:val="single" w:sz="6" w:space="0" w:color="4E80A6"/>
          <w:left w:val="single" w:sz="6" w:space="0" w:color="4E80A6"/>
          <w:bottom w:val="single" w:sz="6" w:space="0" w:color="4E80A6"/>
          <w:right w:val="single" w:sz="6" w:space="0" w:color="4E80A6"/>
          <w:insideH w:val="single" w:sz="6" w:space="0" w:color="4E80A6"/>
          <w:insideV w:val="single" w:sz="6" w:space="0" w:color="4E80A6"/>
        </w:tblBorders>
        <w:tblLayout w:type="fixed"/>
        <w:tblCellMar>
          <w:top w:w="0" w:type="dxa"/>
          <w:left w:w="0" w:type="dxa"/>
          <w:bottom w:w="0" w:type="dxa"/>
          <w:right w:w="0" w:type="dxa"/>
        </w:tblCellMar>
        <w:tblLook w:val="01E0"/>
      </w:tblPr>
      <w:tblGrid>
        <w:gridCol w:w="1749"/>
        <w:gridCol w:w="2806"/>
        <w:gridCol w:w="2806"/>
      </w:tblGrid>
      <w:tr>
        <w:trPr>
          <w:trHeight w:val="650" w:hRule="atLeast"/>
        </w:trPr>
        <w:tc>
          <w:tcPr>
            <w:tcW w:w="1749" w:type="dxa"/>
            <w:tcBorders>
              <w:top w:val="nil"/>
              <w:bottom w:val="single" w:sz="6" w:space="0" w:color="D3D3D3"/>
            </w:tcBorders>
          </w:tcPr>
          <w:p>
            <w:pPr>
              <w:pStyle w:val="TableParagraph"/>
              <w:spacing w:before="86"/>
              <w:ind w:left="47" w:right="40"/>
              <w:jc w:val="center"/>
              <w:rPr>
                <w:rFonts w:ascii="Verdana"/>
                <w:b/>
                <w:sz w:val="17"/>
              </w:rPr>
            </w:pPr>
            <w:r>
              <w:rPr>
                <w:rFonts w:ascii="Verdana"/>
                <w:b/>
                <w:sz w:val="17"/>
              </w:rPr>
              <mc:AlternateContent>
                <mc:Choice Requires="wps">
                  <w:drawing>
                    <wp:anchor distT="0" distB="0" distL="0" distR="0" allowOverlap="1" layoutInCell="1" locked="0" behindDoc="1" simplePos="0" relativeHeight="487118848">
                      <wp:simplePos x="0" y="0"/>
                      <wp:positionH relativeFrom="column">
                        <wp:posOffset>4295</wp:posOffset>
                      </wp:positionH>
                      <wp:positionV relativeFrom="paragraph">
                        <wp:posOffset>8160</wp:posOffset>
                      </wp:positionV>
                      <wp:extent cx="4674235" cy="20701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4674235" cy="207010"/>
                                <a:chExt cx="4674235" cy="207010"/>
                              </a:xfrm>
                            </wpg:grpSpPr>
                            <wps:wsp>
                              <wps:cNvPr id="33" name="Graphic 33"/>
                              <wps:cNvSpPr/>
                              <wps:spPr>
                                <a:xfrm>
                                  <a:off x="0" y="0"/>
                                  <a:ext cx="4674235" cy="207010"/>
                                </a:xfrm>
                                <a:custGeom>
                                  <a:avLst/>
                                  <a:gdLst/>
                                  <a:ahLst/>
                                  <a:cxnLst/>
                                  <a:rect l="l" t="t" r="r" b="b"/>
                                  <a:pathLst>
                                    <a:path w="4674235" h="207010">
                                      <a:moveTo>
                                        <a:pt x="0" y="206410"/>
                                      </a:moveTo>
                                      <a:lnTo>
                                        <a:pt x="4673794" y="206410"/>
                                      </a:lnTo>
                                      <a:lnTo>
                                        <a:pt x="4673794" y="0"/>
                                      </a:lnTo>
                                      <a:lnTo>
                                        <a:pt x="0" y="0"/>
                                      </a:lnTo>
                                      <a:lnTo>
                                        <a:pt x="0" y="206410"/>
                                      </a:lnTo>
                                      <a:close/>
                                    </a:path>
                                  </a:pathLst>
                                </a:custGeom>
                                <a:solidFill>
                                  <a:srgbClr val="E84716"/>
                                </a:solidFill>
                              </wps:spPr>
                              <wps:bodyPr wrap="square" lIns="0" tIns="0" rIns="0" bIns="0" rtlCol="0">
                                <a:prstTxWarp prst="textNoShape">
                                  <a:avLst/>
                                </a:prstTxWarp>
                                <a:noAutofit/>
                              </wps:bodyPr>
                            </wps:wsp>
                          </wpg:wgp>
                        </a:graphicData>
                      </a:graphic>
                    </wp:anchor>
                  </w:drawing>
                </mc:Choice>
                <mc:Fallback>
                  <w:pict>
                    <v:group style="position:absolute;margin-left:.338241pt;margin-top:.642524pt;width:368.05pt;height:16.3pt;mso-position-horizontal-relative:column;mso-position-vertical-relative:paragraph;z-index:-16197632" id="docshapegroup1" coordorigin="7,13" coordsize="7361,326">
                      <v:rect style="position:absolute;left:6;top:12;width:7361;height:326" id="docshape2" filled="true" fillcolor="#e84716" stroked="false">
                        <v:fill type="solid"/>
                      </v:rect>
                      <w10:wrap type="none"/>
                    </v:group>
                  </w:pict>
                </mc:Fallback>
              </mc:AlternateContent>
            </w:r>
            <w:r>
              <w:rPr>
                <w:rFonts w:ascii="Verdana"/>
                <w:b/>
                <w:color w:val="FFFFFF"/>
                <w:spacing w:val="-4"/>
                <w:w w:val="105"/>
                <w:sz w:val="17"/>
              </w:rPr>
              <w:t>Nome</w:t>
            </w:r>
          </w:p>
          <w:p>
            <w:pPr>
              <w:pStyle w:val="TableParagraph"/>
              <w:spacing w:before="119"/>
              <w:ind w:left="47" w:right="13"/>
              <w:jc w:val="center"/>
              <w:rPr>
                <w:rFonts w:ascii="Verdana"/>
                <w:sz w:val="17"/>
              </w:rPr>
            </w:pPr>
            <w:r>
              <w:rPr>
                <w:rFonts w:ascii="Verdana"/>
                <w:sz w:val="17"/>
              </w:rPr>
              <w:t>IMA-B</w:t>
            </w:r>
            <w:r>
              <w:rPr>
                <w:rFonts w:ascii="Verdana"/>
                <w:spacing w:val="16"/>
                <w:sz w:val="17"/>
              </w:rPr>
              <w:t> </w:t>
            </w:r>
            <w:r>
              <w:rPr>
                <w:rFonts w:ascii="Verdana"/>
                <w:spacing w:val="-5"/>
                <w:sz w:val="17"/>
              </w:rPr>
              <w:t>5+</w:t>
            </w:r>
          </w:p>
        </w:tc>
        <w:tc>
          <w:tcPr>
            <w:tcW w:w="2806" w:type="dxa"/>
            <w:tcBorders>
              <w:top w:val="nil"/>
              <w:bottom w:val="single" w:sz="6" w:space="0" w:color="D3D3D3"/>
            </w:tcBorders>
          </w:tcPr>
          <w:p>
            <w:pPr>
              <w:pStyle w:val="TableParagraph"/>
              <w:spacing w:before="86"/>
              <w:ind w:left="24" w:right="17"/>
              <w:jc w:val="center"/>
              <w:rPr>
                <w:rFonts w:ascii="Verdana"/>
                <w:b/>
                <w:sz w:val="17"/>
              </w:rPr>
            </w:pPr>
            <w:r>
              <w:rPr>
                <w:rFonts w:ascii="Verdana"/>
                <w:b/>
                <w:color w:val="FFFFFF"/>
                <w:sz w:val="17"/>
              </w:rPr>
              <w:t>Retorno</w:t>
            </w:r>
            <w:r>
              <w:rPr>
                <w:rFonts w:ascii="Verdana"/>
                <w:b/>
                <w:color w:val="FFFFFF"/>
                <w:spacing w:val="-6"/>
                <w:sz w:val="17"/>
              </w:rPr>
              <w:t> </w:t>
            </w:r>
            <w:r>
              <w:rPr>
                <w:rFonts w:ascii="Verdana"/>
                <w:b/>
                <w:color w:val="FFFFFF"/>
                <w:spacing w:val="-2"/>
                <w:sz w:val="17"/>
              </w:rPr>
              <w:t>Novembro</w:t>
            </w:r>
          </w:p>
          <w:p>
            <w:pPr>
              <w:pStyle w:val="TableParagraph"/>
              <w:spacing w:before="119"/>
              <w:ind w:left="24"/>
              <w:jc w:val="center"/>
              <w:rPr>
                <w:rFonts w:ascii="Verdana"/>
                <w:sz w:val="17"/>
              </w:rPr>
            </w:pPr>
            <w:r>
              <w:rPr>
                <w:rFonts w:ascii="Verdana"/>
                <w:spacing w:val="-4"/>
                <w:w w:val="105"/>
                <w:sz w:val="17"/>
              </w:rPr>
              <w:t>3,25%</w:t>
            </w:r>
          </w:p>
        </w:tc>
        <w:tc>
          <w:tcPr>
            <w:tcW w:w="2806" w:type="dxa"/>
            <w:tcBorders>
              <w:top w:val="nil"/>
              <w:bottom w:val="single" w:sz="6" w:space="0" w:color="D3D3D3"/>
            </w:tcBorders>
          </w:tcPr>
          <w:p>
            <w:pPr>
              <w:pStyle w:val="TableParagraph"/>
              <w:spacing w:before="86"/>
              <w:ind w:left="24" w:right="3"/>
              <w:jc w:val="center"/>
              <w:rPr>
                <w:rFonts w:ascii="Verdana"/>
                <w:b/>
                <w:sz w:val="17"/>
              </w:rPr>
            </w:pPr>
            <w:r>
              <w:rPr>
                <w:rFonts w:ascii="Verdana"/>
                <w:b/>
                <w:color w:val="FFFFFF"/>
                <w:sz w:val="17"/>
              </w:rPr>
              <w:t>Retorno</w:t>
            </w:r>
            <w:r>
              <w:rPr>
                <w:rFonts w:ascii="Verdana"/>
                <w:b/>
                <w:color w:val="FFFFFF"/>
                <w:spacing w:val="-6"/>
                <w:sz w:val="17"/>
              </w:rPr>
              <w:t> </w:t>
            </w:r>
            <w:r>
              <w:rPr>
                <w:rFonts w:ascii="Verdana"/>
                <w:b/>
                <w:color w:val="FFFFFF"/>
                <w:spacing w:val="-5"/>
                <w:sz w:val="17"/>
              </w:rPr>
              <w:t>Ano</w:t>
            </w:r>
          </w:p>
          <w:p>
            <w:pPr>
              <w:pStyle w:val="TableParagraph"/>
              <w:spacing w:before="119"/>
              <w:ind w:left="24"/>
              <w:jc w:val="center"/>
              <w:rPr>
                <w:rFonts w:ascii="Verdana"/>
                <w:sz w:val="17"/>
              </w:rPr>
            </w:pPr>
            <w:r>
              <w:rPr>
                <w:rFonts w:ascii="Verdana"/>
                <w:spacing w:val="-2"/>
                <w:w w:val="105"/>
                <w:sz w:val="17"/>
              </w:rPr>
              <w:t>15,14%</w:t>
            </w:r>
          </w:p>
        </w:tc>
      </w:tr>
      <w:tr>
        <w:trPr>
          <w:trHeight w:val="310" w:hRule="atLeast"/>
        </w:trPr>
        <w:tc>
          <w:tcPr>
            <w:tcW w:w="1749" w:type="dxa"/>
            <w:tcBorders>
              <w:top w:val="single" w:sz="6" w:space="0" w:color="D3D3D3"/>
              <w:bottom w:val="single" w:sz="6" w:space="0" w:color="D3D3D3"/>
            </w:tcBorders>
          </w:tcPr>
          <w:p>
            <w:pPr>
              <w:pStyle w:val="TableParagraph"/>
              <w:ind w:left="47"/>
              <w:jc w:val="center"/>
              <w:rPr>
                <w:rFonts w:ascii="Verdana"/>
                <w:sz w:val="17"/>
              </w:rPr>
            </w:pPr>
            <w:r>
              <w:rPr>
                <w:rFonts w:ascii="Verdana"/>
                <w:w w:val="105"/>
                <w:sz w:val="17"/>
              </w:rPr>
              <w:t>IRF-M</w:t>
            </w:r>
            <w:r>
              <w:rPr>
                <w:rFonts w:ascii="Verdana"/>
                <w:spacing w:val="-8"/>
                <w:w w:val="105"/>
                <w:sz w:val="17"/>
              </w:rPr>
              <w:t> </w:t>
            </w:r>
            <w:r>
              <w:rPr>
                <w:rFonts w:ascii="Verdana"/>
                <w:spacing w:val="-5"/>
                <w:w w:val="105"/>
                <w:sz w:val="17"/>
              </w:rPr>
              <w:t>1+</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4"/>
                <w:w w:val="105"/>
                <w:sz w:val="17"/>
              </w:rPr>
              <w:t>3,19%</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2"/>
                <w:w w:val="105"/>
                <w:sz w:val="17"/>
              </w:rPr>
              <w:t>16,96%</w:t>
            </w:r>
          </w:p>
        </w:tc>
      </w:tr>
      <w:tr>
        <w:trPr>
          <w:trHeight w:val="310" w:hRule="atLeast"/>
        </w:trPr>
        <w:tc>
          <w:tcPr>
            <w:tcW w:w="1749" w:type="dxa"/>
            <w:tcBorders>
              <w:top w:val="single" w:sz="6" w:space="0" w:color="D3D3D3"/>
              <w:bottom w:val="single" w:sz="6" w:space="0" w:color="D3D3D3"/>
            </w:tcBorders>
          </w:tcPr>
          <w:p>
            <w:pPr>
              <w:pStyle w:val="TableParagraph"/>
              <w:ind w:left="47" w:right="41"/>
              <w:jc w:val="center"/>
              <w:rPr>
                <w:rFonts w:ascii="Verdana" w:hAnsi="Verdana"/>
                <w:sz w:val="17"/>
              </w:rPr>
            </w:pPr>
            <w:r>
              <w:rPr>
                <w:rFonts w:ascii="Verdana" w:hAnsi="Verdana"/>
                <w:w w:val="105"/>
                <w:sz w:val="17"/>
              </w:rPr>
              <w:t>IDkA</w:t>
            </w:r>
            <w:r>
              <w:rPr>
                <w:rFonts w:ascii="Verdana" w:hAnsi="Verdana"/>
                <w:spacing w:val="-16"/>
                <w:w w:val="105"/>
                <w:sz w:val="17"/>
              </w:rPr>
              <w:t> </w:t>
            </w:r>
            <w:r>
              <w:rPr>
                <w:rFonts w:ascii="Verdana" w:hAnsi="Verdana"/>
                <w:w w:val="105"/>
                <w:sz w:val="17"/>
              </w:rPr>
              <w:t>Pré</w:t>
            </w:r>
            <w:r>
              <w:rPr>
                <w:rFonts w:ascii="Verdana" w:hAnsi="Verdana"/>
                <w:spacing w:val="-12"/>
                <w:w w:val="105"/>
                <w:sz w:val="17"/>
              </w:rPr>
              <w:t> </w:t>
            </w:r>
            <w:r>
              <w:rPr>
                <w:rFonts w:ascii="Verdana" w:hAnsi="Verdana"/>
                <w:w w:val="105"/>
                <w:sz w:val="17"/>
              </w:rPr>
              <w:t>2</w:t>
            </w:r>
            <w:r>
              <w:rPr>
                <w:rFonts w:ascii="Verdana" w:hAnsi="Verdana"/>
                <w:spacing w:val="-16"/>
                <w:w w:val="105"/>
                <w:sz w:val="17"/>
              </w:rPr>
              <w:t> </w:t>
            </w:r>
            <w:r>
              <w:rPr>
                <w:rFonts w:ascii="Verdana" w:hAnsi="Verdana"/>
                <w:spacing w:val="-4"/>
                <w:w w:val="105"/>
                <w:sz w:val="17"/>
              </w:rPr>
              <w:t>Anos</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4"/>
                <w:w w:val="105"/>
                <w:sz w:val="17"/>
              </w:rPr>
              <w:t>2,73%</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2"/>
                <w:w w:val="105"/>
                <w:sz w:val="17"/>
              </w:rPr>
              <w:t>15,78%</w:t>
            </w:r>
          </w:p>
        </w:tc>
      </w:tr>
      <w:tr>
        <w:trPr>
          <w:trHeight w:val="310" w:hRule="atLeast"/>
        </w:trPr>
        <w:tc>
          <w:tcPr>
            <w:tcW w:w="1749" w:type="dxa"/>
            <w:tcBorders>
              <w:top w:val="single" w:sz="6" w:space="0" w:color="D3D3D3"/>
              <w:bottom w:val="single" w:sz="6" w:space="0" w:color="D3D3D3"/>
            </w:tcBorders>
          </w:tcPr>
          <w:p>
            <w:pPr>
              <w:pStyle w:val="TableParagraph"/>
              <w:ind w:left="47" w:right="23"/>
              <w:jc w:val="center"/>
              <w:rPr>
                <w:rFonts w:ascii="Verdana"/>
                <w:sz w:val="17"/>
              </w:rPr>
            </w:pPr>
            <w:r>
              <w:rPr>
                <w:rFonts w:ascii="Verdana"/>
                <w:sz w:val="17"/>
              </w:rPr>
              <w:t>IMA-</w:t>
            </w:r>
            <w:r>
              <w:rPr>
                <w:rFonts w:ascii="Verdana"/>
                <w:spacing w:val="-10"/>
                <w:sz w:val="17"/>
              </w:rPr>
              <w:t>B</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4"/>
                <w:w w:val="105"/>
                <w:sz w:val="17"/>
              </w:rPr>
              <w:t>2,54%</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2"/>
                <w:w w:val="105"/>
                <w:sz w:val="17"/>
              </w:rPr>
              <w:t>13,35%</w:t>
            </w:r>
          </w:p>
        </w:tc>
      </w:tr>
      <w:tr>
        <w:trPr>
          <w:trHeight w:val="310" w:hRule="atLeast"/>
        </w:trPr>
        <w:tc>
          <w:tcPr>
            <w:tcW w:w="1749" w:type="dxa"/>
            <w:tcBorders>
              <w:top w:val="single" w:sz="6" w:space="0" w:color="D3D3D3"/>
              <w:bottom w:val="single" w:sz="6" w:space="0" w:color="D3D3D3"/>
            </w:tcBorders>
          </w:tcPr>
          <w:p>
            <w:pPr>
              <w:pStyle w:val="TableParagraph"/>
              <w:ind w:left="47" w:right="22"/>
              <w:jc w:val="center"/>
              <w:rPr>
                <w:rFonts w:ascii="Verdana"/>
                <w:sz w:val="17"/>
              </w:rPr>
            </w:pPr>
            <w:r>
              <w:rPr>
                <w:rFonts w:ascii="Verdana"/>
                <w:sz w:val="17"/>
              </w:rPr>
              <w:t>IRF-</w:t>
            </w:r>
            <w:r>
              <w:rPr>
                <w:rFonts w:ascii="Verdana"/>
                <w:spacing w:val="-10"/>
                <w:sz w:val="17"/>
              </w:rPr>
              <w:t>M</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4"/>
                <w:w w:val="105"/>
                <w:sz w:val="17"/>
              </w:rPr>
              <w:t>2,52%</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2"/>
                <w:w w:val="105"/>
                <w:sz w:val="17"/>
              </w:rPr>
              <w:t>15,25%</w:t>
            </w:r>
          </w:p>
        </w:tc>
      </w:tr>
      <w:tr>
        <w:trPr>
          <w:trHeight w:val="310" w:hRule="atLeast"/>
        </w:trPr>
        <w:tc>
          <w:tcPr>
            <w:tcW w:w="1749" w:type="dxa"/>
            <w:tcBorders>
              <w:top w:val="single" w:sz="6" w:space="0" w:color="D3D3D3"/>
              <w:bottom w:val="single" w:sz="6" w:space="0" w:color="D3D3D3"/>
            </w:tcBorders>
          </w:tcPr>
          <w:p>
            <w:pPr>
              <w:pStyle w:val="TableParagraph"/>
              <w:ind w:left="47" w:right="15"/>
              <w:jc w:val="center"/>
              <w:rPr>
                <w:rFonts w:ascii="Verdana"/>
                <w:sz w:val="17"/>
              </w:rPr>
            </w:pPr>
            <w:r>
              <w:rPr>
                <w:rFonts w:ascii="Verdana"/>
                <w:w w:val="105"/>
                <w:sz w:val="17"/>
              </w:rPr>
              <w:t>IMA</w:t>
            </w:r>
            <w:r>
              <w:rPr>
                <w:rFonts w:ascii="Verdana"/>
                <w:spacing w:val="-9"/>
                <w:w w:val="105"/>
                <w:sz w:val="17"/>
              </w:rPr>
              <w:t> </w:t>
            </w:r>
            <w:r>
              <w:rPr>
                <w:rFonts w:ascii="Verdana"/>
                <w:spacing w:val="-2"/>
                <w:w w:val="105"/>
                <w:sz w:val="17"/>
              </w:rPr>
              <w:t>Geral</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4"/>
                <w:w w:val="105"/>
                <w:sz w:val="17"/>
              </w:rPr>
              <w:t>1,85%</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2"/>
                <w:w w:val="105"/>
                <w:sz w:val="17"/>
              </w:rPr>
              <w:t>13,39%</w:t>
            </w:r>
          </w:p>
        </w:tc>
      </w:tr>
      <w:tr>
        <w:trPr>
          <w:trHeight w:val="310" w:hRule="atLeast"/>
        </w:trPr>
        <w:tc>
          <w:tcPr>
            <w:tcW w:w="1749" w:type="dxa"/>
            <w:tcBorders>
              <w:top w:val="single" w:sz="6" w:space="0" w:color="D3D3D3"/>
              <w:bottom w:val="single" w:sz="6" w:space="0" w:color="D3D3D3"/>
            </w:tcBorders>
          </w:tcPr>
          <w:p>
            <w:pPr>
              <w:pStyle w:val="TableParagraph"/>
              <w:ind w:left="47" w:right="42"/>
              <w:jc w:val="center"/>
              <w:rPr>
                <w:rFonts w:ascii="Verdana"/>
                <w:sz w:val="17"/>
              </w:rPr>
            </w:pPr>
            <w:r>
              <w:rPr>
                <w:rFonts w:ascii="Verdana"/>
                <w:spacing w:val="-2"/>
                <w:w w:val="105"/>
                <w:sz w:val="17"/>
              </w:rPr>
              <w:t>IDkA</w:t>
            </w:r>
            <w:r>
              <w:rPr>
                <w:rFonts w:ascii="Verdana"/>
                <w:spacing w:val="-9"/>
                <w:w w:val="105"/>
                <w:sz w:val="17"/>
              </w:rPr>
              <w:t> </w:t>
            </w:r>
            <w:r>
              <w:rPr>
                <w:rFonts w:ascii="Verdana"/>
                <w:spacing w:val="-2"/>
                <w:w w:val="105"/>
                <w:sz w:val="17"/>
              </w:rPr>
              <w:t>IPCA</w:t>
            </w:r>
            <w:r>
              <w:rPr>
                <w:rFonts w:ascii="Verdana"/>
                <w:spacing w:val="-9"/>
                <w:w w:val="105"/>
                <w:sz w:val="17"/>
              </w:rPr>
              <w:t> </w:t>
            </w:r>
            <w:r>
              <w:rPr>
                <w:rFonts w:ascii="Verdana"/>
                <w:spacing w:val="-2"/>
                <w:w w:val="105"/>
                <w:sz w:val="17"/>
              </w:rPr>
              <w:t>2</w:t>
            </w:r>
            <w:r>
              <w:rPr>
                <w:rFonts w:ascii="Verdana"/>
                <w:spacing w:val="-13"/>
                <w:w w:val="105"/>
                <w:sz w:val="17"/>
              </w:rPr>
              <w:t> </w:t>
            </w:r>
            <w:r>
              <w:rPr>
                <w:rFonts w:ascii="Verdana"/>
                <w:spacing w:val="-4"/>
                <w:w w:val="105"/>
                <w:sz w:val="17"/>
              </w:rPr>
              <w:t>Anos</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4"/>
                <w:w w:val="105"/>
                <w:sz w:val="17"/>
              </w:rPr>
              <w:t>1,82%</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2"/>
                <w:w w:val="105"/>
                <w:sz w:val="17"/>
              </w:rPr>
              <w:t>11,04%</w:t>
            </w:r>
          </w:p>
        </w:tc>
      </w:tr>
      <w:tr>
        <w:trPr>
          <w:trHeight w:val="310" w:hRule="atLeast"/>
        </w:trPr>
        <w:tc>
          <w:tcPr>
            <w:tcW w:w="1749" w:type="dxa"/>
            <w:tcBorders>
              <w:top w:val="single" w:sz="6" w:space="0" w:color="D3D3D3"/>
              <w:bottom w:val="single" w:sz="6" w:space="0" w:color="D3D3D3"/>
            </w:tcBorders>
          </w:tcPr>
          <w:p>
            <w:pPr>
              <w:pStyle w:val="TableParagraph"/>
              <w:ind w:left="47" w:right="18"/>
              <w:jc w:val="center"/>
              <w:rPr>
                <w:rFonts w:ascii="Verdana"/>
                <w:sz w:val="17"/>
              </w:rPr>
            </w:pPr>
            <w:r>
              <w:rPr>
                <w:rFonts w:ascii="Verdana"/>
                <w:sz w:val="17"/>
              </w:rPr>
              <w:t>IMA-B</w:t>
            </w:r>
            <w:r>
              <w:rPr>
                <w:rFonts w:ascii="Verdana"/>
                <w:spacing w:val="16"/>
                <w:sz w:val="17"/>
              </w:rPr>
              <w:t> </w:t>
            </w:r>
            <w:r>
              <w:rPr>
                <w:rFonts w:ascii="Verdana"/>
                <w:spacing w:val="-10"/>
                <w:sz w:val="17"/>
              </w:rPr>
              <w:t>5</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4"/>
                <w:w w:val="105"/>
                <w:sz w:val="17"/>
              </w:rPr>
              <w:t>1,78%</w:t>
            </w:r>
          </w:p>
        </w:tc>
        <w:tc>
          <w:tcPr>
            <w:tcW w:w="2806" w:type="dxa"/>
            <w:tcBorders>
              <w:top w:val="single" w:sz="6" w:space="0" w:color="D3D3D3"/>
              <w:bottom w:val="single" w:sz="6" w:space="0" w:color="D3D3D3"/>
            </w:tcBorders>
          </w:tcPr>
          <w:p>
            <w:pPr>
              <w:pStyle w:val="TableParagraph"/>
              <w:ind w:left="24"/>
              <w:jc w:val="center"/>
              <w:rPr>
                <w:rFonts w:ascii="Verdana"/>
                <w:sz w:val="17"/>
              </w:rPr>
            </w:pPr>
            <w:r>
              <w:rPr>
                <w:rFonts w:ascii="Verdana"/>
                <w:spacing w:val="-2"/>
                <w:w w:val="105"/>
                <w:sz w:val="17"/>
              </w:rPr>
              <w:t>10,93%</w:t>
            </w:r>
          </w:p>
        </w:tc>
      </w:tr>
      <w:tr>
        <w:trPr>
          <w:trHeight w:val="310" w:hRule="atLeast"/>
        </w:trPr>
        <w:tc>
          <w:tcPr>
            <w:tcW w:w="1749" w:type="dxa"/>
            <w:tcBorders>
              <w:top w:val="single" w:sz="6" w:space="0" w:color="D3D3D3"/>
            </w:tcBorders>
          </w:tcPr>
          <w:p>
            <w:pPr>
              <w:pStyle w:val="TableParagraph"/>
              <w:ind w:left="47" w:right="32"/>
              <w:jc w:val="center"/>
              <w:rPr>
                <w:rFonts w:ascii="Verdana"/>
                <w:sz w:val="17"/>
              </w:rPr>
            </w:pPr>
            <w:r>
              <w:rPr>
                <w:rFonts w:ascii="Verdana"/>
                <w:w w:val="105"/>
                <w:sz w:val="17"/>
              </w:rPr>
              <w:t>IRF-M</w:t>
            </w:r>
            <w:r>
              <w:rPr>
                <w:rFonts w:ascii="Verdana"/>
                <w:spacing w:val="-8"/>
                <w:w w:val="105"/>
                <w:sz w:val="17"/>
              </w:rPr>
              <w:t> </w:t>
            </w:r>
            <w:r>
              <w:rPr>
                <w:rFonts w:ascii="Verdana"/>
                <w:spacing w:val="-10"/>
                <w:w w:val="105"/>
                <w:sz w:val="17"/>
              </w:rPr>
              <w:t>1</w:t>
            </w:r>
          </w:p>
        </w:tc>
        <w:tc>
          <w:tcPr>
            <w:tcW w:w="2806" w:type="dxa"/>
            <w:tcBorders>
              <w:top w:val="single" w:sz="6" w:space="0" w:color="D3D3D3"/>
            </w:tcBorders>
          </w:tcPr>
          <w:p>
            <w:pPr>
              <w:pStyle w:val="TableParagraph"/>
              <w:ind w:left="24"/>
              <w:jc w:val="center"/>
              <w:rPr>
                <w:rFonts w:ascii="Verdana"/>
                <w:sz w:val="17"/>
              </w:rPr>
            </w:pPr>
            <w:r>
              <w:rPr>
                <w:rFonts w:ascii="Verdana"/>
                <w:spacing w:val="-4"/>
                <w:w w:val="105"/>
                <w:sz w:val="17"/>
              </w:rPr>
              <w:t>1,06%</w:t>
            </w:r>
          </w:p>
        </w:tc>
        <w:tc>
          <w:tcPr>
            <w:tcW w:w="2806" w:type="dxa"/>
            <w:tcBorders>
              <w:top w:val="single" w:sz="6" w:space="0" w:color="D3D3D3"/>
            </w:tcBorders>
          </w:tcPr>
          <w:p>
            <w:pPr>
              <w:pStyle w:val="TableParagraph"/>
              <w:ind w:left="24"/>
              <w:jc w:val="center"/>
              <w:rPr>
                <w:rFonts w:ascii="Verdana"/>
                <w:sz w:val="17"/>
              </w:rPr>
            </w:pPr>
            <w:r>
              <w:rPr>
                <w:rFonts w:ascii="Verdana"/>
                <w:spacing w:val="-2"/>
                <w:w w:val="105"/>
                <w:sz w:val="17"/>
              </w:rPr>
              <w:t>12,64%</w:t>
            </w:r>
          </w:p>
        </w:tc>
      </w:tr>
    </w:tbl>
    <w:p>
      <w:pPr>
        <w:pStyle w:val="TableParagraph"/>
        <w:spacing w:after="0"/>
        <w:jc w:val="center"/>
        <w:rPr>
          <w:rFonts w:ascii="Verdana"/>
          <w:sz w:val="17"/>
        </w:rPr>
        <w:sectPr>
          <w:pgSz w:w="11920" w:h="16850"/>
          <w:pgMar w:top="1280" w:bottom="280" w:left="1417" w:right="141"/>
        </w:sectPr>
      </w:pPr>
    </w:p>
    <w:p>
      <w:pPr>
        <w:pStyle w:val="Heading1"/>
      </w:pPr>
      <w:r>
        <w:rPr>
          <w:color w:val="0D0E0E"/>
        </w:rPr>
        <w:t>CONCLUSÃO</w:t>
      </w:r>
      <w:r>
        <w:rPr>
          <w:color w:val="0D0E0E"/>
          <w:spacing w:val="-3"/>
        </w:rPr>
        <w:t> </w:t>
      </w:r>
      <w:r>
        <w:rPr>
          <w:color w:val="0D0E0E"/>
        </w:rPr>
        <w:t>E</w:t>
      </w:r>
      <w:r>
        <w:rPr>
          <w:color w:val="0D0E0E"/>
          <w:spacing w:val="-3"/>
        </w:rPr>
        <w:t> </w:t>
      </w:r>
      <w:r>
        <w:rPr>
          <w:color w:val="0D0E0E"/>
          <w:spacing w:val="-2"/>
        </w:rPr>
        <w:t>PERSPECTIVAS</w:t>
      </w:r>
    </w:p>
    <w:p>
      <w:pPr>
        <w:pStyle w:val="BodyText"/>
        <w:spacing w:before="240"/>
        <w:ind w:left="184" w:right="1258" w:firstLine="707"/>
        <w:jc w:val="both"/>
      </w:pPr>
      <w:r>
        <w:rPr>
          <w:color w:val="0D0E0E"/>
        </w:rPr>
        <w:t>Em novembro, a curva de juros norte-americana se fechou, causando alívio nos juros globais, que tiveram queda significativa. Isso foi reflexo de dados de atividade econômica nos EUA, que mostrou resiliência nos PMI, dados de emprego vieram positivos e mostraram reequilíbrio no mercado de trabalho. Em relação a inflação, as quedas</w:t>
      </w:r>
      <w:r>
        <w:rPr>
          <w:color w:val="0D0E0E"/>
          <w:spacing w:val="-11"/>
        </w:rPr>
        <w:t> </w:t>
      </w:r>
      <w:r>
        <w:rPr>
          <w:color w:val="0D0E0E"/>
        </w:rPr>
        <w:t>dos</w:t>
      </w:r>
      <w:r>
        <w:rPr>
          <w:color w:val="0D0E0E"/>
          <w:spacing w:val="-11"/>
        </w:rPr>
        <w:t> </w:t>
      </w:r>
      <w:r>
        <w:rPr>
          <w:color w:val="0D0E0E"/>
        </w:rPr>
        <w:t>núcleos</w:t>
      </w:r>
      <w:r>
        <w:rPr>
          <w:color w:val="0D0E0E"/>
          <w:spacing w:val="-11"/>
        </w:rPr>
        <w:t> </w:t>
      </w:r>
      <w:r>
        <w:rPr>
          <w:color w:val="0D0E0E"/>
        </w:rPr>
        <w:t>animaram</w:t>
      </w:r>
      <w:r>
        <w:rPr>
          <w:color w:val="0D0E0E"/>
          <w:spacing w:val="-12"/>
        </w:rPr>
        <w:t> </w:t>
      </w:r>
      <w:r>
        <w:rPr>
          <w:color w:val="0D0E0E"/>
        </w:rPr>
        <w:t>os</w:t>
      </w:r>
      <w:r>
        <w:rPr>
          <w:color w:val="0D0E0E"/>
          <w:spacing w:val="-11"/>
        </w:rPr>
        <w:t> </w:t>
      </w:r>
      <w:r>
        <w:rPr>
          <w:color w:val="0D0E0E"/>
        </w:rPr>
        <w:t>investidores,</w:t>
      </w:r>
      <w:r>
        <w:rPr>
          <w:color w:val="0D0E0E"/>
          <w:spacing w:val="-8"/>
        </w:rPr>
        <w:t> </w:t>
      </w:r>
      <w:r>
        <w:rPr>
          <w:color w:val="0D0E0E"/>
        </w:rPr>
        <w:t>que</w:t>
      </w:r>
      <w:r>
        <w:rPr>
          <w:color w:val="0D0E0E"/>
          <w:spacing w:val="-11"/>
        </w:rPr>
        <w:t> </w:t>
      </w:r>
      <w:r>
        <w:rPr>
          <w:color w:val="0D0E0E"/>
        </w:rPr>
        <w:t>já</w:t>
      </w:r>
      <w:r>
        <w:rPr>
          <w:color w:val="0D0E0E"/>
          <w:spacing w:val="-11"/>
        </w:rPr>
        <w:t> </w:t>
      </w:r>
      <w:r>
        <w:rPr>
          <w:color w:val="0D0E0E"/>
        </w:rPr>
        <w:t>começam</w:t>
      </w:r>
      <w:r>
        <w:rPr>
          <w:color w:val="0D0E0E"/>
          <w:spacing w:val="-11"/>
        </w:rPr>
        <w:t> </w:t>
      </w:r>
      <w:r>
        <w:rPr>
          <w:color w:val="0D0E0E"/>
        </w:rPr>
        <w:t>a</w:t>
      </w:r>
      <w:r>
        <w:rPr>
          <w:color w:val="0D0E0E"/>
          <w:spacing w:val="-11"/>
        </w:rPr>
        <w:t> </w:t>
      </w:r>
      <w:r>
        <w:rPr>
          <w:color w:val="0D0E0E"/>
        </w:rPr>
        <w:t>antecipar</w:t>
      </w:r>
      <w:r>
        <w:rPr>
          <w:color w:val="0D0E0E"/>
          <w:spacing w:val="-12"/>
        </w:rPr>
        <w:t> </w:t>
      </w:r>
      <w:r>
        <w:rPr>
          <w:color w:val="0D0E0E"/>
        </w:rPr>
        <w:t>um</w:t>
      </w:r>
      <w:r>
        <w:rPr>
          <w:color w:val="0D0E0E"/>
          <w:spacing w:val="-12"/>
        </w:rPr>
        <w:t> </w:t>
      </w:r>
      <w:r>
        <w:rPr>
          <w:color w:val="0D0E0E"/>
        </w:rPr>
        <w:t>corte</w:t>
      </w:r>
      <w:r>
        <w:rPr>
          <w:color w:val="0D0E0E"/>
          <w:spacing w:val="-10"/>
        </w:rPr>
        <w:t> </w:t>
      </w:r>
      <w:r>
        <w:rPr>
          <w:color w:val="0D0E0E"/>
        </w:rPr>
        <w:t>dos juros em meados do ano que vem.</w:t>
      </w:r>
    </w:p>
    <w:p>
      <w:pPr>
        <w:pStyle w:val="BodyText"/>
        <w:spacing w:before="241"/>
        <w:ind w:left="184" w:right="1261" w:firstLine="707"/>
        <w:jc w:val="both"/>
      </w:pPr>
      <w:r>
        <w:rPr>
          <w:color w:val="0D0E0E"/>
        </w:rPr>
        <w:t>O cenário de pouso suave nos EUA ganhou força, ou seja, uma diminuição de crescimento e não uma recessão. Apesar de uma estabilização estar próxima, os juros permanecem elevados, com a taxa básica de juros ainda alta e a inflação longe da meta.</w:t>
      </w:r>
    </w:p>
    <w:p>
      <w:pPr>
        <w:pStyle w:val="BodyText"/>
        <w:spacing w:before="239"/>
        <w:ind w:left="184" w:right="1254" w:firstLine="707"/>
        <w:jc w:val="both"/>
      </w:pPr>
      <w:r>
        <w:rPr>
          <w:color w:val="0D0E0E"/>
        </w:rPr>
        <w:t>No Brasil, as incertezas fiscais foram atenuadas pela indicação</w:t>
      </w:r>
      <w:r>
        <w:rPr>
          <w:color w:val="0D0E0E"/>
          <w:spacing w:val="-1"/>
        </w:rPr>
        <w:t> </w:t>
      </w:r>
      <w:r>
        <w:rPr>
          <w:color w:val="0D0E0E"/>
        </w:rPr>
        <w:t>de que o</w:t>
      </w:r>
      <w:r>
        <w:rPr>
          <w:color w:val="0D0E0E"/>
          <w:spacing w:val="-1"/>
        </w:rPr>
        <w:t> </w:t>
      </w:r>
      <w:r>
        <w:rPr>
          <w:color w:val="0D0E0E"/>
        </w:rPr>
        <w:t>governo vai manter o déficit zero como meta fiscal. Além disso, uma surpresa positiva no resultado do PIB alegrou os investidores e reforçou a ideia de que o ritmo de corte da Selic permanecerá sendo de 0,5 p.p. nas próximas reuniões. Esses fatores impulsionaram o Ibovespa, apresentando o maior retorno desde de 2020.</w:t>
      </w:r>
    </w:p>
    <w:p>
      <w:pPr>
        <w:pStyle w:val="BodyText"/>
        <w:spacing w:before="240"/>
        <w:ind w:left="184" w:right="1259" w:firstLine="707"/>
        <w:jc w:val="both"/>
      </w:pPr>
      <w:r>
        <w:rPr>
          <w:color w:val="0D0E0E"/>
        </w:rPr>
        <w:t>Na zona do euro, a atividade se mostra muito mais enfraquecida na medida que os juros permanecem em patamares altos. A política monetária restritiva se mostrou eficiente e seus efeitos são defasados, por isso, a expectativa é a inflação se converta a meta. A China, apesar de mostrar um crescimento positivo, ainda está aquém das </w:t>
      </w:r>
      <w:r>
        <w:rPr>
          <w:color w:val="0D0E0E"/>
          <w:spacing w:val="-2"/>
        </w:rPr>
        <w:t>expectativas.</w:t>
      </w:r>
    </w:p>
    <w:p>
      <w:pPr>
        <w:pStyle w:val="BodyText"/>
        <w:spacing w:before="242"/>
        <w:ind w:left="184" w:right="1259" w:firstLine="707"/>
        <w:jc w:val="both"/>
      </w:pPr>
      <w:r>
        <w:rPr>
          <w:color w:val="0D0E0E"/>
        </w:rPr>
        <w:t>A</w:t>
      </w:r>
      <w:r>
        <w:rPr>
          <w:color w:val="0D0E0E"/>
          <w:spacing w:val="-4"/>
        </w:rPr>
        <w:t> </w:t>
      </w:r>
      <w:r>
        <w:rPr>
          <w:color w:val="0D0E0E"/>
        </w:rPr>
        <w:t>estratégia</w:t>
      </w:r>
      <w:r>
        <w:rPr>
          <w:color w:val="0D0E0E"/>
          <w:spacing w:val="-4"/>
        </w:rPr>
        <w:t> </w:t>
      </w:r>
      <w:r>
        <w:rPr>
          <w:color w:val="0D0E0E"/>
        </w:rPr>
        <w:t>das</w:t>
      </w:r>
      <w:r>
        <w:rPr>
          <w:color w:val="0D0E0E"/>
          <w:spacing w:val="-3"/>
        </w:rPr>
        <w:t> </w:t>
      </w:r>
      <w:r>
        <w:rPr>
          <w:color w:val="0D0E0E"/>
        </w:rPr>
        <w:t>principais</w:t>
      </w:r>
      <w:r>
        <w:rPr>
          <w:color w:val="0D0E0E"/>
          <w:spacing w:val="-3"/>
        </w:rPr>
        <w:t> </w:t>
      </w:r>
      <w:r>
        <w:rPr>
          <w:color w:val="0D0E0E"/>
        </w:rPr>
        <w:t>economias</w:t>
      </w:r>
      <w:r>
        <w:rPr>
          <w:color w:val="0D0E0E"/>
          <w:spacing w:val="-3"/>
        </w:rPr>
        <w:t> </w:t>
      </w:r>
      <w:r>
        <w:rPr>
          <w:color w:val="0D0E0E"/>
        </w:rPr>
        <w:t>é</w:t>
      </w:r>
      <w:r>
        <w:rPr>
          <w:color w:val="0D0E0E"/>
          <w:spacing w:val="-3"/>
        </w:rPr>
        <w:t> </w:t>
      </w:r>
      <w:r>
        <w:rPr>
          <w:color w:val="0D0E0E"/>
        </w:rPr>
        <w:t>clara,</w:t>
      </w:r>
      <w:r>
        <w:rPr>
          <w:color w:val="0D0E0E"/>
          <w:spacing w:val="-2"/>
        </w:rPr>
        <w:t> </w:t>
      </w:r>
      <w:r>
        <w:rPr>
          <w:color w:val="0D0E0E"/>
        </w:rPr>
        <w:t>convergir</w:t>
      </w:r>
      <w:r>
        <w:rPr>
          <w:color w:val="0D0E0E"/>
          <w:spacing w:val="-3"/>
        </w:rPr>
        <w:t> </w:t>
      </w:r>
      <w:r>
        <w:rPr>
          <w:color w:val="0D0E0E"/>
        </w:rPr>
        <w:t>a</w:t>
      </w:r>
      <w:r>
        <w:rPr>
          <w:color w:val="0D0E0E"/>
          <w:spacing w:val="-4"/>
        </w:rPr>
        <w:t> </w:t>
      </w:r>
      <w:r>
        <w:rPr>
          <w:color w:val="0D0E0E"/>
        </w:rPr>
        <w:t>inflação</w:t>
      </w:r>
      <w:r>
        <w:rPr>
          <w:color w:val="0D0E0E"/>
          <w:spacing w:val="-3"/>
        </w:rPr>
        <w:t> </w:t>
      </w:r>
      <w:r>
        <w:rPr>
          <w:color w:val="0D0E0E"/>
        </w:rPr>
        <w:t>para</w:t>
      </w:r>
      <w:r>
        <w:rPr>
          <w:color w:val="0D0E0E"/>
          <w:spacing w:val="-1"/>
        </w:rPr>
        <w:t> </w:t>
      </w:r>
      <w:r>
        <w:rPr>
          <w:color w:val="0D0E0E"/>
        </w:rPr>
        <w:t>sua</w:t>
      </w:r>
      <w:r>
        <w:rPr>
          <w:color w:val="0D0E0E"/>
          <w:spacing w:val="-4"/>
        </w:rPr>
        <w:t> </w:t>
      </w:r>
      <w:r>
        <w:rPr>
          <w:color w:val="0D0E0E"/>
        </w:rPr>
        <w:t>meta com uma política monetária restritiva e duradoura. Os primeiros efeitos já foram sentidos</w:t>
      </w:r>
      <w:r>
        <w:rPr>
          <w:color w:val="0D0E0E"/>
          <w:spacing w:val="-8"/>
        </w:rPr>
        <w:t> </w:t>
      </w:r>
      <w:r>
        <w:rPr>
          <w:color w:val="0D0E0E"/>
        </w:rPr>
        <w:t>e</w:t>
      </w:r>
      <w:r>
        <w:rPr>
          <w:color w:val="0D0E0E"/>
          <w:spacing w:val="-9"/>
        </w:rPr>
        <w:t> </w:t>
      </w:r>
      <w:r>
        <w:rPr>
          <w:color w:val="0D0E0E"/>
        </w:rPr>
        <w:t>a</w:t>
      </w:r>
      <w:r>
        <w:rPr>
          <w:color w:val="0D0E0E"/>
          <w:spacing w:val="-7"/>
        </w:rPr>
        <w:t> </w:t>
      </w:r>
      <w:r>
        <w:rPr>
          <w:color w:val="0D0E0E"/>
        </w:rPr>
        <w:t>expectativa</w:t>
      </w:r>
      <w:r>
        <w:rPr>
          <w:color w:val="0D0E0E"/>
          <w:spacing w:val="-7"/>
        </w:rPr>
        <w:t> </w:t>
      </w:r>
      <w:r>
        <w:rPr>
          <w:color w:val="0D0E0E"/>
        </w:rPr>
        <w:t>é</w:t>
      </w:r>
      <w:r>
        <w:rPr>
          <w:color w:val="0D0E0E"/>
          <w:spacing w:val="-7"/>
        </w:rPr>
        <w:t> </w:t>
      </w:r>
      <w:r>
        <w:rPr>
          <w:color w:val="0D0E0E"/>
        </w:rPr>
        <w:t>que</w:t>
      </w:r>
      <w:r>
        <w:rPr>
          <w:color w:val="0D0E0E"/>
          <w:spacing w:val="-7"/>
        </w:rPr>
        <w:t> </w:t>
      </w:r>
      <w:r>
        <w:rPr>
          <w:color w:val="0D0E0E"/>
        </w:rPr>
        <w:t>o</w:t>
      </w:r>
      <w:r>
        <w:rPr>
          <w:color w:val="0D0E0E"/>
          <w:spacing w:val="-8"/>
        </w:rPr>
        <w:t> </w:t>
      </w:r>
      <w:r>
        <w:rPr>
          <w:color w:val="0D0E0E"/>
        </w:rPr>
        <w:t>mundo</w:t>
      </w:r>
      <w:r>
        <w:rPr>
          <w:color w:val="0D0E0E"/>
          <w:spacing w:val="-8"/>
        </w:rPr>
        <w:t> </w:t>
      </w:r>
      <w:r>
        <w:rPr>
          <w:color w:val="0D0E0E"/>
        </w:rPr>
        <w:t>tenha</w:t>
      </w:r>
      <w:r>
        <w:rPr>
          <w:color w:val="0D0E0E"/>
          <w:spacing w:val="-7"/>
        </w:rPr>
        <w:t> </w:t>
      </w:r>
      <w:r>
        <w:rPr>
          <w:color w:val="0D0E0E"/>
        </w:rPr>
        <w:t>um</w:t>
      </w:r>
      <w:r>
        <w:rPr>
          <w:color w:val="0D0E0E"/>
          <w:spacing w:val="-8"/>
        </w:rPr>
        <w:t> </w:t>
      </w:r>
      <w:r>
        <w:rPr>
          <w:color w:val="0D0E0E"/>
        </w:rPr>
        <w:t>desempenho</w:t>
      </w:r>
      <w:r>
        <w:rPr>
          <w:color w:val="0D0E0E"/>
          <w:spacing w:val="-8"/>
        </w:rPr>
        <w:t> </w:t>
      </w:r>
      <w:r>
        <w:rPr>
          <w:color w:val="0D0E0E"/>
        </w:rPr>
        <w:t>econômico</w:t>
      </w:r>
      <w:r>
        <w:rPr>
          <w:color w:val="0D0E0E"/>
          <w:spacing w:val="-7"/>
        </w:rPr>
        <w:t> </w:t>
      </w:r>
      <w:r>
        <w:rPr>
          <w:color w:val="0D0E0E"/>
        </w:rPr>
        <w:t>mais</w:t>
      </w:r>
      <w:r>
        <w:rPr>
          <w:color w:val="0D0E0E"/>
          <w:spacing w:val="-7"/>
        </w:rPr>
        <w:t> </w:t>
      </w:r>
      <w:r>
        <w:rPr>
          <w:color w:val="0D0E0E"/>
        </w:rPr>
        <w:t>fraco</w:t>
      </w:r>
      <w:r>
        <w:rPr>
          <w:color w:val="0D0E0E"/>
          <w:spacing w:val="-7"/>
        </w:rPr>
        <w:t> </w:t>
      </w:r>
      <w:r>
        <w:rPr>
          <w:color w:val="0D0E0E"/>
        </w:rPr>
        <w:t>no ano de 2024. O mercado já aposta em cortes nos juros para meados de 2024 nas principais economias do mundo.</w:t>
      </w:r>
    </w:p>
    <w:p>
      <w:pPr>
        <w:pStyle w:val="BodyText"/>
        <w:spacing w:before="240"/>
        <w:ind w:left="184" w:right="1260" w:firstLine="707"/>
        <w:jc w:val="both"/>
      </w:pPr>
      <w:r>
        <w:rPr>
          <w:color w:val="0D0E0E"/>
        </w:rPr>
        <w:t>Ainda assim, é de extrema relevância que os investidores acompanhem as discussões sobre o tema para o afinado balanceamento de suas carteiras.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5"/>
        <w:rPr>
          <w:sz w:val="20"/>
        </w:rPr>
      </w:pPr>
      <w:r>
        <w:rPr>
          <w:sz w:val="20"/>
        </w:rPr>
        <w:drawing>
          <wp:anchor distT="0" distB="0" distL="0" distR="0" allowOverlap="1" layoutInCell="1" locked="0" behindDoc="1" simplePos="0" relativeHeight="487603712">
            <wp:simplePos x="0" y="0"/>
            <wp:positionH relativeFrom="page">
              <wp:posOffset>2805429</wp:posOffset>
            </wp:positionH>
            <wp:positionV relativeFrom="paragraph">
              <wp:posOffset>250195</wp:posOffset>
            </wp:positionV>
            <wp:extent cx="1955676" cy="1241012"/>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38" cstate="print"/>
                    <a:stretch>
                      <a:fillRect/>
                    </a:stretch>
                  </pic:blipFill>
                  <pic:spPr>
                    <a:xfrm>
                      <a:off x="0" y="0"/>
                      <a:ext cx="1955676" cy="1241012"/>
                    </a:xfrm>
                    <a:prstGeom prst="rect">
                      <a:avLst/>
                    </a:prstGeom>
                  </pic:spPr>
                </pic:pic>
              </a:graphicData>
            </a:graphic>
          </wp:anchor>
        </w:drawing>
      </w:r>
    </w:p>
    <w:p>
      <w:pPr>
        <w:pStyle w:val="BodyText"/>
        <w:spacing w:after="0"/>
        <w:rPr>
          <w:sz w:val="20"/>
        </w:rPr>
        <w:sectPr>
          <w:pgSz w:w="11920" w:h="16850"/>
          <w:pgMar w:top="1340" w:bottom="280" w:left="1417" w:right="141"/>
        </w:sectPr>
      </w:pPr>
    </w:p>
    <w:p>
      <w:pPr>
        <w:pStyle w:val="Heading1"/>
        <w:ind w:left="2116"/>
      </w:pPr>
      <w:r>
        <w:rPr>
          <w:color w:val="0D0E0E"/>
        </w:rPr>
        <w:t>INVESTIDOR</w:t>
      </w:r>
      <w:r>
        <w:rPr>
          <w:color w:val="0D0E0E"/>
          <w:spacing w:val="-3"/>
        </w:rPr>
        <w:t> </w:t>
      </w:r>
      <w:r>
        <w:rPr>
          <w:color w:val="0D0E0E"/>
        </w:rPr>
        <w:t>EM</w:t>
      </w:r>
      <w:r>
        <w:rPr>
          <w:color w:val="0D0E0E"/>
          <w:spacing w:val="-4"/>
        </w:rPr>
        <w:t> </w:t>
      </w:r>
      <w:r>
        <w:rPr>
          <w:color w:val="0D0E0E"/>
        </w:rPr>
        <w:t>GERAL</w:t>
      </w:r>
      <w:r>
        <w:rPr>
          <w:color w:val="0D0E0E"/>
          <w:spacing w:val="-2"/>
        </w:rPr>
        <w:t> </w:t>
      </w:r>
      <w:r>
        <w:rPr>
          <w:color w:val="0D0E0E"/>
        </w:rPr>
        <w:t>–</w:t>
      </w:r>
      <w:r>
        <w:rPr>
          <w:color w:val="0D0E0E"/>
          <w:spacing w:val="-4"/>
        </w:rPr>
        <w:t> </w:t>
      </w:r>
      <w:r>
        <w:rPr>
          <w:color w:val="0D0E0E"/>
        </w:rPr>
        <w:t>SEM</w:t>
      </w:r>
      <w:r>
        <w:rPr>
          <w:color w:val="0D0E0E"/>
          <w:spacing w:val="-4"/>
        </w:rPr>
        <w:t> </w:t>
      </w:r>
      <w:r>
        <w:rPr>
          <w:color w:val="0D0E0E"/>
        </w:rPr>
        <w:t>PRÓ</w:t>
      </w:r>
      <w:r>
        <w:rPr>
          <w:color w:val="0D0E0E"/>
          <w:spacing w:val="-4"/>
        </w:rPr>
        <w:t> </w:t>
      </w:r>
      <w:r>
        <w:rPr>
          <w:color w:val="0D0E0E"/>
          <w:spacing w:val="-2"/>
        </w:rPr>
        <w:t>GESTÃO</w:t>
      </w:r>
    </w:p>
    <w:p>
      <w:pPr>
        <w:pStyle w:val="BodyText"/>
        <w:spacing w:before="178"/>
        <w:rPr>
          <w:rFonts w:ascii="Calibri"/>
          <w:b/>
          <w:sz w:val="20"/>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48" w:hRule="atLeast"/>
        </w:trPr>
        <w:tc>
          <w:tcPr>
            <w:tcW w:w="8689" w:type="dxa"/>
            <w:gridSpan w:val="2"/>
          </w:tcPr>
          <w:p>
            <w:pPr>
              <w:pStyle w:val="TableParagraph"/>
              <w:spacing w:before="8"/>
              <w:ind w:left="458"/>
              <w:rPr>
                <w:sz w:val="21"/>
              </w:rPr>
            </w:pPr>
            <w:r>
              <w:rPr>
                <w:sz w:val="21"/>
              </w:rPr>
              <w:t>Estratégia</w:t>
            </w:r>
            <w:r>
              <w:rPr>
                <w:spacing w:val="-11"/>
                <w:sz w:val="21"/>
              </w:rPr>
              <w:t> </w:t>
            </w:r>
            <w:r>
              <w:rPr>
                <w:sz w:val="21"/>
              </w:rPr>
              <w:t>de</w:t>
            </w:r>
            <w:r>
              <w:rPr>
                <w:spacing w:val="-4"/>
                <w:sz w:val="21"/>
              </w:rPr>
              <w:t> </w:t>
            </w:r>
            <w:r>
              <w:rPr>
                <w:sz w:val="21"/>
              </w:rPr>
              <w:t>Alocação</w:t>
            </w:r>
            <w:r>
              <w:rPr>
                <w:spacing w:val="-7"/>
                <w:sz w:val="21"/>
              </w:rPr>
              <w:t> </w:t>
            </w:r>
            <w:r>
              <w:rPr>
                <w:sz w:val="21"/>
              </w:rPr>
              <w:t>dos</w:t>
            </w:r>
            <w:r>
              <w:rPr>
                <w:spacing w:val="-4"/>
                <w:sz w:val="21"/>
              </w:rPr>
              <w:t> </w:t>
            </w:r>
            <w:r>
              <w:rPr>
                <w:sz w:val="21"/>
              </w:rPr>
              <w:t>Recursos</w:t>
            </w:r>
            <w:r>
              <w:rPr>
                <w:spacing w:val="-7"/>
                <w:sz w:val="21"/>
              </w:rPr>
              <w:t> </w:t>
            </w:r>
            <w:r>
              <w:rPr>
                <w:sz w:val="21"/>
              </w:rPr>
              <w:t>no</w:t>
            </w:r>
            <w:r>
              <w:rPr>
                <w:spacing w:val="-6"/>
                <w:sz w:val="21"/>
              </w:rPr>
              <w:t> </w:t>
            </w:r>
            <w:r>
              <w:rPr>
                <w:sz w:val="21"/>
              </w:rPr>
              <w:t>Longo</w:t>
            </w:r>
            <w:r>
              <w:rPr>
                <w:spacing w:val="-8"/>
                <w:sz w:val="21"/>
              </w:rPr>
              <w:t> </w:t>
            </w:r>
            <w:r>
              <w:rPr>
                <w:sz w:val="21"/>
              </w:rPr>
              <w:t>Prazo</w:t>
            </w:r>
            <w:r>
              <w:rPr>
                <w:spacing w:val="1"/>
                <w:sz w:val="21"/>
              </w:rPr>
              <w:t> </w:t>
            </w:r>
            <w:r>
              <w:rPr>
                <w:sz w:val="21"/>
              </w:rPr>
              <w:t>–</w:t>
            </w:r>
            <w:r>
              <w:rPr>
                <w:spacing w:val="-7"/>
                <w:sz w:val="21"/>
              </w:rPr>
              <w:t> </w:t>
            </w:r>
            <w:r>
              <w:rPr>
                <w:sz w:val="21"/>
              </w:rPr>
              <w:t>Renda</w:t>
            </w:r>
            <w:r>
              <w:rPr>
                <w:spacing w:val="-6"/>
                <w:sz w:val="21"/>
              </w:rPr>
              <w:t> </w:t>
            </w:r>
            <w:r>
              <w:rPr>
                <w:sz w:val="21"/>
              </w:rPr>
              <w:t>Fixa</w:t>
            </w:r>
            <w:r>
              <w:rPr>
                <w:spacing w:val="-7"/>
                <w:sz w:val="21"/>
              </w:rPr>
              <w:t> </w:t>
            </w:r>
            <w:r>
              <w:rPr>
                <w:sz w:val="21"/>
              </w:rPr>
              <w:t>e</w:t>
            </w:r>
            <w:r>
              <w:rPr>
                <w:spacing w:val="-4"/>
                <w:sz w:val="21"/>
              </w:rPr>
              <w:t> </w:t>
            </w:r>
            <w:r>
              <w:rPr>
                <w:spacing w:val="-2"/>
                <w:sz w:val="21"/>
              </w:rPr>
              <w:t>Variável</w:t>
            </w:r>
          </w:p>
        </w:tc>
      </w:tr>
      <w:tr>
        <w:trPr>
          <w:trHeight w:val="368" w:hRule="atLeast"/>
        </w:trPr>
        <w:tc>
          <w:tcPr>
            <w:tcW w:w="7566" w:type="dxa"/>
            <w:tcBorders>
              <w:bottom w:val="nil"/>
            </w:tcBorders>
          </w:tcPr>
          <w:p>
            <w:pPr>
              <w:pStyle w:val="TableParagraph"/>
              <w:spacing w:before="3"/>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3"/>
              <w:rPr>
                <w:b/>
                <w:sz w:val="21"/>
              </w:rPr>
            </w:pPr>
            <w:r>
              <w:rPr>
                <w:b/>
                <w:spacing w:val="-5"/>
                <w:sz w:val="21"/>
              </w:rPr>
              <w:t>60%</w:t>
            </w:r>
          </w:p>
        </w:tc>
      </w:tr>
      <w:tr>
        <w:trPr>
          <w:trHeight w:val="439" w:hRule="atLeast"/>
        </w:trPr>
        <w:tc>
          <w:tcPr>
            <w:tcW w:w="7566" w:type="dxa"/>
            <w:tcBorders>
              <w:top w:val="nil"/>
              <w:bottom w:val="nil"/>
            </w:tcBorders>
          </w:tcPr>
          <w:p>
            <w:pPr>
              <w:pStyle w:val="TableParagraph"/>
              <w:spacing w:before="70"/>
              <w:ind w:left="114"/>
              <w:rPr>
                <w:sz w:val="21"/>
              </w:rPr>
            </w:pPr>
            <w:r>
              <w:rPr>
                <w:sz w:val="21"/>
              </w:rPr>
              <w:t>Longuíssimo</w:t>
            </w:r>
            <w:r>
              <w:rPr>
                <w:spacing w:val="-11"/>
                <w:sz w:val="21"/>
              </w:rPr>
              <w:t> </w:t>
            </w:r>
            <w:r>
              <w:rPr>
                <w:sz w:val="21"/>
              </w:rPr>
              <w:t>Prazo</w:t>
            </w:r>
            <w:r>
              <w:rPr>
                <w:spacing w:val="-8"/>
                <w:sz w:val="21"/>
              </w:rPr>
              <w:t> </w:t>
            </w:r>
            <w:r>
              <w:rPr>
                <w:sz w:val="21"/>
              </w:rPr>
              <w:t>(IMA-B</w:t>
            </w:r>
            <w:r>
              <w:rPr>
                <w:spacing w:val="-8"/>
                <w:sz w:val="21"/>
              </w:rPr>
              <w:t> </w:t>
            </w:r>
            <w:r>
              <w:rPr>
                <w:spacing w:val="-5"/>
                <w:sz w:val="21"/>
              </w:rPr>
              <w:t>5+)</w:t>
            </w:r>
          </w:p>
        </w:tc>
        <w:tc>
          <w:tcPr>
            <w:tcW w:w="1123" w:type="dxa"/>
            <w:tcBorders>
              <w:top w:val="nil"/>
              <w:bottom w:val="nil"/>
            </w:tcBorders>
          </w:tcPr>
          <w:p>
            <w:pPr>
              <w:pStyle w:val="TableParagraph"/>
              <w:spacing w:before="70"/>
              <w:rPr>
                <w:sz w:val="21"/>
              </w:rPr>
            </w:pPr>
            <w:r>
              <w:rPr>
                <w:spacing w:val="-5"/>
                <w:sz w:val="21"/>
              </w:rPr>
              <w:t>0%</w:t>
            </w:r>
          </w:p>
        </w:tc>
      </w:tr>
      <w:tr>
        <w:trPr>
          <w:trHeight w:val="442" w:hRule="atLeast"/>
        </w:trPr>
        <w:tc>
          <w:tcPr>
            <w:tcW w:w="7566" w:type="dxa"/>
            <w:tcBorders>
              <w:top w:val="nil"/>
              <w:bottom w:val="nil"/>
            </w:tcBorders>
          </w:tcPr>
          <w:p>
            <w:pPr>
              <w:pStyle w:val="TableParagraph"/>
              <w:spacing w:before="75"/>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4"/>
                <w:sz w:val="21"/>
              </w:rPr>
              <w:t> </w:t>
            </w:r>
            <w:r>
              <w:rPr>
                <w:sz w:val="21"/>
              </w:rPr>
              <w:t>Crédito</w:t>
            </w:r>
            <w:r>
              <w:rPr>
                <w:spacing w:val="-10"/>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spacing w:before="75"/>
              <w:rPr>
                <w:sz w:val="21"/>
              </w:rPr>
            </w:pPr>
            <w:r>
              <w:rPr>
                <w:spacing w:val="-5"/>
                <w:sz w:val="21"/>
              </w:rPr>
              <w:t>10%</w:t>
            </w:r>
          </w:p>
        </w:tc>
      </w:tr>
      <w:tr>
        <w:trPr>
          <w:trHeight w:val="439" w:hRule="atLeast"/>
        </w:trPr>
        <w:tc>
          <w:tcPr>
            <w:tcW w:w="7566" w:type="dxa"/>
            <w:tcBorders>
              <w:top w:val="nil"/>
              <w:bottom w:val="nil"/>
            </w:tcBorders>
          </w:tcPr>
          <w:p>
            <w:pPr>
              <w:pStyle w:val="TableParagraph"/>
              <w:spacing w:before="73"/>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3"/>
              <w:rPr>
                <w:sz w:val="21"/>
              </w:rPr>
            </w:pPr>
            <w:r>
              <w:rPr>
                <w:spacing w:val="-5"/>
                <w:sz w:val="21"/>
              </w:rPr>
              <w:t>5%</w:t>
            </w:r>
          </w:p>
        </w:tc>
      </w:tr>
      <w:tr>
        <w:trPr>
          <w:trHeight w:val="435" w:hRule="atLeast"/>
        </w:trPr>
        <w:tc>
          <w:tcPr>
            <w:tcW w:w="7566" w:type="dxa"/>
            <w:tcBorders>
              <w:top w:val="nil"/>
              <w:bottom w:val="nil"/>
            </w:tcBorders>
          </w:tcPr>
          <w:p>
            <w:pPr>
              <w:pStyle w:val="TableParagraph"/>
              <w:spacing w:before="71"/>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7"/>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spacing w:before="71"/>
              <w:rPr>
                <w:sz w:val="21"/>
              </w:rPr>
            </w:pPr>
            <w:r>
              <w:rPr>
                <w:spacing w:val="-5"/>
                <w:sz w:val="21"/>
              </w:rPr>
              <w:t>15%</w:t>
            </w:r>
          </w:p>
        </w:tc>
      </w:tr>
      <w:tr>
        <w:trPr>
          <w:trHeight w:val="435" w:hRule="atLeast"/>
        </w:trPr>
        <w:tc>
          <w:tcPr>
            <w:tcW w:w="7566" w:type="dxa"/>
            <w:tcBorders>
              <w:top w:val="nil"/>
              <w:bottom w:val="nil"/>
            </w:tcBorders>
          </w:tcPr>
          <w:p>
            <w:pPr>
              <w:pStyle w:val="TableParagraph"/>
              <w:spacing w:before="70"/>
              <w:ind w:left="114"/>
              <w:rPr>
                <w:sz w:val="21"/>
              </w:rPr>
            </w:pPr>
            <w:r>
              <w:rPr>
                <w:sz w:val="21"/>
              </w:rPr>
              <w:t>Curto</w:t>
            </w:r>
            <w:r>
              <w:rPr>
                <w:spacing w:val="-7"/>
                <w:sz w:val="21"/>
              </w:rPr>
              <w:t> </w:t>
            </w:r>
            <w:r>
              <w:rPr>
                <w:sz w:val="21"/>
              </w:rPr>
              <w:t>Prazo</w:t>
            </w:r>
            <w:r>
              <w:rPr>
                <w:spacing w:val="-2"/>
                <w:sz w:val="21"/>
              </w:rPr>
              <w:t> </w:t>
            </w:r>
            <w:r>
              <w:rPr>
                <w:sz w:val="21"/>
              </w:rPr>
              <w:t>(CDI,</w:t>
            </w:r>
            <w:r>
              <w:rPr>
                <w:spacing w:val="-4"/>
                <w:sz w:val="21"/>
              </w:rPr>
              <w:t> </w:t>
            </w:r>
            <w:r>
              <w:rPr>
                <w:sz w:val="21"/>
              </w:rPr>
              <w:t>IRF-M</w:t>
            </w:r>
            <w:r>
              <w:rPr>
                <w:spacing w:val="-7"/>
                <w:sz w:val="21"/>
              </w:rPr>
              <w:t> </w:t>
            </w:r>
            <w:r>
              <w:rPr>
                <w:spacing w:val="-5"/>
                <w:sz w:val="21"/>
              </w:rPr>
              <w:t>1)</w:t>
            </w:r>
          </w:p>
        </w:tc>
        <w:tc>
          <w:tcPr>
            <w:tcW w:w="1123" w:type="dxa"/>
            <w:tcBorders>
              <w:top w:val="nil"/>
              <w:bottom w:val="nil"/>
            </w:tcBorders>
          </w:tcPr>
          <w:p>
            <w:pPr>
              <w:pStyle w:val="TableParagraph"/>
              <w:spacing w:before="70"/>
              <w:rPr>
                <w:sz w:val="21"/>
              </w:rPr>
            </w:pPr>
            <w:r>
              <w:rPr>
                <w:spacing w:val="-5"/>
                <w:sz w:val="21"/>
              </w:rPr>
              <w:t>15%</w:t>
            </w:r>
          </w:p>
        </w:tc>
      </w:tr>
      <w:tr>
        <w:trPr>
          <w:trHeight w:val="435" w:hRule="atLeast"/>
        </w:trPr>
        <w:tc>
          <w:tcPr>
            <w:tcW w:w="7566" w:type="dxa"/>
            <w:tcBorders>
              <w:top w:val="nil"/>
              <w:bottom w:val="nil"/>
            </w:tcBorders>
          </w:tcPr>
          <w:p>
            <w:pPr>
              <w:pStyle w:val="TableParagraph"/>
              <w:spacing w:before="71"/>
              <w:ind w:left="114"/>
              <w:rPr>
                <w:sz w:val="21"/>
              </w:rPr>
            </w:pPr>
            <w:r>
              <w:rPr>
                <w:sz w:val="21"/>
              </w:rPr>
              <w:t>Títulos</w:t>
            </w:r>
            <w:r>
              <w:rPr>
                <w:spacing w:val="-8"/>
                <w:sz w:val="21"/>
              </w:rPr>
              <w:t> </w:t>
            </w:r>
            <w:r>
              <w:rPr>
                <w:sz w:val="21"/>
              </w:rPr>
              <w:t>Privados</w:t>
            </w:r>
            <w:r>
              <w:rPr>
                <w:spacing w:val="-7"/>
                <w:sz w:val="21"/>
              </w:rPr>
              <w:t> </w:t>
            </w:r>
            <w:r>
              <w:rPr>
                <w:sz w:val="21"/>
              </w:rPr>
              <w:t>(Letra</w:t>
            </w:r>
            <w:r>
              <w:rPr>
                <w:spacing w:val="-9"/>
                <w:sz w:val="21"/>
              </w:rPr>
              <w:t> </w:t>
            </w:r>
            <w:r>
              <w:rPr>
                <w:sz w:val="21"/>
              </w:rPr>
              <w:t>financeira</w:t>
            </w:r>
            <w:r>
              <w:rPr>
                <w:spacing w:val="-4"/>
                <w:sz w:val="21"/>
              </w:rPr>
              <w:t> </w:t>
            </w:r>
            <w:r>
              <w:rPr>
                <w:sz w:val="21"/>
              </w:rPr>
              <w:t>e</w:t>
            </w:r>
            <w:r>
              <w:rPr>
                <w:spacing w:val="-8"/>
                <w:sz w:val="21"/>
              </w:rPr>
              <w:t> </w:t>
            </w:r>
            <w:r>
              <w:rPr>
                <w:spacing w:val="-4"/>
                <w:sz w:val="21"/>
              </w:rPr>
              <w:t>CDB)</w:t>
            </w:r>
          </w:p>
        </w:tc>
        <w:tc>
          <w:tcPr>
            <w:tcW w:w="1123" w:type="dxa"/>
            <w:tcBorders>
              <w:top w:val="nil"/>
              <w:bottom w:val="nil"/>
            </w:tcBorders>
          </w:tcPr>
          <w:p>
            <w:pPr>
              <w:pStyle w:val="TableParagraph"/>
              <w:spacing w:before="71"/>
              <w:rPr>
                <w:sz w:val="21"/>
              </w:rPr>
            </w:pPr>
            <w:r>
              <w:rPr>
                <w:spacing w:val="-5"/>
                <w:sz w:val="21"/>
              </w:rPr>
              <w:t>15%</w:t>
            </w:r>
          </w:p>
        </w:tc>
      </w:tr>
      <w:tr>
        <w:trPr>
          <w:trHeight w:val="435" w:hRule="atLeast"/>
        </w:trPr>
        <w:tc>
          <w:tcPr>
            <w:tcW w:w="7566" w:type="dxa"/>
            <w:tcBorders>
              <w:top w:val="nil"/>
              <w:bottom w:val="nil"/>
            </w:tcBorders>
          </w:tcPr>
          <w:p>
            <w:pPr>
              <w:pStyle w:val="TableParagraph"/>
              <w:spacing w:before="70"/>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0"/>
              <w:rPr>
                <w:b/>
                <w:sz w:val="21"/>
              </w:rPr>
            </w:pPr>
            <w:r>
              <w:rPr>
                <w:b/>
                <w:spacing w:val="-5"/>
                <w:sz w:val="21"/>
              </w:rPr>
              <w:t>30%</w:t>
            </w:r>
          </w:p>
        </w:tc>
      </w:tr>
      <w:tr>
        <w:trPr>
          <w:trHeight w:val="439" w:hRule="atLeast"/>
        </w:trPr>
        <w:tc>
          <w:tcPr>
            <w:tcW w:w="7566" w:type="dxa"/>
            <w:tcBorders>
              <w:top w:val="nil"/>
              <w:bottom w:val="nil"/>
            </w:tcBorders>
          </w:tcPr>
          <w:p>
            <w:pPr>
              <w:pStyle w:val="TableParagraph"/>
              <w:spacing w:before="71"/>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71"/>
              <w:rPr>
                <w:sz w:val="21"/>
              </w:rPr>
            </w:pPr>
            <w:r>
              <w:rPr>
                <w:spacing w:val="-5"/>
                <w:sz w:val="21"/>
              </w:rPr>
              <w:t>20%</w:t>
            </w:r>
          </w:p>
        </w:tc>
      </w:tr>
      <w:tr>
        <w:trPr>
          <w:trHeight w:val="437" w:hRule="atLeast"/>
        </w:trPr>
        <w:tc>
          <w:tcPr>
            <w:tcW w:w="7566" w:type="dxa"/>
            <w:tcBorders>
              <w:top w:val="nil"/>
              <w:bottom w:val="nil"/>
            </w:tcBorders>
          </w:tcPr>
          <w:p>
            <w:pPr>
              <w:pStyle w:val="TableParagraph"/>
              <w:spacing w:before="73"/>
              <w:ind w:left="114"/>
              <w:rPr>
                <w:sz w:val="21"/>
              </w:rPr>
            </w:pPr>
            <w:r>
              <w:rPr>
                <w:spacing w:val="-2"/>
                <w:sz w:val="21"/>
              </w:rPr>
              <w:t>Multimercados</w:t>
            </w:r>
          </w:p>
        </w:tc>
        <w:tc>
          <w:tcPr>
            <w:tcW w:w="1123" w:type="dxa"/>
            <w:tcBorders>
              <w:top w:val="nil"/>
              <w:bottom w:val="nil"/>
            </w:tcBorders>
          </w:tcPr>
          <w:p>
            <w:pPr>
              <w:pStyle w:val="TableParagraph"/>
              <w:spacing w:before="73"/>
              <w:rPr>
                <w:sz w:val="21"/>
              </w:rPr>
            </w:pPr>
            <w:r>
              <w:rPr>
                <w:spacing w:val="-4"/>
                <w:sz w:val="21"/>
              </w:rPr>
              <w:t>7,5%</w:t>
            </w:r>
          </w:p>
        </w:tc>
      </w:tr>
      <w:tr>
        <w:trPr>
          <w:trHeight w:val="434" w:hRule="atLeast"/>
        </w:trPr>
        <w:tc>
          <w:tcPr>
            <w:tcW w:w="7566" w:type="dxa"/>
            <w:tcBorders>
              <w:top w:val="nil"/>
              <w:bottom w:val="nil"/>
            </w:tcBorders>
          </w:tcPr>
          <w:p>
            <w:pPr>
              <w:pStyle w:val="TableParagraph"/>
              <w:spacing w:before="70"/>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0"/>
              <w:rPr>
                <w:sz w:val="21"/>
              </w:rPr>
            </w:pPr>
            <w:r>
              <w:rPr>
                <w:spacing w:val="-5"/>
                <w:sz w:val="21"/>
              </w:rPr>
              <w:t>0%</w:t>
            </w:r>
          </w:p>
        </w:tc>
      </w:tr>
      <w:tr>
        <w:trPr>
          <w:trHeight w:val="435" w:hRule="atLeast"/>
        </w:trPr>
        <w:tc>
          <w:tcPr>
            <w:tcW w:w="7566" w:type="dxa"/>
            <w:tcBorders>
              <w:top w:val="nil"/>
              <w:bottom w:val="nil"/>
            </w:tcBorders>
          </w:tcPr>
          <w:p>
            <w:pPr>
              <w:pStyle w:val="TableParagraph"/>
              <w:spacing w:before="70"/>
              <w:ind w:left="114"/>
              <w:rPr>
                <w:sz w:val="21"/>
              </w:rPr>
            </w:pPr>
            <w:r>
              <w:rPr>
                <w:sz w:val="21"/>
              </w:rPr>
              <w:t>Fundos</w:t>
            </w:r>
            <w:r>
              <w:rPr>
                <w:spacing w:val="-10"/>
                <w:sz w:val="21"/>
              </w:rPr>
              <w:t> </w:t>
            </w:r>
            <w:r>
              <w:rPr>
                <w:sz w:val="21"/>
              </w:rPr>
              <w:t>Imobiliários</w:t>
            </w:r>
            <w:r>
              <w:rPr>
                <w:spacing w:val="-8"/>
                <w:sz w:val="21"/>
              </w:rPr>
              <w:t> </w:t>
            </w:r>
            <w:r>
              <w:rPr>
                <w:spacing w:val="-10"/>
                <w:sz w:val="21"/>
              </w:rPr>
              <w:t>*</w:t>
            </w:r>
          </w:p>
        </w:tc>
        <w:tc>
          <w:tcPr>
            <w:tcW w:w="1123" w:type="dxa"/>
            <w:tcBorders>
              <w:top w:val="nil"/>
              <w:bottom w:val="nil"/>
            </w:tcBorders>
          </w:tcPr>
          <w:p>
            <w:pPr>
              <w:pStyle w:val="TableParagraph"/>
              <w:spacing w:before="70"/>
              <w:rPr>
                <w:sz w:val="21"/>
              </w:rPr>
            </w:pPr>
            <w:r>
              <w:rPr>
                <w:spacing w:val="-4"/>
                <w:sz w:val="21"/>
              </w:rPr>
              <w:t>2,5%</w:t>
            </w:r>
          </w:p>
        </w:tc>
      </w:tr>
      <w:tr>
        <w:trPr>
          <w:trHeight w:val="436" w:hRule="atLeast"/>
        </w:trPr>
        <w:tc>
          <w:tcPr>
            <w:tcW w:w="7566" w:type="dxa"/>
            <w:tcBorders>
              <w:top w:val="nil"/>
              <w:bottom w:val="nil"/>
            </w:tcBorders>
          </w:tcPr>
          <w:p>
            <w:pPr>
              <w:pStyle w:val="TableParagraph"/>
              <w:spacing w:before="71"/>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spacing w:before="71"/>
              <w:rPr>
                <w:b/>
                <w:sz w:val="21"/>
              </w:rPr>
            </w:pPr>
            <w:r>
              <w:rPr>
                <w:b/>
                <w:spacing w:val="-5"/>
                <w:sz w:val="21"/>
              </w:rPr>
              <w:t>10%</w:t>
            </w:r>
          </w:p>
        </w:tc>
      </w:tr>
      <w:tr>
        <w:trPr>
          <w:trHeight w:val="435" w:hRule="atLeast"/>
        </w:trPr>
        <w:tc>
          <w:tcPr>
            <w:tcW w:w="7566" w:type="dxa"/>
            <w:tcBorders>
              <w:top w:val="nil"/>
              <w:bottom w:val="nil"/>
            </w:tcBorders>
          </w:tcPr>
          <w:p>
            <w:pPr>
              <w:pStyle w:val="TableParagraph"/>
              <w:spacing w:before="71"/>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spacing w:before="71"/>
              <w:rPr>
                <w:sz w:val="21"/>
              </w:rPr>
            </w:pPr>
            <w:r>
              <w:rPr>
                <w:spacing w:val="-5"/>
                <w:sz w:val="21"/>
              </w:rPr>
              <w:t>0%</w:t>
            </w:r>
          </w:p>
        </w:tc>
      </w:tr>
      <w:tr>
        <w:trPr>
          <w:trHeight w:val="509" w:hRule="atLeast"/>
        </w:trPr>
        <w:tc>
          <w:tcPr>
            <w:tcW w:w="7566" w:type="dxa"/>
            <w:tcBorders>
              <w:top w:val="nil"/>
            </w:tcBorders>
          </w:tcPr>
          <w:p>
            <w:pPr>
              <w:pStyle w:val="TableParagraph"/>
              <w:spacing w:before="70"/>
              <w:ind w:left="114"/>
              <w:rPr>
                <w:sz w:val="21"/>
              </w:rPr>
            </w:pPr>
            <w:r>
              <w:rPr>
                <w:sz w:val="21"/>
              </w:rPr>
              <w:t>Fundos</w:t>
            </w:r>
            <w:r>
              <w:rPr>
                <w:spacing w:val="-6"/>
                <w:sz w:val="21"/>
              </w:rPr>
              <w:t> </w:t>
            </w:r>
            <w:r>
              <w:rPr>
                <w:sz w:val="21"/>
              </w:rPr>
              <w:t>de</w:t>
            </w:r>
            <w:r>
              <w:rPr>
                <w:spacing w:val="-6"/>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spacing w:before="70"/>
              <w:rPr>
                <w:sz w:val="21"/>
              </w:rPr>
            </w:pPr>
            <w:r>
              <w:rPr>
                <w:spacing w:val="-5"/>
                <w:sz w:val="21"/>
              </w:rPr>
              <w:t>10%</w:t>
            </w:r>
          </w:p>
        </w:tc>
      </w:tr>
    </w:tbl>
    <w:p>
      <w:pPr>
        <w:spacing w:line="259" w:lineRule="auto" w:before="10"/>
        <w:ind w:left="285" w:right="1335" w:firstLine="0"/>
        <w:jc w:val="left"/>
        <w:rPr>
          <w:rFonts w:ascii="Calibri" w:hAnsi="Calibri"/>
          <w:sz w:val="20"/>
        </w:rPr>
      </w:pPr>
      <w:r>
        <w:rPr>
          <w:rFonts w:ascii="Calibri" w:hAnsi="Calibri"/>
          <w:sz w:val="20"/>
        </w:rPr>
        <w:t>*</w:t>
      </w:r>
      <w:r>
        <w:rPr>
          <w:rFonts w:ascii="Calibri" w:hAnsi="Calibri"/>
          <w:spacing w:val="-4"/>
          <w:sz w:val="20"/>
        </w:rPr>
        <w:t> </w:t>
      </w:r>
      <w:r>
        <w:rPr>
          <w:rFonts w:ascii="Calibri" w:hAnsi="Calibri"/>
          <w:sz w:val="20"/>
        </w:rPr>
        <w:t>Aos</w:t>
      </w:r>
      <w:r>
        <w:rPr>
          <w:rFonts w:ascii="Calibri" w:hAnsi="Calibri"/>
          <w:spacing w:val="-1"/>
          <w:sz w:val="20"/>
        </w:rPr>
        <w:t> </w:t>
      </w:r>
      <w:r>
        <w:rPr>
          <w:rFonts w:ascii="Calibri" w:hAnsi="Calibri"/>
          <w:sz w:val="20"/>
        </w:rPr>
        <w:t>clientes</w:t>
      </w:r>
      <w:r>
        <w:rPr>
          <w:rFonts w:ascii="Calibri" w:hAnsi="Calibri"/>
          <w:spacing w:val="-2"/>
          <w:sz w:val="20"/>
        </w:rPr>
        <w:t> </w:t>
      </w:r>
      <w:r>
        <w:rPr>
          <w:rFonts w:ascii="Calibri" w:hAnsi="Calibri"/>
          <w:sz w:val="20"/>
        </w:rPr>
        <w:t>que</w:t>
      </w:r>
      <w:r>
        <w:rPr>
          <w:rFonts w:ascii="Calibri" w:hAnsi="Calibri"/>
          <w:spacing w:val="-6"/>
          <w:sz w:val="20"/>
        </w:rPr>
        <w:t> </w:t>
      </w:r>
      <w:r>
        <w:rPr>
          <w:rFonts w:ascii="Calibri" w:hAnsi="Calibri"/>
          <w:sz w:val="20"/>
        </w:rPr>
        <w:t>investem</w:t>
      </w:r>
      <w:r>
        <w:rPr>
          <w:rFonts w:ascii="Calibri" w:hAnsi="Calibri"/>
          <w:spacing w:val="-2"/>
          <w:sz w:val="20"/>
        </w:rPr>
        <w:t> </w:t>
      </w:r>
      <w:r>
        <w:rPr>
          <w:rFonts w:ascii="Calibri" w:hAnsi="Calibri"/>
          <w:sz w:val="20"/>
        </w:rPr>
        <w:t>em</w:t>
      </w:r>
      <w:r>
        <w:rPr>
          <w:rFonts w:ascii="Calibri" w:hAnsi="Calibri"/>
          <w:spacing w:val="-4"/>
          <w:sz w:val="20"/>
        </w:rPr>
        <w:t> </w:t>
      </w:r>
      <w:r>
        <w:rPr>
          <w:rFonts w:ascii="Calibri" w:hAnsi="Calibri"/>
          <w:sz w:val="20"/>
        </w:rPr>
        <w:t>Fundos</w:t>
      </w:r>
      <w:r>
        <w:rPr>
          <w:rFonts w:ascii="Calibri" w:hAnsi="Calibri"/>
          <w:spacing w:val="-1"/>
          <w:sz w:val="20"/>
        </w:rPr>
        <w:t> </w:t>
      </w:r>
      <w:r>
        <w:rPr>
          <w:rFonts w:ascii="Calibri" w:hAnsi="Calibri"/>
          <w:sz w:val="20"/>
        </w:rPr>
        <w:t>de</w:t>
      </w:r>
      <w:r>
        <w:rPr>
          <w:rFonts w:ascii="Calibri" w:hAnsi="Calibri"/>
          <w:spacing w:val="-6"/>
          <w:sz w:val="20"/>
        </w:rPr>
        <w:t> </w:t>
      </w:r>
      <w:r>
        <w:rPr>
          <w:rFonts w:ascii="Calibri" w:hAnsi="Calibri"/>
          <w:sz w:val="20"/>
        </w:rPr>
        <w:t>Participações e</w:t>
      </w:r>
      <w:r>
        <w:rPr>
          <w:rFonts w:ascii="Calibri" w:hAnsi="Calibri"/>
          <w:spacing w:val="-4"/>
          <w:sz w:val="20"/>
        </w:rPr>
        <w:t> </w:t>
      </w:r>
      <w:r>
        <w:rPr>
          <w:rFonts w:ascii="Calibri" w:hAnsi="Calibri"/>
          <w:sz w:val="20"/>
        </w:rPr>
        <w:t>Fundos</w:t>
      </w:r>
      <w:r>
        <w:rPr>
          <w:rFonts w:ascii="Calibri" w:hAnsi="Calibri"/>
          <w:spacing w:val="-1"/>
          <w:sz w:val="20"/>
        </w:rPr>
        <w:t> </w:t>
      </w:r>
      <w:r>
        <w:rPr>
          <w:rFonts w:ascii="Calibri" w:hAnsi="Calibri"/>
          <w:sz w:val="20"/>
        </w:rPr>
        <w:t>Imobiliários em</w:t>
      </w:r>
      <w:r>
        <w:rPr>
          <w:rFonts w:ascii="Calibri" w:hAnsi="Calibri"/>
          <w:spacing w:val="-4"/>
          <w:sz w:val="20"/>
        </w:rPr>
        <w:t> </w:t>
      </w:r>
      <w:r>
        <w:rPr>
          <w:rFonts w:ascii="Calibri" w:hAnsi="Calibri"/>
          <w:sz w:val="20"/>
        </w:rPr>
        <w:t>percentual</w:t>
      </w:r>
      <w:r>
        <w:rPr>
          <w:rFonts w:ascii="Calibri" w:hAnsi="Calibri"/>
          <w:spacing w:val="-2"/>
          <w:sz w:val="20"/>
        </w:rPr>
        <w:t> </w:t>
      </w:r>
      <w:r>
        <w:rPr>
          <w:rFonts w:ascii="Calibri" w:hAnsi="Calibri"/>
          <w:sz w:val="20"/>
        </w:rPr>
        <w:t>superior</w:t>
      </w:r>
      <w:r>
        <w:rPr>
          <w:rFonts w:ascii="Calibri" w:hAnsi="Calibri"/>
          <w:spacing w:val="-6"/>
          <w:sz w:val="20"/>
        </w:rPr>
        <w:t> </w:t>
      </w:r>
      <w:r>
        <w:rPr>
          <w:rFonts w:ascii="Calibri" w:hAnsi="Calibri"/>
          <w:sz w:val="20"/>
        </w:rPr>
        <w:t>a 2,5% em cada, reduzir a exposição aos Fundos de Ações na proporção desse excesso</w:t>
      </w:r>
    </w:p>
    <w:p>
      <w:pPr>
        <w:spacing w:after="0" w:line="259" w:lineRule="auto"/>
        <w:jc w:val="left"/>
        <w:rPr>
          <w:rFonts w:ascii="Calibri" w:hAnsi="Calibri"/>
          <w:sz w:val="20"/>
        </w:rPr>
        <w:sectPr>
          <w:pgSz w:w="11920" w:h="16850"/>
          <w:pgMar w:top="1340" w:bottom="280" w:left="1417" w:right="141"/>
        </w:sectPr>
      </w:pPr>
    </w:p>
    <w:p>
      <w:pPr>
        <w:pStyle w:val="Heading1"/>
        <w:spacing w:before="18"/>
        <w:ind w:left="3446"/>
      </w:pPr>
      <w:r>
        <w:rPr>
          <w:color w:val="0D0E0E"/>
        </w:rPr>
        <w:t>PRÓ</w:t>
      </w:r>
      <w:r>
        <w:rPr>
          <w:color w:val="0D0E0E"/>
          <w:spacing w:val="-9"/>
        </w:rPr>
        <w:t> </w:t>
      </w:r>
      <w:r>
        <w:rPr>
          <w:color w:val="0D0E0E"/>
        </w:rPr>
        <w:t>GESTÃO</w:t>
      </w:r>
      <w:r>
        <w:rPr>
          <w:color w:val="0D0E0E"/>
          <w:spacing w:val="-5"/>
        </w:rPr>
        <w:t> </w:t>
      </w:r>
      <w:r>
        <w:rPr>
          <w:color w:val="0D0E0E"/>
        </w:rPr>
        <w:t>NÍVEL</w:t>
      </w:r>
      <w:r>
        <w:rPr>
          <w:color w:val="0D0E0E"/>
          <w:spacing w:val="-3"/>
        </w:rPr>
        <w:t> </w:t>
      </w:r>
      <w:r>
        <w:rPr>
          <w:color w:val="0D0E0E"/>
          <w:spacing w:val="-10"/>
        </w:rPr>
        <w:t>I</w:t>
      </w:r>
    </w:p>
    <w:p>
      <w:pPr>
        <w:pStyle w:val="BodyText"/>
        <w:spacing w:before="168"/>
        <w:rPr>
          <w:rFonts w:ascii="Calibri"/>
          <w:b/>
          <w:sz w:val="20"/>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48" w:hRule="atLeast"/>
        </w:trPr>
        <w:tc>
          <w:tcPr>
            <w:tcW w:w="8689" w:type="dxa"/>
            <w:gridSpan w:val="2"/>
          </w:tcPr>
          <w:p>
            <w:pPr>
              <w:pStyle w:val="TableParagraph"/>
              <w:spacing w:before="11"/>
              <w:ind w:left="458"/>
              <w:rPr>
                <w:sz w:val="21"/>
              </w:rPr>
            </w:pPr>
            <w:r>
              <w:rPr>
                <w:sz w:val="21"/>
              </w:rPr>
              <w:t>Estratégia</w:t>
            </w:r>
            <w:r>
              <w:rPr>
                <w:spacing w:val="-11"/>
                <w:sz w:val="21"/>
              </w:rPr>
              <w:t> </w:t>
            </w:r>
            <w:r>
              <w:rPr>
                <w:sz w:val="21"/>
              </w:rPr>
              <w:t>de</w:t>
            </w:r>
            <w:r>
              <w:rPr>
                <w:spacing w:val="-4"/>
                <w:sz w:val="21"/>
              </w:rPr>
              <w:t> </w:t>
            </w:r>
            <w:r>
              <w:rPr>
                <w:sz w:val="21"/>
              </w:rPr>
              <w:t>Alocação</w:t>
            </w:r>
            <w:r>
              <w:rPr>
                <w:spacing w:val="-7"/>
                <w:sz w:val="21"/>
              </w:rPr>
              <w:t> </w:t>
            </w:r>
            <w:r>
              <w:rPr>
                <w:sz w:val="21"/>
              </w:rPr>
              <w:t>dos</w:t>
            </w:r>
            <w:r>
              <w:rPr>
                <w:spacing w:val="-4"/>
                <w:sz w:val="21"/>
              </w:rPr>
              <w:t> </w:t>
            </w:r>
            <w:r>
              <w:rPr>
                <w:sz w:val="21"/>
              </w:rPr>
              <w:t>Recursos</w:t>
            </w:r>
            <w:r>
              <w:rPr>
                <w:spacing w:val="-7"/>
                <w:sz w:val="21"/>
              </w:rPr>
              <w:t> </w:t>
            </w:r>
            <w:r>
              <w:rPr>
                <w:sz w:val="21"/>
              </w:rPr>
              <w:t>no</w:t>
            </w:r>
            <w:r>
              <w:rPr>
                <w:spacing w:val="-6"/>
                <w:sz w:val="21"/>
              </w:rPr>
              <w:t> </w:t>
            </w:r>
            <w:r>
              <w:rPr>
                <w:sz w:val="21"/>
              </w:rPr>
              <w:t>Longo</w:t>
            </w:r>
            <w:r>
              <w:rPr>
                <w:spacing w:val="-8"/>
                <w:sz w:val="21"/>
              </w:rPr>
              <w:t> </w:t>
            </w:r>
            <w:r>
              <w:rPr>
                <w:sz w:val="21"/>
              </w:rPr>
              <w:t>Prazo</w:t>
            </w:r>
            <w:r>
              <w:rPr>
                <w:spacing w:val="1"/>
                <w:sz w:val="21"/>
              </w:rPr>
              <w:t> </w:t>
            </w:r>
            <w:r>
              <w:rPr>
                <w:sz w:val="21"/>
              </w:rPr>
              <w:t>–</w:t>
            </w:r>
            <w:r>
              <w:rPr>
                <w:spacing w:val="-7"/>
                <w:sz w:val="21"/>
              </w:rPr>
              <w:t> </w:t>
            </w:r>
            <w:r>
              <w:rPr>
                <w:sz w:val="21"/>
              </w:rPr>
              <w:t>Renda</w:t>
            </w:r>
            <w:r>
              <w:rPr>
                <w:spacing w:val="-6"/>
                <w:sz w:val="21"/>
              </w:rPr>
              <w:t> </w:t>
            </w:r>
            <w:r>
              <w:rPr>
                <w:sz w:val="21"/>
              </w:rPr>
              <w:t>Fixa</w:t>
            </w:r>
            <w:r>
              <w:rPr>
                <w:spacing w:val="-7"/>
                <w:sz w:val="21"/>
              </w:rPr>
              <w:t> </w:t>
            </w:r>
            <w:r>
              <w:rPr>
                <w:sz w:val="21"/>
              </w:rPr>
              <w:t>e</w:t>
            </w:r>
            <w:r>
              <w:rPr>
                <w:spacing w:val="-4"/>
                <w:sz w:val="21"/>
              </w:rPr>
              <w:t> </w:t>
            </w:r>
            <w:r>
              <w:rPr>
                <w:spacing w:val="-2"/>
                <w:sz w:val="21"/>
              </w:rPr>
              <w:t>Variável</w:t>
            </w:r>
          </w:p>
        </w:tc>
      </w:tr>
      <w:tr>
        <w:trPr>
          <w:trHeight w:val="387" w:hRule="atLeast"/>
        </w:trPr>
        <w:tc>
          <w:tcPr>
            <w:tcW w:w="7566" w:type="dxa"/>
            <w:tcBorders>
              <w:bottom w:val="nil"/>
            </w:tcBorders>
          </w:tcPr>
          <w:p>
            <w:pPr>
              <w:pStyle w:val="TableParagraph"/>
              <w:spacing w:before="13"/>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13"/>
              <w:rPr>
                <w:b/>
                <w:sz w:val="21"/>
              </w:rPr>
            </w:pPr>
            <w:r>
              <w:rPr>
                <w:b/>
                <w:spacing w:val="-5"/>
                <w:sz w:val="21"/>
              </w:rPr>
              <w:t>55%</w:t>
            </w:r>
          </w:p>
        </w:tc>
      </w:tr>
      <w:tr>
        <w:trPr>
          <w:trHeight w:val="448" w:hRule="atLeast"/>
        </w:trPr>
        <w:tc>
          <w:tcPr>
            <w:tcW w:w="7566" w:type="dxa"/>
            <w:tcBorders>
              <w:top w:val="nil"/>
              <w:bottom w:val="nil"/>
            </w:tcBorders>
          </w:tcPr>
          <w:p>
            <w:pPr>
              <w:pStyle w:val="TableParagraph"/>
              <w:spacing w:before="79"/>
              <w:ind w:left="114"/>
              <w:rPr>
                <w:sz w:val="21"/>
              </w:rPr>
            </w:pPr>
            <w:r>
              <w:rPr>
                <w:sz w:val="21"/>
              </w:rPr>
              <w:t>Longuíssimo</w:t>
            </w:r>
            <w:r>
              <w:rPr>
                <w:spacing w:val="-8"/>
                <w:sz w:val="21"/>
              </w:rPr>
              <w:t> </w:t>
            </w:r>
            <w:r>
              <w:rPr>
                <w:sz w:val="21"/>
              </w:rPr>
              <w:t>Prazo</w:t>
            </w:r>
            <w:r>
              <w:rPr>
                <w:spacing w:val="-6"/>
                <w:sz w:val="21"/>
              </w:rPr>
              <w:t> </w:t>
            </w:r>
            <w:r>
              <w:rPr>
                <w:sz w:val="21"/>
              </w:rPr>
              <w:t>(IMA-B</w:t>
            </w:r>
            <w:r>
              <w:rPr>
                <w:spacing w:val="-6"/>
                <w:sz w:val="21"/>
              </w:rPr>
              <w:t> </w:t>
            </w:r>
            <w:r>
              <w:rPr>
                <w:sz w:val="21"/>
              </w:rPr>
              <w:t>5+</w:t>
            </w:r>
            <w:r>
              <w:rPr>
                <w:spacing w:val="-6"/>
                <w:sz w:val="21"/>
              </w:rPr>
              <w:t> </w:t>
            </w:r>
            <w:r>
              <w:rPr>
                <w:sz w:val="21"/>
              </w:rPr>
              <w:t>e</w:t>
            </w:r>
            <w:r>
              <w:rPr>
                <w:spacing w:val="-6"/>
                <w:sz w:val="21"/>
              </w:rPr>
              <w:t> </w:t>
            </w:r>
            <w:r>
              <w:rPr>
                <w:sz w:val="21"/>
              </w:rPr>
              <w:t>IDKA</w:t>
            </w:r>
            <w:r>
              <w:rPr>
                <w:spacing w:val="-9"/>
                <w:sz w:val="21"/>
              </w:rPr>
              <w:t> </w:t>
            </w:r>
            <w:r>
              <w:rPr>
                <w:spacing w:val="-4"/>
                <w:sz w:val="21"/>
              </w:rPr>
              <w:t>20A)</w:t>
            </w:r>
          </w:p>
        </w:tc>
        <w:tc>
          <w:tcPr>
            <w:tcW w:w="1123" w:type="dxa"/>
            <w:tcBorders>
              <w:top w:val="nil"/>
              <w:bottom w:val="nil"/>
            </w:tcBorders>
          </w:tcPr>
          <w:p>
            <w:pPr>
              <w:pStyle w:val="TableParagraph"/>
              <w:spacing w:before="79"/>
              <w:rPr>
                <w:sz w:val="21"/>
              </w:rPr>
            </w:pPr>
            <w:r>
              <w:rPr>
                <w:spacing w:val="-5"/>
                <w:sz w:val="21"/>
              </w:rPr>
              <w:t>0%</w:t>
            </w:r>
          </w:p>
        </w:tc>
      </w:tr>
      <w:tr>
        <w:trPr>
          <w:trHeight w:val="447" w:hRule="atLeast"/>
        </w:trPr>
        <w:tc>
          <w:tcPr>
            <w:tcW w:w="7566" w:type="dxa"/>
            <w:tcBorders>
              <w:top w:val="nil"/>
              <w:bottom w:val="nil"/>
            </w:tcBorders>
          </w:tcPr>
          <w:p>
            <w:pPr>
              <w:pStyle w:val="TableParagraph"/>
              <w:spacing w:before="75"/>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4"/>
                <w:sz w:val="21"/>
              </w:rPr>
              <w:t> </w:t>
            </w:r>
            <w:r>
              <w:rPr>
                <w:sz w:val="21"/>
              </w:rPr>
              <w:t>Crédito</w:t>
            </w:r>
            <w:r>
              <w:rPr>
                <w:spacing w:val="-10"/>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spacing w:before="75"/>
              <w:rPr>
                <w:sz w:val="21"/>
              </w:rPr>
            </w:pPr>
            <w:r>
              <w:rPr>
                <w:spacing w:val="-5"/>
                <w:sz w:val="21"/>
              </w:rPr>
              <w:t>10%</w:t>
            </w:r>
          </w:p>
        </w:tc>
      </w:tr>
      <w:tr>
        <w:trPr>
          <w:trHeight w:val="445" w:hRule="atLeast"/>
        </w:trPr>
        <w:tc>
          <w:tcPr>
            <w:tcW w:w="7566" w:type="dxa"/>
            <w:tcBorders>
              <w:top w:val="nil"/>
              <w:bottom w:val="nil"/>
            </w:tcBorders>
          </w:tcPr>
          <w:p>
            <w:pPr>
              <w:pStyle w:val="TableParagraph"/>
              <w:spacing w:before="78"/>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8"/>
              <w:rPr>
                <w:sz w:val="21"/>
              </w:rPr>
            </w:pPr>
            <w:r>
              <w:rPr>
                <w:spacing w:val="-5"/>
                <w:sz w:val="21"/>
              </w:rPr>
              <w:t>5%</w:t>
            </w:r>
          </w:p>
        </w:tc>
      </w:tr>
      <w:tr>
        <w:trPr>
          <w:trHeight w:val="438" w:hRule="atLeast"/>
        </w:trPr>
        <w:tc>
          <w:tcPr>
            <w:tcW w:w="7566" w:type="dxa"/>
            <w:tcBorders>
              <w:top w:val="nil"/>
              <w:bottom w:val="nil"/>
            </w:tcBorders>
          </w:tcPr>
          <w:p>
            <w:pPr>
              <w:pStyle w:val="TableParagraph"/>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7"/>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rPr>
                <w:sz w:val="21"/>
              </w:rPr>
            </w:pPr>
            <w:r>
              <w:rPr>
                <w:spacing w:val="-5"/>
                <w:sz w:val="21"/>
              </w:rPr>
              <w:t>15%</w:t>
            </w:r>
          </w:p>
        </w:tc>
      </w:tr>
      <w:tr>
        <w:trPr>
          <w:trHeight w:val="435" w:hRule="atLeast"/>
        </w:trPr>
        <w:tc>
          <w:tcPr>
            <w:tcW w:w="7566" w:type="dxa"/>
            <w:tcBorders>
              <w:top w:val="nil"/>
              <w:bottom w:val="nil"/>
            </w:tcBorders>
          </w:tcPr>
          <w:p>
            <w:pPr>
              <w:pStyle w:val="TableParagraph"/>
              <w:spacing w:before="71"/>
              <w:ind w:left="114"/>
              <w:rPr>
                <w:sz w:val="21"/>
              </w:rPr>
            </w:pPr>
            <w:r>
              <w:rPr>
                <w:sz w:val="21"/>
              </w:rPr>
              <w:t>Curto</w:t>
            </w:r>
            <w:r>
              <w:rPr>
                <w:spacing w:val="-7"/>
                <w:sz w:val="21"/>
              </w:rPr>
              <w:t> </w:t>
            </w:r>
            <w:r>
              <w:rPr>
                <w:sz w:val="21"/>
              </w:rPr>
              <w:t>Prazo</w:t>
            </w:r>
            <w:r>
              <w:rPr>
                <w:spacing w:val="-2"/>
                <w:sz w:val="21"/>
              </w:rPr>
              <w:t> </w:t>
            </w:r>
            <w:r>
              <w:rPr>
                <w:sz w:val="21"/>
              </w:rPr>
              <w:t>(CDI,</w:t>
            </w:r>
            <w:r>
              <w:rPr>
                <w:spacing w:val="-4"/>
                <w:sz w:val="21"/>
              </w:rPr>
              <w:t> </w:t>
            </w:r>
            <w:r>
              <w:rPr>
                <w:sz w:val="21"/>
              </w:rPr>
              <w:t>IRF-M</w:t>
            </w:r>
            <w:r>
              <w:rPr>
                <w:spacing w:val="-7"/>
                <w:sz w:val="21"/>
              </w:rPr>
              <w:t> </w:t>
            </w:r>
            <w:r>
              <w:rPr>
                <w:spacing w:val="-5"/>
                <w:sz w:val="21"/>
              </w:rPr>
              <w:t>1)</w:t>
            </w:r>
          </w:p>
        </w:tc>
        <w:tc>
          <w:tcPr>
            <w:tcW w:w="1123" w:type="dxa"/>
            <w:tcBorders>
              <w:top w:val="nil"/>
              <w:bottom w:val="nil"/>
            </w:tcBorders>
          </w:tcPr>
          <w:p>
            <w:pPr>
              <w:pStyle w:val="TableParagraph"/>
              <w:spacing w:before="71"/>
              <w:rPr>
                <w:sz w:val="21"/>
              </w:rPr>
            </w:pPr>
            <w:r>
              <w:rPr>
                <w:spacing w:val="-5"/>
                <w:sz w:val="21"/>
              </w:rPr>
              <w:t>10%</w:t>
            </w:r>
          </w:p>
        </w:tc>
      </w:tr>
      <w:tr>
        <w:trPr>
          <w:trHeight w:val="440" w:hRule="atLeast"/>
        </w:trPr>
        <w:tc>
          <w:tcPr>
            <w:tcW w:w="7566" w:type="dxa"/>
            <w:tcBorders>
              <w:top w:val="nil"/>
              <w:bottom w:val="nil"/>
            </w:tcBorders>
          </w:tcPr>
          <w:p>
            <w:pPr>
              <w:pStyle w:val="TableParagraph"/>
              <w:spacing w:before="70"/>
              <w:ind w:left="114"/>
              <w:rPr>
                <w:sz w:val="21"/>
              </w:rPr>
            </w:pPr>
            <w:r>
              <w:rPr>
                <w:sz w:val="21"/>
              </w:rPr>
              <w:t>Títulos</w:t>
            </w:r>
            <w:r>
              <w:rPr>
                <w:spacing w:val="-8"/>
                <w:sz w:val="21"/>
              </w:rPr>
              <w:t> </w:t>
            </w:r>
            <w:r>
              <w:rPr>
                <w:sz w:val="21"/>
              </w:rPr>
              <w:t>Privados</w:t>
            </w:r>
            <w:r>
              <w:rPr>
                <w:spacing w:val="-7"/>
                <w:sz w:val="21"/>
              </w:rPr>
              <w:t> </w:t>
            </w:r>
            <w:r>
              <w:rPr>
                <w:sz w:val="21"/>
              </w:rPr>
              <w:t>(Letra</w:t>
            </w:r>
            <w:r>
              <w:rPr>
                <w:spacing w:val="-9"/>
                <w:sz w:val="21"/>
              </w:rPr>
              <w:t> </w:t>
            </w:r>
            <w:r>
              <w:rPr>
                <w:sz w:val="21"/>
              </w:rPr>
              <w:t>financeira</w:t>
            </w:r>
            <w:r>
              <w:rPr>
                <w:spacing w:val="-4"/>
                <w:sz w:val="21"/>
              </w:rPr>
              <w:t> </w:t>
            </w:r>
            <w:r>
              <w:rPr>
                <w:sz w:val="21"/>
              </w:rPr>
              <w:t>e</w:t>
            </w:r>
            <w:r>
              <w:rPr>
                <w:spacing w:val="-8"/>
                <w:sz w:val="21"/>
              </w:rPr>
              <w:t> </w:t>
            </w:r>
            <w:r>
              <w:rPr>
                <w:spacing w:val="-4"/>
                <w:sz w:val="21"/>
              </w:rPr>
              <w:t>CDB)</w:t>
            </w:r>
          </w:p>
        </w:tc>
        <w:tc>
          <w:tcPr>
            <w:tcW w:w="1123" w:type="dxa"/>
            <w:tcBorders>
              <w:top w:val="nil"/>
              <w:bottom w:val="nil"/>
            </w:tcBorders>
          </w:tcPr>
          <w:p>
            <w:pPr>
              <w:pStyle w:val="TableParagraph"/>
              <w:spacing w:before="70"/>
              <w:rPr>
                <w:sz w:val="21"/>
              </w:rPr>
            </w:pPr>
            <w:r>
              <w:rPr>
                <w:spacing w:val="-5"/>
                <w:sz w:val="21"/>
              </w:rPr>
              <w:t>15%</w:t>
            </w:r>
          </w:p>
        </w:tc>
      </w:tr>
      <w:tr>
        <w:trPr>
          <w:trHeight w:val="446" w:hRule="atLeast"/>
        </w:trPr>
        <w:tc>
          <w:tcPr>
            <w:tcW w:w="7566" w:type="dxa"/>
            <w:tcBorders>
              <w:top w:val="nil"/>
              <w:bottom w:val="nil"/>
            </w:tcBorders>
          </w:tcPr>
          <w:p>
            <w:pPr>
              <w:pStyle w:val="TableParagraph"/>
              <w:spacing w:before="76"/>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6"/>
              <w:rPr>
                <w:b/>
                <w:sz w:val="21"/>
              </w:rPr>
            </w:pPr>
            <w:r>
              <w:rPr>
                <w:b/>
                <w:spacing w:val="-5"/>
                <w:sz w:val="21"/>
              </w:rPr>
              <w:t>35%</w:t>
            </w:r>
          </w:p>
        </w:tc>
      </w:tr>
      <w:tr>
        <w:trPr>
          <w:trHeight w:val="450" w:hRule="atLeast"/>
        </w:trPr>
        <w:tc>
          <w:tcPr>
            <w:tcW w:w="7566" w:type="dxa"/>
            <w:tcBorders>
              <w:top w:val="nil"/>
              <w:bottom w:val="nil"/>
            </w:tcBorders>
          </w:tcPr>
          <w:p>
            <w:pPr>
              <w:pStyle w:val="TableParagraph"/>
              <w:spacing w:before="76"/>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76"/>
              <w:rPr>
                <w:sz w:val="21"/>
              </w:rPr>
            </w:pPr>
            <w:r>
              <w:rPr>
                <w:spacing w:val="-5"/>
                <w:sz w:val="21"/>
              </w:rPr>
              <w:t>25%</w:t>
            </w:r>
          </w:p>
        </w:tc>
      </w:tr>
      <w:tr>
        <w:trPr>
          <w:trHeight w:val="450" w:hRule="atLeast"/>
        </w:trPr>
        <w:tc>
          <w:tcPr>
            <w:tcW w:w="7566" w:type="dxa"/>
            <w:tcBorders>
              <w:top w:val="nil"/>
              <w:bottom w:val="nil"/>
            </w:tcBorders>
          </w:tcPr>
          <w:p>
            <w:pPr>
              <w:pStyle w:val="TableParagraph"/>
              <w:spacing w:before="79"/>
              <w:ind w:left="114"/>
              <w:rPr>
                <w:sz w:val="21"/>
              </w:rPr>
            </w:pPr>
            <w:r>
              <w:rPr>
                <w:spacing w:val="-2"/>
                <w:sz w:val="21"/>
              </w:rPr>
              <w:t>Multimercados</w:t>
            </w:r>
          </w:p>
        </w:tc>
        <w:tc>
          <w:tcPr>
            <w:tcW w:w="1123" w:type="dxa"/>
            <w:tcBorders>
              <w:top w:val="nil"/>
              <w:bottom w:val="nil"/>
            </w:tcBorders>
          </w:tcPr>
          <w:p>
            <w:pPr>
              <w:pStyle w:val="TableParagraph"/>
              <w:spacing w:before="79"/>
              <w:rPr>
                <w:sz w:val="21"/>
              </w:rPr>
            </w:pPr>
            <w:r>
              <w:rPr>
                <w:spacing w:val="-5"/>
                <w:sz w:val="21"/>
              </w:rPr>
              <w:t>5%</w:t>
            </w:r>
          </w:p>
        </w:tc>
      </w:tr>
      <w:tr>
        <w:trPr>
          <w:trHeight w:val="450" w:hRule="atLeast"/>
        </w:trPr>
        <w:tc>
          <w:tcPr>
            <w:tcW w:w="7566" w:type="dxa"/>
            <w:tcBorders>
              <w:top w:val="nil"/>
              <w:bottom w:val="nil"/>
            </w:tcBorders>
          </w:tcPr>
          <w:p>
            <w:pPr>
              <w:pStyle w:val="TableParagraph"/>
              <w:spacing w:before="76"/>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6"/>
              <w:rPr>
                <w:sz w:val="21"/>
              </w:rPr>
            </w:pPr>
            <w:r>
              <w:rPr>
                <w:spacing w:val="-4"/>
                <w:sz w:val="21"/>
              </w:rPr>
              <w:t>2,5%</w:t>
            </w:r>
          </w:p>
        </w:tc>
      </w:tr>
      <w:tr>
        <w:trPr>
          <w:trHeight w:val="446" w:hRule="atLeast"/>
        </w:trPr>
        <w:tc>
          <w:tcPr>
            <w:tcW w:w="7566" w:type="dxa"/>
            <w:tcBorders>
              <w:top w:val="nil"/>
              <w:bottom w:val="nil"/>
            </w:tcBorders>
          </w:tcPr>
          <w:p>
            <w:pPr>
              <w:pStyle w:val="TableParagraph"/>
              <w:spacing w:before="79"/>
              <w:ind w:left="114"/>
              <w:rPr>
                <w:sz w:val="21"/>
              </w:rPr>
            </w:pPr>
            <w:r>
              <w:rPr>
                <w:sz w:val="21"/>
              </w:rPr>
              <w:t>Fundos</w:t>
            </w:r>
            <w:r>
              <w:rPr>
                <w:spacing w:val="-10"/>
                <w:sz w:val="21"/>
              </w:rPr>
              <w:t> </w:t>
            </w:r>
            <w:r>
              <w:rPr>
                <w:sz w:val="21"/>
              </w:rPr>
              <w:t>Imobiliários</w:t>
            </w:r>
            <w:r>
              <w:rPr>
                <w:spacing w:val="-8"/>
                <w:sz w:val="21"/>
              </w:rPr>
              <w:t> </w:t>
            </w:r>
            <w:r>
              <w:rPr>
                <w:spacing w:val="-10"/>
                <w:sz w:val="21"/>
              </w:rPr>
              <w:t>*</w:t>
            </w:r>
          </w:p>
        </w:tc>
        <w:tc>
          <w:tcPr>
            <w:tcW w:w="1123" w:type="dxa"/>
            <w:tcBorders>
              <w:top w:val="nil"/>
              <w:bottom w:val="nil"/>
            </w:tcBorders>
          </w:tcPr>
          <w:p>
            <w:pPr>
              <w:pStyle w:val="TableParagraph"/>
              <w:spacing w:before="79"/>
              <w:rPr>
                <w:sz w:val="21"/>
              </w:rPr>
            </w:pPr>
            <w:r>
              <w:rPr>
                <w:spacing w:val="-4"/>
                <w:sz w:val="21"/>
              </w:rPr>
              <w:t>2,5%</w:t>
            </w:r>
          </w:p>
        </w:tc>
      </w:tr>
      <w:tr>
        <w:trPr>
          <w:trHeight w:val="436" w:hRule="atLeast"/>
        </w:trPr>
        <w:tc>
          <w:tcPr>
            <w:tcW w:w="7566" w:type="dxa"/>
            <w:tcBorders>
              <w:top w:val="nil"/>
              <w:bottom w:val="nil"/>
            </w:tcBorders>
          </w:tcPr>
          <w:p>
            <w:pPr>
              <w:pStyle w:val="TableParagraph"/>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rPr>
                <w:b/>
                <w:sz w:val="21"/>
              </w:rPr>
            </w:pPr>
            <w:r>
              <w:rPr>
                <w:b/>
                <w:spacing w:val="-5"/>
                <w:sz w:val="21"/>
              </w:rPr>
              <w:t>10%</w:t>
            </w:r>
          </w:p>
        </w:tc>
      </w:tr>
      <w:tr>
        <w:trPr>
          <w:trHeight w:val="437" w:hRule="atLeast"/>
        </w:trPr>
        <w:tc>
          <w:tcPr>
            <w:tcW w:w="7566" w:type="dxa"/>
            <w:tcBorders>
              <w:top w:val="nil"/>
              <w:bottom w:val="nil"/>
            </w:tcBorders>
          </w:tcPr>
          <w:p>
            <w:pPr>
              <w:pStyle w:val="TableParagraph"/>
              <w:spacing w:before="70"/>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spacing w:before="70"/>
              <w:rPr>
                <w:sz w:val="21"/>
              </w:rPr>
            </w:pPr>
            <w:r>
              <w:rPr>
                <w:spacing w:val="-5"/>
                <w:sz w:val="21"/>
              </w:rPr>
              <w:t>5%</w:t>
            </w:r>
          </w:p>
        </w:tc>
      </w:tr>
      <w:tr>
        <w:trPr>
          <w:trHeight w:val="509" w:hRule="atLeast"/>
        </w:trPr>
        <w:tc>
          <w:tcPr>
            <w:tcW w:w="7566" w:type="dxa"/>
            <w:tcBorders>
              <w:top w:val="nil"/>
            </w:tcBorders>
          </w:tcPr>
          <w:p>
            <w:pPr>
              <w:pStyle w:val="TableParagraph"/>
              <w:ind w:left="114"/>
              <w:rPr>
                <w:sz w:val="21"/>
              </w:rPr>
            </w:pPr>
            <w:r>
              <w:rPr>
                <w:sz w:val="21"/>
              </w:rPr>
              <w:t>Fundos</w:t>
            </w:r>
            <w:r>
              <w:rPr>
                <w:spacing w:val="-6"/>
                <w:sz w:val="21"/>
              </w:rPr>
              <w:t> </w:t>
            </w:r>
            <w:r>
              <w:rPr>
                <w:sz w:val="21"/>
              </w:rPr>
              <w:t>de</w:t>
            </w:r>
            <w:r>
              <w:rPr>
                <w:spacing w:val="-6"/>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rPr>
                <w:sz w:val="21"/>
              </w:rPr>
            </w:pPr>
            <w:r>
              <w:rPr>
                <w:spacing w:val="-5"/>
                <w:sz w:val="21"/>
              </w:rPr>
              <w:t>5%</w:t>
            </w:r>
          </w:p>
        </w:tc>
      </w:tr>
    </w:tbl>
    <w:p>
      <w:pPr>
        <w:spacing w:line="256" w:lineRule="auto" w:before="7"/>
        <w:ind w:left="285" w:right="1335" w:firstLine="0"/>
        <w:jc w:val="left"/>
        <w:rPr>
          <w:rFonts w:ascii="Calibri" w:hAnsi="Calibri"/>
          <w:sz w:val="20"/>
        </w:rPr>
      </w:pPr>
      <w:r>
        <w:rPr>
          <w:rFonts w:ascii="Calibri" w:hAnsi="Calibri"/>
          <w:sz w:val="20"/>
        </w:rPr>
        <w:t>*</w:t>
      </w:r>
      <w:r>
        <w:rPr>
          <w:rFonts w:ascii="Calibri" w:hAnsi="Calibri"/>
          <w:spacing w:val="-4"/>
          <w:sz w:val="20"/>
        </w:rPr>
        <w:t> </w:t>
      </w:r>
      <w:r>
        <w:rPr>
          <w:rFonts w:ascii="Calibri" w:hAnsi="Calibri"/>
          <w:sz w:val="20"/>
        </w:rPr>
        <w:t>Aos</w:t>
      </w:r>
      <w:r>
        <w:rPr>
          <w:rFonts w:ascii="Calibri" w:hAnsi="Calibri"/>
          <w:spacing w:val="-4"/>
          <w:sz w:val="20"/>
        </w:rPr>
        <w:t> </w:t>
      </w:r>
      <w:r>
        <w:rPr>
          <w:rFonts w:ascii="Calibri" w:hAnsi="Calibri"/>
          <w:sz w:val="20"/>
        </w:rPr>
        <w:t>clientes</w:t>
      </w:r>
      <w:r>
        <w:rPr>
          <w:rFonts w:ascii="Calibri" w:hAnsi="Calibri"/>
          <w:spacing w:val="-4"/>
          <w:sz w:val="20"/>
        </w:rPr>
        <w:t> </w:t>
      </w:r>
      <w:r>
        <w:rPr>
          <w:rFonts w:ascii="Calibri" w:hAnsi="Calibri"/>
          <w:sz w:val="20"/>
        </w:rPr>
        <w:t>que</w:t>
      </w:r>
      <w:r>
        <w:rPr>
          <w:rFonts w:ascii="Calibri" w:hAnsi="Calibri"/>
          <w:spacing w:val="-9"/>
          <w:sz w:val="20"/>
        </w:rPr>
        <w:t> </w:t>
      </w:r>
      <w:r>
        <w:rPr>
          <w:rFonts w:ascii="Calibri" w:hAnsi="Calibri"/>
          <w:sz w:val="20"/>
        </w:rPr>
        <w:t>investem</w:t>
      </w:r>
      <w:r>
        <w:rPr>
          <w:rFonts w:ascii="Calibri" w:hAnsi="Calibri"/>
          <w:spacing w:val="-8"/>
          <w:sz w:val="20"/>
        </w:rPr>
        <w:t> </w:t>
      </w:r>
      <w:r>
        <w:rPr>
          <w:rFonts w:ascii="Calibri" w:hAnsi="Calibri"/>
          <w:sz w:val="20"/>
        </w:rPr>
        <w:t>em</w:t>
      </w:r>
      <w:r>
        <w:rPr>
          <w:rFonts w:ascii="Calibri" w:hAnsi="Calibri"/>
          <w:spacing w:val="-6"/>
          <w:sz w:val="20"/>
        </w:rPr>
        <w:t> </w:t>
      </w:r>
      <w:r>
        <w:rPr>
          <w:rFonts w:ascii="Calibri" w:hAnsi="Calibri"/>
          <w:sz w:val="20"/>
        </w:rPr>
        <w:t>Fundos</w:t>
      </w:r>
      <w:r>
        <w:rPr>
          <w:rFonts w:ascii="Calibri" w:hAnsi="Calibri"/>
          <w:spacing w:val="-3"/>
          <w:sz w:val="20"/>
        </w:rPr>
        <w:t> </w:t>
      </w:r>
      <w:r>
        <w:rPr>
          <w:rFonts w:ascii="Calibri" w:hAnsi="Calibri"/>
          <w:sz w:val="20"/>
        </w:rPr>
        <w:t>de</w:t>
      </w:r>
      <w:r>
        <w:rPr>
          <w:rFonts w:ascii="Calibri" w:hAnsi="Calibri"/>
          <w:spacing w:val="-9"/>
          <w:sz w:val="20"/>
        </w:rPr>
        <w:t> </w:t>
      </w:r>
      <w:r>
        <w:rPr>
          <w:rFonts w:ascii="Calibri" w:hAnsi="Calibri"/>
          <w:sz w:val="20"/>
        </w:rPr>
        <w:t>Participações</w:t>
      </w:r>
      <w:r>
        <w:rPr>
          <w:rFonts w:ascii="Calibri" w:hAnsi="Calibri"/>
          <w:spacing w:val="-2"/>
          <w:sz w:val="20"/>
        </w:rPr>
        <w:t> </w:t>
      </w:r>
      <w:r>
        <w:rPr>
          <w:rFonts w:ascii="Calibri" w:hAnsi="Calibri"/>
          <w:sz w:val="20"/>
        </w:rPr>
        <w:t>e</w:t>
      </w:r>
      <w:r>
        <w:rPr>
          <w:rFonts w:ascii="Calibri" w:hAnsi="Calibri"/>
          <w:spacing w:val="-9"/>
          <w:sz w:val="20"/>
        </w:rPr>
        <w:t> </w:t>
      </w:r>
      <w:r>
        <w:rPr>
          <w:rFonts w:ascii="Calibri" w:hAnsi="Calibri"/>
          <w:sz w:val="20"/>
        </w:rPr>
        <w:t>Fundos</w:t>
      </w:r>
      <w:r>
        <w:rPr>
          <w:rFonts w:ascii="Calibri" w:hAnsi="Calibri"/>
          <w:spacing w:val="-3"/>
          <w:sz w:val="20"/>
        </w:rPr>
        <w:t> </w:t>
      </w:r>
      <w:r>
        <w:rPr>
          <w:rFonts w:ascii="Calibri" w:hAnsi="Calibri"/>
          <w:sz w:val="20"/>
        </w:rPr>
        <w:t>Imobiliários</w:t>
      </w:r>
      <w:r>
        <w:rPr>
          <w:rFonts w:ascii="Calibri" w:hAnsi="Calibri"/>
          <w:spacing w:val="-2"/>
          <w:sz w:val="20"/>
        </w:rPr>
        <w:t> </w:t>
      </w:r>
      <w:r>
        <w:rPr>
          <w:rFonts w:ascii="Calibri" w:hAnsi="Calibri"/>
          <w:sz w:val="20"/>
        </w:rPr>
        <w:t>em</w:t>
      </w:r>
      <w:r>
        <w:rPr>
          <w:rFonts w:ascii="Calibri" w:hAnsi="Calibri"/>
          <w:spacing w:val="-6"/>
          <w:sz w:val="20"/>
        </w:rPr>
        <w:t> </w:t>
      </w:r>
      <w:r>
        <w:rPr>
          <w:rFonts w:ascii="Calibri" w:hAnsi="Calibri"/>
          <w:sz w:val="20"/>
        </w:rPr>
        <w:t>percentual</w:t>
      </w:r>
      <w:r>
        <w:rPr>
          <w:rFonts w:ascii="Calibri" w:hAnsi="Calibri"/>
          <w:spacing w:val="-4"/>
          <w:sz w:val="20"/>
        </w:rPr>
        <w:t> </w:t>
      </w:r>
      <w:r>
        <w:rPr>
          <w:rFonts w:ascii="Calibri" w:hAnsi="Calibri"/>
          <w:sz w:val="20"/>
        </w:rPr>
        <w:t>superior</w:t>
      </w:r>
      <w:r>
        <w:rPr>
          <w:rFonts w:ascii="Calibri" w:hAnsi="Calibri"/>
          <w:spacing w:val="-9"/>
          <w:sz w:val="20"/>
        </w:rPr>
        <w:t> </w:t>
      </w:r>
      <w:r>
        <w:rPr>
          <w:rFonts w:ascii="Calibri" w:hAnsi="Calibri"/>
          <w:sz w:val="20"/>
        </w:rPr>
        <w:t>a 2,5% em cada, reduzir a exposição aos Fundos de Ações na proporção desse excesso.</w:t>
      </w:r>
    </w:p>
    <w:p>
      <w:pPr>
        <w:spacing w:after="0" w:line="256" w:lineRule="auto"/>
        <w:jc w:val="left"/>
        <w:rPr>
          <w:rFonts w:ascii="Calibri" w:hAnsi="Calibri"/>
          <w:sz w:val="20"/>
        </w:rPr>
        <w:sectPr>
          <w:pgSz w:w="11920" w:h="16850"/>
          <w:pgMar w:top="1680" w:bottom="280" w:left="1417" w:right="141"/>
        </w:sectPr>
      </w:pPr>
    </w:p>
    <w:p>
      <w:pPr>
        <w:pStyle w:val="Heading1"/>
        <w:spacing w:before="27"/>
        <w:ind w:left="3410"/>
      </w:pPr>
      <w:r>
        <w:rPr>
          <w:color w:val="0D0E0E"/>
        </w:rPr>
        <w:t>PRÓ</w:t>
      </w:r>
      <w:r>
        <w:rPr>
          <w:color w:val="0D0E0E"/>
          <w:spacing w:val="-9"/>
        </w:rPr>
        <w:t> </w:t>
      </w:r>
      <w:r>
        <w:rPr>
          <w:color w:val="0D0E0E"/>
        </w:rPr>
        <w:t>GESTÃO</w:t>
      </w:r>
      <w:r>
        <w:rPr>
          <w:color w:val="0D0E0E"/>
          <w:spacing w:val="-5"/>
        </w:rPr>
        <w:t> </w:t>
      </w:r>
      <w:r>
        <w:rPr>
          <w:color w:val="0D0E0E"/>
        </w:rPr>
        <w:t>NÍVEL</w:t>
      </w:r>
      <w:r>
        <w:rPr>
          <w:color w:val="0D0E0E"/>
          <w:spacing w:val="-3"/>
        </w:rPr>
        <w:t> </w:t>
      </w:r>
      <w:r>
        <w:rPr>
          <w:color w:val="0D0E0E"/>
          <w:spacing w:val="-5"/>
        </w:rPr>
        <w:t>II</w:t>
      </w:r>
    </w:p>
    <w:p>
      <w:pPr>
        <w:pStyle w:val="BodyText"/>
        <w:spacing w:before="165" w:after="1"/>
        <w:rPr>
          <w:rFonts w:ascii="Calibri"/>
          <w:b/>
          <w:sz w:val="20"/>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50" w:hRule="atLeast"/>
        </w:trPr>
        <w:tc>
          <w:tcPr>
            <w:tcW w:w="8689" w:type="dxa"/>
            <w:gridSpan w:val="2"/>
          </w:tcPr>
          <w:p>
            <w:pPr>
              <w:pStyle w:val="TableParagraph"/>
              <w:spacing w:before="13"/>
              <w:ind w:left="450"/>
              <w:rPr>
                <w:sz w:val="21"/>
              </w:rPr>
            </w:pPr>
            <w:r>
              <w:rPr>
                <w:sz w:val="21"/>
              </w:rPr>
              <w:t>Estratégia</w:t>
            </w:r>
            <w:r>
              <w:rPr>
                <w:spacing w:val="-11"/>
                <w:sz w:val="21"/>
              </w:rPr>
              <w:t> </w:t>
            </w:r>
            <w:r>
              <w:rPr>
                <w:sz w:val="21"/>
              </w:rPr>
              <w:t>de</w:t>
            </w:r>
            <w:r>
              <w:rPr>
                <w:spacing w:val="-7"/>
                <w:sz w:val="21"/>
              </w:rPr>
              <w:t> </w:t>
            </w:r>
            <w:r>
              <w:rPr>
                <w:sz w:val="21"/>
              </w:rPr>
              <w:t>Alocação</w:t>
            </w:r>
            <w:r>
              <w:rPr>
                <w:spacing w:val="-5"/>
                <w:sz w:val="21"/>
              </w:rPr>
              <w:t> </w:t>
            </w:r>
            <w:r>
              <w:rPr>
                <w:sz w:val="21"/>
              </w:rPr>
              <w:t>dos</w:t>
            </w:r>
            <w:r>
              <w:rPr>
                <w:spacing w:val="-9"/>
                <w:sz w:val="21"/>
              </w:rPr>
              <w:t> </w:t>
            </w:r>
            <w:r>
              <w:rPr>
                <w:sz w:val="21"/>
              </w:rPr>
              <w:t>Recursos</w:t>
            </w:r>
            <w:r>
              <w:rPr>
                <w:spacing w:val="-9"/>
                <w:sz w:val="21"/>
              </w:rPr>
              <w:t> </w:t>
            </w:r>
            <w:r>
              <w:rPr>
                <w:sz w:val="21"/>
              </w:rPr>
              <w:t>no</w:t>
            </w:r>
            <w:r>
              <w:rPr>
                <w:spacing w:val="-5"/>
                <w:sz w:val="21"/>
              </w:rPr>
              <w:t> </w:t>
            </w:r>
            <w:r>
              <w:rPr>
                <w:sz w:val="21"/>
              </w:rPr>
              <w:t>Longo</w:t>
            </w:r>
            <w:r>
              <w:rPr>
                <w:spacing w:val="-7"/>
                <w:sz w:val="21"/>
              </w:rPr>
              <w:t> </w:t>
            </w:r>
            <w:r>
              <w:rPr>
                <w:sz w:val="21"/>
              </w:rPr>
              <w:t>Prazo</w:t>
            </w:r>
            <w:r>
              <w:rPr>
                <w:spacing w:val="-2"/>
                <w:sz w:val="21"/>
              </w:rPr>
              <w:t> </w:t>
            </w:r>
            <w:r>
              <w:rPr>
                <w:sz w:val="21"/>
              </w:rPr>
              <w:t>–</w:t>
            </w:r>
            <w:r>
              <w:rPr>
                <w:spacing w:val="-7"/>
                <w:sz w:val="21"/>
              </w:rPr>
              <w:t> </w:t>
            </w:r>
            <w:r>
              <w:rPr>
                <w:sz w:val="21"/>
              </w:rPr>
              <w:t>Renda</w:t>
            </w:r>
            <w:r>
              <w:rPr>
                <w:spacing w:val="-7"/>
                <w:sz w:val="21"/>
              </w:rPr>
              <w:t> </w:t>
            </w:r>
            <w:r>
              <w:rPr>
                <w:sz w:val="21"/>
              </w:rPr>
              <w:t>Fixa</w:t>
            </w:r>
            <w:r>
              <w:rPr>
                <w:spacing w:val="-6"/>
                <w:sz w:val="21"/>
              </w:rPr>
              <w:t> </w:t>
            </w:r>
            <w:r>
              <w:rPr>
                <w:sz w:val="21"/>
              </w:rPr>
              <w:t>e</w:t>
            </w:r>
            <w:r>
              <w:rPr>
                <w:spacing w:val="-7"/>
                <w:sz w:val="21"/>
              </w:rPr>
              <w:t> </w:t>
            </w:r>
            <w:r>
              <w:rPr>
                <w:spacing w:val="-2"/>
                <w:sz w:val="21"/>
              </w:rPr>
              <w:t>Variável</w:t>
            </w:r>
          </w:p>
        </w:tc>
      </w:tr>
      <w:tr>
        <w:trPr>
          <w:trHeight w:val="386" w:hRule="atLeast"/>
        </w:trPr>
        <w:tc>
          <w:tcPr>
            <w:tcW w:w="7566" w:type="dxa"/>
            <w:tcBorders>
              <w:bottom w:val="nil"/>
            </w:tcBorders>
          </w:tcPr>
          <w:p>
            <w:pPr>
              <w:pStyle w:val="TableParagraph"/>
              <w:spacing w:before="11"/>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11"/>
              <w:rPr>
                <w:b/>
                <w:sz w:val="21"/>
              </w:rPr>
            </w:pPr>
            <w:r>
              <w:rPr>
                <w:b/>
                <w:spacing w:val="-5"/>
                <w:sz w:val="21"/>
              </w:rPr>
              <w:t>50%</w:t>
            </w:r>
          </w:p>
        </w:tc>
      </w:tr>
      <w:tr>
        <w:trPr>
          <w:trHeight w:val="457" w:hRule="atLeast"/>
        </w:trPr>
        <w:tc>
          <w:tcPr>
            <w:tcW w:w="7566" w:type="dxa"/>
            <w:tcBorders>
              <w:top w:val="nil"/>
              <w:bottom w:val="nil"/>
            </w:tcBorders>
          </w:tcPr>
          <w:p>
            <w:pPr>
              <w:pStyle w:val="TableParagraph"/>
              <w:spacing w:before="88"/>
              <w:ind w:left="114"/>
              <w:rPr>
                <w:sz w:val="21"/>
              </w:rPr>
            </w:pPr>
            <w:r>
              <w:rPr>
                <w:sz w:val="21"/>
              </w:rPr>
              <w:t>Longuíssimo</w:t>
            </w:r>
            <w:r>
              <w:rPr>
                <w:spacing w:val="-8"/>
                <w:sz w:val="21"/>
              </w:rPr>
              <w:t> </w:t>
            </w:r>
            <w:r>
              <w:rPr>
                <w:sz w:val="21"/>
              </w:rPr>
              <w:t>Prazo</w:t>
            </w:r>
            <w:r>
              <w:rPr>
                <w:spacing w:val="-6"/>
                <w:sz w:val="21"/>
              </w:rPr>
              <w:t> </w:t>
            </w:r>
            <w:r>
              <w:rPr>
                <w:sz w:val="21"/>
              </w:rPr>
              <w:t>(IMA-B</w:t>
            </w:r>
            <w:r>
              <w:rPr>
                <w:spacing w:val="-6"/>
                <w:sz w:val="21"/>
              </w:rPr>
              <w:t> </w:t>
            </w:r>
            <w:r>
              <w:rPr>
                <w:sz w:val="21"/>
              </w:rPr>
              <w:t>5+</w:t>
            </w:r>
            <w:r>
              <w:rPr>
                <w:spacing w:val="-6"/>
                <w:sz w:val="21"/>
              </w:rPr>
              <w:t> </w:t>
            </w:r>
            <w:r>
              <w:rPr>
                <w:sz w:val="21"/>
              </w:rPr>
              <w:t>e</w:t>
            </w:r>
            <w:r>
              <w:rPr>
                <w:spacing w:val="-6"/>
                <w:sz w:val="21"/>
              </w:rPr>
              <w:t> </w:t>
            </w:r>
            <w:r>
              <w:rPr>
                <w:sz w:val="21"/>
              </w:rPr>
              <w:t>IDKA</w:t>
            </w:r>
            <w:r>
              <w:rPr>
                <w:spacing w:val="-9"/>
                <w:sz w:val="21"/>
              </w:rPr>
              <w:t> </w:t>
            </w:r>
            <w:r>
              <w:rPr>
                <w:spacing w:val="-4"/>
                <w:sz w:val="21"/>
              </w:rPr>
              <w:t>20A)</w:t>
            </w:r>
          </w:p>
        </w:tc>
        <w:tc>
          <w:tcPr>
            <w:tcW w:w="1123" w:type="dxa"/>
            <w:tcBorders>
              <w:top w:val="nil"/>
              <w:bottom w:val="nil"/>
            </w:tcBorders>
          </w:tcPr>
          <w:p>
            <w:pPr>
              <w:pStyle w:val="TableParagraph"/>
              <w:spacing w:before="78"/>
              <w:rPr>
                <w:sz w:val="22"/>
              </w:rPr>
            </w:pPr>
            <w:r>
              <w:rPr>
                <w:spacing w:val="-5"/>
                <w:sz w:val="22"/>
              </w:rPr>
              <w:t>0%</w:t>
            </w:r>
          </w:p>
        </w:tc>
      </w:tr>
      <w:tr>
        <w:trPr>
          <w:trHeight w:val="448" w:hRule="atLeast"/>
        </w:trPr>
        <w:tc>
          <w:tcPr>
            <w:tcW w:w="7566" w:type="dxa"/>
            <w:tcBorders>
              <w:top w:val="nil"/>
              <w:bottom w:val="nil"/>
            </w:tcBorders>
          </w:tcPr>
          <w:p>
            <w:pPr>
              <w:pStyle w:val="TableParagraph"/>
              <w:spacing w:before="79"/>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4"/>
                <w:sz w:val="21"/>
              </w:rPr>
              <w:t> </w:t>
            </w:r>
            <w:r>
              <w:rPr>
                <w:sz w:val="21"/>
              </w:rPr>
              <w:t>Crédito</w:t>
            </w:r>
            <w:r>
              <w:rPr>
                <w:spacing w:val="-10"/>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spacing w:before="70"/>
              <w:rPr>
                <w:sz w:val="22"/>
              </w:rPr>
            </w:pPr>
            <w:r>
              <w:rPr>
                <w:spacing w:val="-5"/>
                <w:sz w:val="22"/>
              </w:rPr>
              <w:t>10%</w:t>
            </w:r>
          </w:p>
        </w:tc>
      </w:tr>
      <w:tr>
        <w:trPr>
          <w:trHeight w:val="448" w:hRule="atLeast"/>
        </w:trPr>
        <w:tc>
          <w:tcPr>
            <w:tcW w:w="7566" w:type="dxa"/>
            <w:tcBorders>
              <w:top w:val="nil"/>
              <w:bottom w:val="nil"/>
            </w:tcBorders>
          </w:tcPr>
          <w:p>
            <w:pPr>
              <w:pStyle w:val="TableParagraph"/>
              <w:spacing w:before="82"/>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0"/>
              <w:rPr>
                <w:sz w:val="22"/>
              </w:rPr>
            </w:pPr>
            <w:r>
              <w:rPr>
                <w:spacing w:val="-5"/>
                <w:sz w:val="22"/>
              </w:rPr>
              <w:t>5%</w:t>
            </w:r>
          </w:p>
        </w:tc>
      </w:tr>
      <w:tr>
        <w:trPr>
          <w:trHeight w:val="437" w:hRule="atLeast"/>
        </w:trPr>
        <w:tc>
          <w:tcPr>
            <w:tcW w:w="7566" w:type="dxa"/>
            <w:tcBorders>
              <w:top w:val="nil"/>
              <w:bottom w:val="nil"/>
            </w:tcBorders>
          </w:tcPr>
          <w:p>
            <w:pPr>
              <w:pStyle w:val="TableParagraph"/>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7"/>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rPr>
                <w:sz w:val="21"/>
              </w:rPr>
            </w:pPr>
            <w:r>
              <w:rPr>
                <w:spacing w:val="-5"/>
                <w:sz w:val="21"/>
              </w:rPr>
              <w:t>15%</w:t>
            </w:r>
          </w:p>
        </w:tc>
      </w:tr>
      <w:tr>
        <w:trPr>
          <w:trHeight w:val="449" w:hRule="atLeast"/>
        </w:trPr>
        <w:tc>
          <w:tcPr>
            <w:tcW w:w="7566" w:type="dxa"/>
            <w:tcBorders>
              <w:top w:val="nil"/>
              <w:bottom w:val="nil"/>
            </w:tcBorders>
          </w:tcPr>
          <w:p>
            <w:pPr>
              <w:pStyle w:val="TableParagraph"/>
              <w:spacing w:before="84"/>
              <w:ind w:left="114"/>
              <w:rPr>
                <w:sz w:val="21"/>
              </w:rPr>
            </w:pPr>
            <w:r>
              <w:rPr>
                <w:sz w:val="21"/>
              </w:rPr>
              <w:t>Curto</w:t>
            </w:r>
            <w:r>
              <w:rPr>
                <w:spacing w:val="-7"/>
                <w:sz w:val="21"/>
              </w:rPr>
              <w:t> </w:t>
            </w:r>
            <w:r>
              <w:rPr>
                <w:sz w:val="21"/>
              </w:rPr>
              <w:t>Prazo</w:t>
            </w:r>
            <w:r>
              <w:rPr>
                <w:spacing w:val="-2"/>
                <w:sz w:val="21"/>
              </w:rPr>
              <w:t> </w:t>
            </w:r>
            <w:r>
              <w:rPr>
                <w:sz w:val="21"/>
              </w:rPr>
              <w:t>(CDI,</w:t>
            </w:r>
            <w:r>
              <w:rPr>
                <w:spacing w:val="-4"/>
                <w:sz w:val="21"/>
              </w:rPr>
              <w:t> </w:t>
            </w:r>
            <w:r>
              <w:rPr>
                <w:sz w:val="21"/>
              </w:rPr>
              <w:t>IRF-M</w:t>
            </w:r>
            <w:r>
              <w:rPr>
                <w:spacing w:val="-7"/>
                <w:sz w:val="21"/>
              </w:rPr>
              <w:t> </w:t>
            </w:r>
            <w:r>
              <w:rPr>
                <w:spacing w:val="-5"/>
                <w:sz w:val="21"/>
              </w:rPr>
              <w:t>1)</w:t>
            </w:r>
          </w:p>
        </w:tc>
        <w:tc>
          <w:tcPr>
            <w:tcW w:w="1123" w:type="dxa"/>
            <w:tcBorders>
              <w:top w:val="nil"/>
              <w:bottom w:val="nil"/>
            </w:tcBorders>
          </w:tcPr>
          <w:p>
            <w:pPr>
              <w:pStyle w:val="TableParagraph"/>
              <w:spacing w:before="68"/>
              <w:rPr>
                <w:sz w:val="22"/>
              </w:rPr>
            </w:pPr>
            <w:r>
              <w:rPr>
                <w:spacing w:val="-5"/>
                <w:sz w:val="22"/>
              </w:rPr>
              <w:t>10%</w:t>
            </w:r>
          </w:p>
        </w:tc>
      </w:tr>
      <w:tr>
        <w:trPr>
          <w:trHeight w:val="452" w:hRule="atLeast"/>
        </w:trPr>
        <w:tc>
          <w:tcPr>
            <w:tcW w:w="7566" w:type="dxa"/>
            <w:tcBorders>
              <w:top w:val="nil"/>
              <w:bottom w:val="nil"/>
            </w:tcBorders>
          </w:tcPr>
          <w:p>
            <w:pPr>
              <w:pStyle w:val="TableParagraph"/>
              <w:ind w:left="114"/>
              <w:rPr>
                <w:sz w:val="21"/>
              </w:rPr>
            </w:pPr>
            <w:r>
              <w:rPr>
                <w:sz w:val="21"/>
              </w:rPr>
              <w:t>Títulos</w:t>
            </w:r>
            <w:r>
              <w:rPr>
                <w:spacing w:val="-8"/>
                <w:sz w:val="21"/>
              </w:rPr>
              <w:t> </w:t>
            </w:r>
            <w:r>
              <w:rPr>
                <w:sz w:val="21"/>
              </w:rPr>
              <w:t>Privados</w:t>
            </w:r>
            <w:r>
              <w:rPr>
                <w:spacing w:val="-7"/>
                <w:sz w:val="21"/>
              </w:rPr>
              <w:t> </w:t>
            </w:r>
            <w:r>
              <w:rPr>
                <w:sz w:val="21"/>
              </w:rPr>
              <w:t>(Letra</w:t>
            </w:r>
            <w:r>
              <w:rPr>
                <w:spacing w:val="-9"/>
                <w:sz w:val="21"/>
              </w:rPr>
              <w:t> </w:t>
            </w:r>
            <w:r>
              <w:rPr>
                <w:sz w:val="21"/>
              </w:rPr>
              <w:t>financeira</w:t>
            </w:r>
            <w:r>
              <w:rPr>
                <w:spacing w:val="-4"/>
                <w:sz w:val="21"/>
              </w:rPr>
              <w:t> </w:t>
            </w:r>
            <w:r>
              <w:rPr>
                <w:sz w:val="21"/>
              </w:rPr>
              <w:t>e</w:t>
            </w:r>
            <w:r>
              <w:rPr>
                <w:spacing w:val="-8"/>
                <w:sz w:val="21"/>
              </w:rPr>
              <w:t> </w:t>
            </w:r>
            <w:r>
              <w:rPr>
                <w:spacing w:val="-4"/>
                <w:sz w:val="21"/>
              </w:rPr>
              <w:t>CDB)</w:t>
            </w:r>
          </w:p>
        </w:tc>
        <w:tc>
          <w:tcPr>
            <w:tcW w:w="1123" w:type="dxa"/>
            <w:tcBorders>
              <w:top w:val="nil"/>
              <w:bottom w:val="nil"/>
            </w:tcBorders>
          </w:tcPr>
          <w:p>
            <w:pPr>
              <w:pStyle w:val="TableParagraph"/>
              <w:spacing w:before="67"/>
              <w:rPr>
                <w:sz w:val="22"/>
              </w:rPr>
            </w:pPr>
            <w:r>
              <w:rPr>
                <w:spacing w:val="-5"/>
                <w:sz w:val="22"/>
              </w:rPr>
              <w:t>10%</w:t>
            </w:r>
          </w:p>
        </w:tc>
      </w:tr>
      <w:tr>
        <w:trPr>
          <w:trHeight w:val="445" w:hRule="atLeast"/>
        </w:trPr>
        <w:tc>
          <w:tcPr>
            <w:tcW w:w="7566" w:type="dxa"/>
            <w:tcBorders>
              <w:top w:val="nil"/>
              <w:bottom w:val="nil"/>
            </w:tcBorders>
          </w:tcPr>
          <w:p>
            <w:pPr>
              <w:pStyle w:val="TableParagraph"/>
              <w:spacing w:before="78"/>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8"/>
              <w:rPr>
                <w:b/>
                <w:sz w:val="21"/>
              </w:rPr>
            </w:pPr>
            <w:r>
              <w:rPr>
                <w:b/>
                <w:spacing w:val="-5"/>
                <w:sz w:val="21"/>
              </w:rPr>
              <w:t>40%</w:t>
            </w:r>
          </w:p>
        </w:tc>
      </w:tr>
      <w:tr>
        <w:trPr>
          <w:trHeight w:val="450" w:hRule="atLeast"/>
        </w:trPr>
        <w:tc>
          <w:tcPr>
            <w:tcW w:w="7566" w:type="dxa"/>
            <w:tcBorders>
              <w:top w:val="nil"/>
              <w:bottom w:val="nil"/>
            </w:tcBorders>
          </w:tcPr>
          <w:p>
            <w:pPr>
              <w:pStyle w:val="TableParagraph"/>
              <w:spacing w:before="82"/>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70"/>
              <w:rPr>
                <w:sz w:val="22"/>
              </w:rPr>
            </w:pPr>
            <w:r>
              <w:rPr>
                <w:spacing w:val="-5"/>
                <w:sz w:val="22"/>
              </w:rPr>
              <w:t>30%</w:t>
            </w:r>
          </w:p>
        </w:tc>
      </w:tr>
      <w:tr>
        <w:trPr>
          <w:trHeight w:val="450" w:hRule="atLeast"/>
        </w:trPr>
        <w:tc>
          <w:tcPr>
            <w:tcW w:w="7566" w:type="dxa"/>
            <w:tcBorders>
              <w:top w:val="nil"/>
              <w:bottom w:val="nil"/>
            </w:tcBorders>
          </w:tcPr>
          <w:p>
            <w:pPr>
              <w:pStyle w:val="TableParagraph"/>
              <w:spacing w:before="83"/>
              <w:ind w:left="114"/>
              <w:rPr>
                <w:sz w:val="21"/>
              </w:rPr>
            </w:pPr>
            <w:r>
              <w:rPr>
                <w:spacing w:val="-2"/>
                <w:sz w:val="21"/>
              </w:rPr>
              <w:t>Multimercados</w:t>
            </w:r>
          </w:p>
        </w:tc>
        <w:tc>
          <w:tcPr>
            <w:tcW w:w="1123" w:type="dxa"/>
            <w:tcBorders>
              <w:top w:val="nil"/>
              <w:bottom w:val="nil"/>
            </w:tcBorders>
          </w:tcPr>
          <w:p>
            <w:pPr>
              <w:pStyle w:val="TableParagraph"/>
              <w:spacing w:before="71"/>
              <w:rPr>
                <w:sz w:val="22"/>
              </w:rPr>
            </w:pPr>
            <w:r>
              <w:rPr>
                <w:spacing w:val="-5"/>
                <w:sz w:val="22"/>
              </w:rPr>
              <w:t>5%</w:t>
            </w:r>
          </w:p>
        </w:tc>
      </w:tr>
      <w:tr>
        <w:trPr>
          <w:trHeight w:val="450" w:hRule="atLeast"/>
        </w:trPr>
        <w:tc>
          <w:tcPr>
            <w:tcW w:w="7566" w:type="dxa"/>
            <w:tcBorders>
              <w:top w:val="nil"/>
              <w:bottom w:val="nil"/>
            </w:tcBorders>
          </w:tcPr>
          <w:p>
            <w:pPr>
              <w:pStyle w:val="TableParagraph"/>
              <w:spacing w:before="82"/>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0"/>
              <w:rPr>
                <w:sz w:val="22"/>
              </w:rPr>
            </w:pPr>
            <w:r>
              <w:rPr>
                <w:spacing w:val="-4"/>
                <w:sz w:val="22"/>
              </w:rPr>
              <w:t>2,5%</w:t>
            </w:r>
          </w:p>
        </w:tc>
      </w:tr>
      <w:tr>
        <w:trPr>
          <w:trHeight w:val="449" w:hRule="atLeast"/>
        </w:trPr>
        <w:tc>
          <w:tcPr>
            <w:tcW w:w="7566" w:type="dxa"/>
            <w:tcBorders>
              <w:top w:val="nil"/>
              <w:bottom w:val="nil"/>
            </w:tcBorders>
          </w:tcPr>
          <w:p>
            <w:pPr>
              <w:pStyle w:val="TableParagraph"/>
              <w:spacing w:before="81"/>
              <w:ind w:left="114"/>
              <w:rPr>
                <w:sz w:val="21"/>
              </w:rPr>
            </w:pPr>
            <w:r>
              <w:rPr>
                <w:sz w:val="21"/>
              </w:rPr>
              <w:t>Fundos</w:t>
            </w:r>
            <w:r>
              <w:rPr>
                <w:spacing w:val="-10"/>
                <w:sz w:val="21"/>
              </w:rPr>
              <w:t> </w:t>
            </w:r>
            <w:r>
              <w:rPr>
                <w:sz w:val="21"/>
              </w:rPr>
              <w:t>Imobiliários</w:t>
            </w:r>
            <w:r>
              <w:rPr>
                <w:spacing w:val="-8"/>
                <w:sz w:val="21"/>
              </w:rPr>
              <w:t> </w:t>
            </w:r>
            <w:r>
              <w:rPr>
                <w:spacing w:val="-10"/>
                <w:sz w:val="21"/>
              </w:rPr>
              <w:t>*</w:t>
            </w:r>
          </w:p>
        </w:tc>
        <w:tc>
          <w:tcPr>
            <w:tcW w:w="1123" w:type="dxa"/>
            <w:tcBorders>
              <w:top w:val="nil"/>
              <w:bottom w:val="nil"/>
            </w:tcBorders>
          </w:tcPr>
          <w:p>
            <w:pPr>
              <w:pStyle w:val="TableParagraph"/>
              <w:spacing w:before="71"/>
              <w:rPr>
                <w:sz w:val="22"/>
              </w:rPr>
            </w:pPr>
            <w:r>
              <w:rPr>
                <w:spacing w:val="-4"/>
                <w:sz w:val="22"/>
              </w:rPr>
              <w:t>2,5%</w:t>
            </w:r>
          </w:p>
        </w:tc>
      </w:tr>
      <w:tr>
        <w:trPr>
          <w:trHeight w:val="444" w:hRule="atLeast"/>
        </w:trPr>
        <w:tc>
          <w:tcPr>
            <w:tcW w:w="7566" w:type="dxa"/>
            <w:tcBorders>
              <w:top w:val="nil"/>
              <w:bottom w:val="nil"/>
            </w:tcBorders>
          </w:tcPr>
          <w:p>
            <w:pPr>
              <w:pStyle w:val="TableParagraph"/>
              <w:spacing w:before="87"/>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rPr>
                <w:b/>
                <w:sz w:val="21"/>
              </w:rPr>
            </w:pPr>
            <w:r>
              <w:rPr>
                <w:b/>
                <w:spacing w:val="-5"/>
                <w:sz w:val="21"/>
              </w:rPr>
              <w:t>10%</w:t>
            </w:r>
          </w:p>
        </w:tc>
      </w:tr>
      <w:tr>
        <w:trPr>
          <w:trHeight w:val="444" w:hRule="atLeast"/>
        </w:trPr>
        <w:tc>
          <w:tcPr>
            <w:tcW w:w="7566" w:type="dxa"/>
            <w:tcBorders>
              <w:top w:val="nil"/>
              <w:bottom w:val="nil"/>
            </w:tcBorders>
          </w:tcPr>
          <w:p>
            <w:pPr>
              <w:pStyle w:val="TableParagraph"/>
              <w:spacing w:before="80"/>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spacing w:before="60"/>
              <w:rPr>
                <w:sz w:val="22"/>
              </w:rPr>
            </w:pPr>
            <w:r>
              <w:rPr>
                <w:spacing w:val="-5"/>
                <w:sz w:val="22"/>
              </w:rPr>
              <w:t>5%</w:t>
            </w:r>
          </w:p>
        </w:tc>
      </w:tr>
      <w:tr>
        <w:trPr>
          <w:trHeight w:val="521" w:hRule="atLeast"/>
        </w:trPr>
        <w:tc>
          <w:tcPr>
            <w:tcW w:w="7566" w:type="dxa"/>
            <w:tcBorders>
              <w:top w:val="nil"/>
            </w:tcBorders>
          </w:tcPr>
          <w:p>
            <w:pPr>
              <w:pStyle w:val="TableParagraph"/>
              <w:spacing w:before="70"/>
              <w:ind w:left="114"/>
              <w:rPr>
                <w:sz w:val="21"/>
              </w:rPr>
            </w:pPr>
            <w:r>
              <w:rPr>
                <w:sz w:val="21"/>
              </w:rPr>
              <w:t>Fundos</w:t>
            </w:r>
            <w:r>
              <w:rPr>
                <w:spacing w:val="-6"/>
                <w:sz w:val="21"/>
              </w:rPr>
              <w:t> </w:t>
            </w:r>
            <w:r>
              <w:rPr>
                <w:sz w:val="21"/>
              </w:rPr>
              <w:t>de</w:t>
            </w:r>
            <w:r>
              <w:rPr>
                <w:spacing w:val="-6"/>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spacing w:before="67"/>
              <w:rPr>
                <w:sz w:val="22"/>
              </w:rPr>
            </w:pPr>
            <w:r>
              <w:rPr>
                <w:spacing w:val="-5"/>
                <w:sz w:val="22"/>
              </w:rPr>
              <w:t>5%</w:t>
            </w:r>
          </w:p>
        </w:tc>
      </w:tr>
    </w:tbl>
    <w:p>
      <w:pPr>
        <w:spacing w:line="256" w:lineRule="auto" w:before="8"/>
        <w:ind w:left="285" w:right="1335" w:firstLine="0"/>
        <w:jc w:val="left"/>
        <w:rPr>
          <w:rFonts w:ascii="Calibri" w:hAnsi="Calibri"/>
          <w:sz w:val="20"/>
        </w:rPr>
      </w:pPr>
      <w:r>
        <w:rPr>
          <w:rFonts w:ascii="Calibri" w:hAnsi="Calibri"/>
          <w:sz w:val="20"/>
        </w:rPr>
        <w:t>*</w:t>
      </w:r>
      <w:r>
        <w:rPr>
          <w:rFonts w:ascii="Calibri" w:hAnsi="Calibri"/>
          <w:spacing w:val="-4"/>
          <w:sz w:val="20"/>
        </w:rPr>
        <w:t> </w:t>
      </w:r>
      <w:r>
        <w:rPr>
          <w:rFonts w:ascii="Calibri" w:hAnsi="Calibri"/>
          <w:sz w:val="20"/>
        </w:rPr>
        <w:t>Aos</w:t>
      </w:r>
      <w:r>
        <w:rPr>
          <w:rFonts w:ascii="Calibri" w:hAnsi="Calibri"/>
          <w:spacing w:val="-4"/>
          <w:sz w:val="20"/>
        </w:rPr>
        <w:t> </w:t>
      </w:r>
      <w:r>
        <w:rPr>
          <w:rFonts w:ascii="Calibri" w:hAnsi="Calibri"/>
          <w:sz w:val="20"/>
        </w:rPr>
        <w:t>clientes</w:t>
      </w:r>
      <w:r>
        <w:rPr>
          <w:rFonts w:ascii="Calibri" w:hAnsi="Calibri"/>
          <w:spacing w:val="-4"/>
          <w:sz w:val="20"/>
        </w:rPr>
        <w:t> </w:t>
      </w:r>
      <w:r>
        <w:rPr>
          <w:rFonts w:ascii="Calibri" w:hAnsi="Calibri"/>
          <w:sz w:val="20"/>
        </w:rPr>
        <w:t>que</w:t>
      </w:r>
      <w:r>
        <w:rPr>
          <w:rFonts w:ascii="Calibri" w:hAnsi="Calibri"/>
          <w:spacing w:val="-9"/>
          <w:sz w:val="20"/>
        </w:rPr>
        <w:t> </w:t>
      </w:r>
      <w:r>
        <w:rPr>
          <w:rFonts w:ascii="Calibri" w:hAnsi="Calibri"/>
          <w:sz w:val="20"/>
        </w:rPr>
        <w:t>investem</w:t>
      </w:r>
      <w:r>
        <w:rPr>
          <w:rFonts w:ascii="Calibri" w:hAnsi="Calibri"/>
          <w:spacing w:val="-8"/>
          <w:sz w:val="20"/>
        </w:rPr>
        <w:t> </w:t>
      </w:r>
      <w:r>
        <w:rPr>
          <w:rFonts w:ascii="Calibri" w:hAnsi="Calibri"/>
          <w:sz w:val="20"/>
        </w:rPr>
        <w:t>em</w:t>
      </w:r>
      <w:r>
        <w:rPr>
          <w:rFonts w:ascii="Calibri" w:hAnsi="Calibri"/>
          <w:spacing w:val="-6"/>
          <w:sz w:val="20"/>
        </w:rPr>
        <w:t> </w:t>
      </w:r>
      <w:r>
        <w:rPr>
          <w:rFonts w:ascii="Calibri" w:hAnsi="Calibri"/>
          <w:sz w:val="20"/>
        </w:rPr>
        <w:t>Fundos</w:t>
      </w:r>
      <w:r>
        <w:rPr>
          <w:rFonts w:ascii="Calibri" w:hAnsi="Calibri"/>
          <w:spacing w:val="-3"/>
          <w:sz w:val="20"/>
        </w:rPr>
        <w:t> </w:t>
      </w:r>
      <w:r>
        <w:rPr>
          <w:rFonts w:ascii="Calibri" w:hAnsi="Calibri"/>
          <w:sz w:val="20"/>
        </w:rPr>
        <w:t>de</w:t>
      </w:r>
      <w:r>
        <w:rPr>
          <w:rFonts w:ascii="Calibri" w:hAnsi="Calibri"/>
          <w:spacing w:val="-9"/>
          <w:sz w:val="20"/>
        </w:rPr>
        <w:t> </w:t>
      </w:r>
      <w:r>
        <w:rPr>
          <w:rFonts w:ascii="Calibri" w:hAnsi="Calibri"/>
          <w:sz w:val="20"/>
        </w:rPr>
        <w:t>Participações</w:t>
      </w:r>
      <w:r>
        <w:rPr>
          <w:rFonts w:ascii="Calibri" w:hAnsi="Calibri"/>
          <w:spacing w:val="-2"/>
          <w:sz w:val="20"/>
        </w:rPr>
        <w:t> </w:t>
      </w:r>
      <w:r>
        <w:rPr>
          <w:rFonts w:ascii="Calibri" w:hAnsi="Calibri"/>
          <w:sz w:val="20"/>
        </w:rPr>
        <w:t>e</w:t>
      </w:r>
      <w:r>
        <w:rPr>
          <w:rFonts w:ascii="Calibri" w:hAnsi="Calibri"/>
          <w:spacing w:val="-9"/>
          <w:sz w:val="20"/>
        </w:rPr>
        <w:t> </w:t>
      </w:r>
      <w:r>
        <w:rPr>
          <w:rFonts w:ascii="Calibri" w:hAnsi="Calibri"/>
          <w:sz w:val="20"/>
        </w:rPr>
        <w:t>Fundos</w:t>
      </w:r>
      <w:r>
        <w:rPr>
          <w:rFonts w:ascii="Calibri" w:hAnsi="Calibri"/>
          <w:spacing w:val="-3"/>
          <w:sz w:val="20"/>
        </w:rPr>
        <w:t> </w:t>
      </w:r>
      <w:r>
        <w:rPr>
          <w:rFonts w:ascii="Calibri" w:hAnsi="Calibri"/>
          <w:sz w:val="20"/>
        </w:rPr>
        <w:t>Imobiliários</w:t>
      </w:r>
      <w:r>
        <w:rPr>
          <w:rFonts w:ascii="Calibri" w:hAnsi="Calibri"/>
          <w:spacing w:val="-2"/>
          <w:sz w:val="20"/>
        </w:rPr>
        <w:t> </w:t>
      </w:r>
      <w:r>
        <w:rPr>
          <w:rFonts w:ascii="Calibri" w:hAnsi="Calibri"/>
          <w:sz w:val="20"/>
        </w:rPr>
        <w:t>em</w:t>
      </w:r>
      <w:r>
        <w:rPr>
          <w:rFonts w:ascii="Calibri" w:hAnsi="Calibri"/>
          <w:spacing w:val="-6"/>
          <w:sz w:val="20"/>
        </w:rPr>
        <w:t> </w:t>
      </w:r>
      <w:r>
        <w:rPr>
          <w:rFonts w:ascii="Calibri" w:hAnsi="Calibri"/>
          <w:sz w:val="20"/>
        </w:rPr>
        <w:t>percentual</w:t>
      </w:r>
      <w:r>
        <w:rPr>
          <w:rFonts w:ascii="Calibri" w:hAnsi="Calibri"/>
          <w:spacing w:val="-4"/>
          <w:sz w:val="20"/>
        </w:rPr>
        <w:t> </w:t>
      </w:r>
      <w:r>
        <w:rPr>
          <w:rFonts w:ascii="Calibri" w:hAnsi="Calibri"/>
          <w:sz w:val="20"/>
        </w:rPr>
        <w:t>superior</w:t>
      </w:r>
      <w:r>
        <w:rPr>
          <w:rFonts w:ascii="Calibri" w:hAnsi="Calibri"/>
          <w:spacing w:val="-9"/>
          <w:sz w:val="20"/>
        </w:rPr>
        <w:t> </w:t>
      </w:r>
      <w:r>
        <w:rPr>
          <w:rFonts w:ascii="Calibri" w:hAnsi="Calibri"/>
          <w:sz w:val="20"/>
        </w:rPr>
        <w:t>a 2,5% em cada, reduzir a exposição aos Fundos de Ações na proporção desse excesso.</w:t>
      </w:r>
    </w:p>
    <w:p>
      <w:pPr>
        <w:spacing w:after="0" w:line="256" w:lineRule="auto"/>
        <w:jc w:val="left"/>
        <w:rPr>
          <w:rFonts w:ascii="Calibri" w:hAnsi="Calibri"/>
          <w:sz w:val="20"/>
        </w:rPr>
        <w:sectPr>
          <w:pgSz w:w="11920" w:h="16850"/>
          <w:pgMar w:top="1880" w:bottom="280" w:left="1417" w:right="141"/>
        </w:sectPr>
      </w:pPr>
    </w:p>
    <w:p>
      <w:pPr>
        <w:pStyle w:val="Heading1"/>
        <w:spacing w:before="17"/>
        <w:ind w:left="0" w:right="423"/>
        <w:jc w:val="center"/>
      </w:pPr>
      <w:r>
        <w:rPr>
          <w:color w:val="0D0E0E"/>
        </w:rPr>
        <w:t>PRÓ</w:t>
      </w:r>
      <w:r>
        <w:rPr>
          <w:color w:val="0D0E0E"/>
          <w:spacing w:val="-9"/>
        </w:rPr>
        <w:t> </w:t>
      </w:r>
      <w:r>
        <w:rPr>
          <w:color w:val="0D0E0E"/>
        </w:rPr>
        <w:t>GESTÃO</w:t>
      </w:r>
      <w:r>
        <w:rPr>
          <w:color w:val="0D0E0E"/>
          <w:spacing w:val="-5"/>
        </w:rPr>
        <w:t> </w:t>
      </w:r>
      <w:r>
        <w:rPr>
          <w:color w:val="0D0E0E"/>
        </w:rPr>
        <w:t>NÍVEL</w:t>
      </w:r>
      <w:r>
        <w:rPr>
          <w:color w:val="0D0E0E"/>
          <w:spacing w:val="-3"/>
        </w:rPr>
        <w:t> </w:t>
      </w:r>
      <w:r>
        <w:rPr>
          <w:color w:val="0D0E0E"/>
          <w:spacing w:val="-5"/>
        </w:rPr>
        <w:t>III</w:t>
      </w:r>
    </w:p>
    <w:p>
      <w:pPr>
        <w:pStyle w:val="BodyText"/>
        <w:spacing w:before="180"/>
        <w:rPr>
          <w:rFonts w:ascii="Calibri"/>
          <w:b/>
          <w:sz w:val="20"/>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36" w:hRule="atLeast"/>
        </w:trPr>
        <w:tc>
          <w:tcPr>
            <w:tcW w:w="8689" w:type="dxa"/>
            <w:gridSpan w:val="2"/>
          </w:tcPr>
          <w:p>
            <w:pPr>
              <w:pStyle w:val="TableParagraph"/>
              <w:spacing w:before="3"/>
              <w:ind w:left="450"/>
              <w:rPr>
                <w:sz w:val="21"/>
              </w:rPr>
            </w:pPr>
            <w:r>
              <w:rPr>
                <w:sz w:val="21"/>
              </w:rPr>
              <w:t>Estratégia</w:t>
            </w:r>
            <w:r>
              <w:rPr>
                <w:spacing w:val="-11"/>
                <w:sz w:val="21"/>
              </w:rPr>
              <w:t> </w:t>
            </w:r>
            <w:r>
              <w:rPr>
                <w:sz w:val="21"/>
              </w:rPr>
              <w:t>de</w:t>
            </w:r>
            <w:r>
              <w:rPr>
                <w:spacing w:val="-7"/>
                <w:sz w:val="21"/>
              </w:rPr>
              <w:t> </w:t>
            </w:r>
            <w:r>
              <w:rPr>
                <w:sz w:val="21"/>
              </w:rPr>
              <w:t>Alocação</w:t>
            </w:r>
            <w:r>
              <w:rPr>
                <w:spacing w:val="-4"/>
                <w:sz w:val="21"/>
              </w:rPr>
              <w:t> </w:t>
            </w:r>
            <w:r>
              <w:rPr>
                <w:sz w:val="21"/>
              </w:rPr>
              <w:t>dos</w:t>
            </w:r>
            <w:r>
              <w:rPr>
                <w:spacing w:val="-9"/>
                <w:sz w:val="21"/>
              </w:rPr>
              <w:t> </w:t>
            </w:r>
            <w:r>
              <w:rPr>
                <w:sz w:val="21"/>
              </w:rPr>
              <w:t>Recursos</w:t>
            </w:r>
            <w:r>
              <w:rPr>
                <w:spacing w:val="-9"/>
                <w:sz w:val="21"/>
              </w:rPr>
              <w:t> </w:t>
            </w:r>
            <w:r>
              <w:rPr>
                <w:sz w:val="21"/>
              </w:rPr>
              <w:t>no</w:t>
            </w:r>
            <w:r>
              <w:rPr>
                <w:spacing w:val="-5"/>
                <w:sz w:val="21"/>
              </w:rPr>
              <w:t> </w:t>
            </w:r>
            <w:r>
              <w:rPr>
                <w:sz w:val="21"/>
              </w:rPr>
              <w:t>Longo</w:t>
            </w:r>
            <w:r>
              <w:rPr>
                <w:spacing w:val="-8"/>
                <w:sz w:val="21"/>
              </w:rPr>
              <w:t> </w:t>
            </w:r>
            <w:r>
              <w:rPr>
                <w:sz w:val="21"/>
              </w:rPr>
              <w:t>Prazo</w:t>
            </w:r>
            <w:r>
              <w:rPr>
                <w:spacing w:val="-2"/>
                <w:sz w:val="21"/>
              </w:rPr>
              <w:t> </w:t>
            </w:r>
            <w:r>
              <w:rPr>
                <w:sz w:val="21"/>
              </w:rPr>
              <w:t>–</w:t>
            </w:r>
            <w:r>
              <w:rPr>
                <w:spacing w:val="-7"/>
                <w:sz w:val="21"/>
              </w:rPr>
              <w:t> </w:t>
            </w:r>
            <w:r>
              <w:rPr>
                <w:sz w:val="21"/>
              </w:rPr>
              <w:t>Renda</w:t>
            </w:r>
            <w:r>
              <w:rPr>
                <w:spacing w:val="-7"/>
                <w:sz w:val="21"/>
              </w:rPr>
              <w:t> </w:t>
            </w:r>
            <w:r>
              <w:rPr>
                <w:sz w:val="21"/>
              </w:rPr>
              <w:t>Fixa</w:t>
            </w:r>
            <w:r>
              <w:rPr>
                <w:spacing w:val="-6"/>
                <w:sz w:val="21"/>
              </w:rPr>
              <w:t> </w:t>
            </w:r>
            <w:r>
              <w:rPr>
                <w:sz w:val="21"/>
              </w:rPr>
              <w:t>e</w:t>
            </w:r>
            <w:r>
              <w:rPr>
                <w:spacing w:val="-7"/>
                <w:sz w:val="21"/>
              </w:rPr>
              <w:t> </w:t>
            </w:r>
            <w:r>
              <w:rPr>
                <w:spacing w:val="-2"/>
                <w:sz w:val="21"/>
              </w:rPr>
              <w:t>Variável</w:t>
            </w:r>
          </w:p>
        </w:tc>
      </w:tr>
      <w:tr>
        <w:trPr>
          <w:trHeight w:val="386" w:hRule="atLeast"/>
        </w:trPr>
        <w:tc>
          <w:tcPr>
            <w:tcW w:w="7566" w:type="dxa"/>
            <w:tcBorders>
              <w:bottom w:val="nil"/>
            </w:tcBorders>
          </w:tcPr>
          <w:p>
            <w:pPr>
              <w:pStyle w:val="TableParagraph"/>
              <w:spacing w:before="8"/>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8"/>
              <w:rPr>
                <w:b/>
                <w:sz w:val="21"/>
              </w:rPr>
            </w:pPr>
            <w:r>
              <w:rPr>
                <w:b/>
                <w:spacing w:val="-5"/>
                <w:sz w:val="21"/>
              </w:rPr>
              <w:t>40%</w:t>
            </w:r>
          </w:p>
        </w:tc>
      </w:tr>
      <w:tr>
        <w:trPr>
          <w:trHeight w:val="450" w:hRule="atLeast"/>
        </w:trPr>
        <w:tc>
          <w:tcPr>
            <w:tcW w:w="7566" w:type="dxa"/>
            <w:tcBorders>
              <w:top w:val="nil"/>
              <w:bottom w:val="nil"/>
            </w:tcBorders>
          </w:tcPr>
          <w:p>
            <w:pPr>
              <w:pStyle w:val="TableParagraph"/>
              <w:spacing w:before="83"/>
              <w:ind w:left="114"/>
              <w:rPr>
                <w:sz w:val="21"/>
              </w:rPr>
            </w:pPr>
            <w:r>
              <w:rPr>
                <w:sz w:val="21"/>
              </w:rPr>
              <w:t>Longuíssimo</w:t>
            </w:r>
            <w:r>
              <w:rPr>
                <w:spacing w:val="-8"/>
                <w:sz w:val="21"/>
              </w:rPr>
              <w:t> </w:t>
            </w:r>
            <w:r>
              <w:rPr>
                <w:sz w:val="21"/>
              </w:rPr>
              <w:t>Prazo</w:t>
            </w:r>
            <w:r>
              <w:rPr>
                <w:spacing w:val="-7"/>
                <w:sz w:val="21"/>
              </w:rPr>
              <w:t> </w:t>
            </w:r>
            <w:r>
              <w:rPr>
                <w:sz w:val="21"/>
              </w:rPr>
              <w:t>(IMA-B</w:t>
            </w:r>
            <w:r>
              <w:rPr>
                <w:spacing w:val="-6"/>
                <w:sz w:val="21"/>
              </w:rPr>
              <w:t> </w:t>
            </w:r>
            <w:r>
              <w:rPr>
                <w:sz w:val="21"/>
              </w:rPr>
              <w:t>5+</w:t>
            </w:r>
            <w:r>
              <w:rPr>
                <w:spacing w:val="-6"/>
                <w:sz w:val="21"/>
              </w:rPr>
              <w:t> </w:t>
            </w:r>
            <w:r>
              <w:rPr>
                <w:sz w:val="21"/>
              </w:rPr>
              <w:t>e</w:t>
            </w:r>
            <w:r>
              <w:rPr>
                <w:spacing w:val="-6"/>
                <w:sz w:val="21"/>
              </w:rPr>
              <w:t> </w:t>
            </w:r>
            <w:r>
              <w:rPr>
                <w:sz w:val="21"/>
              </w:rPr>
              <w:t>IDKA</w:t>
            </w:r>
            <w:r>
              <w:rPr>
                <w:spacing w:val="-9"/>
                <w:sz w:val="21"/>
              </w:rPr>
              <w:t> </w:t>
            </w:r>
            <w:r>
              <w:rPr>
                <w:spacing w:val="-4"/>
                <w:sz w:val="21"/>
              </w:rPr>
              <w:t>20A)</w:t>
            </w:r>
          </w:p>
        </w:tc>
        <w:tc>
          <w:tcPr>
            <w:tcW w:w="1123" w:type="dxa"/>
            <w:tcBorders>
              <w:top w:val="nil"/>
              <w:bottom w:val="nil"/>
            </w:tcBorders>
          </w:tcPr>
          <w:p>
            <w:pPr>
              <w:pStyle w:val="TableParagraph"/>
              <w:spacing w:before="83"/>
              <w:rPr>
                <w:sz w:val="21"/>
              </w:rPr>
            </w:pPr>
            <w:r>
              <w:rPr>
                <w:spacing w:val="-5"/>
                <w:sz w:val="21"/>
              </w:rPr>
              <w:t>0%</w:t>
            </w:r>
          </w:p>
        </w:tc>
      </w:tr>
      <w:tr>
        <w:trPr>
          <w:trHeight w:val="441" w:hRule="atLeast"/>
        </w:trPr>
        <w:tc>
          <w:tcPr>
            <w:tcW w:w="7566" w:type="dxa"/>
            <w:tcBorders>
              <w:top w:val="nil"/>
              <w:bottom w:val="nil"/>
            </w:tcBorders>
          </w:tcPr>
          <w:p>
            <w:pPr>
              <w:pStyle w:val="TableParagraph"/>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5"/>
                <w:sz w:val="21"/>
              </w:rPr>
              <w:t> </w:t>
            </w:r>
            <w:r>
              <w:rPr>
                <w:sz w:val="21"/>
              </w:rPr>
              <w:t>Crédito</w:t>
            </w:r>
            <w:r>
              <w:rPr>
                <w:spacing w:val="-9"/>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rPr>
                <w:sz w:val="21"/>
              </w:rPr>
            </w:pPr>
            <w:r>
              <w:rPr>
                <w:spacing w:val="-5"/>
                <w:sz w:val="21"/>
              </w:rPr>
              <w:t>10%</w:t>
            </w:r>
          </w:p>
        </w:tc>
      </w:tr>
      <w:tr>
        <w:trPr>
          <w:trHeight w:val="440" w:hRule="atLeast"/>
        </w:trPr>
        <w:tc>
          <w:tcPr>
            <w:tcW w:w="7566" w:type="dxa"/>
            <w:tcBorders>
              <w:top w:val="nil"/>
              <w:bottom w:val="nil"/>
            </w:tcBorders>
          </w:tcPr>
          <w:p>
            <w:pPr>
              <w:pStyle w:val="TableParagraph"/>
              <w:spacing w:before="75"/>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5"/>
              <w:rPr>
                <w:sz w:val="21"/>
              </w:rPr>
            </w:pPr>
            <w:r>
              <w:rPr>
                <w:spacing w:val="-5"/>
                <w:sz w:val="21"/>
              </w:rPr>
              <w:t>5%</w:t>
            </w:r>
          </w:p>
        </w:tc>
      </w:tr>
      <w:tr>
        <w:trPr>
          <w:trHeight w:val="436" w:hRule="atLeast"/>
        </w:trPr>
        <w:tc>
          <w:tcPr>
            <w:tcW w:w="7566" w:type="dxa"/>
            <w:tcBorders>
              <w:top w:val="nil"/>
              <w:bottom w:val="nil"/>
            </w:tcBorders>
          </w:tcPr>
          <w:p>
            <w:pPr>
              <w:pStyle w:val="TableParagraph"/>
              <w:spacing w:before="71"/>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6"/>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spacing w:before="71"/>
              <w:rPr>
                <w:sz w:val="21"/>
              </w:rPr>
            </w:pPr>
            <w:r>
              <w:rPr>
                <w:spacing w:val="-5"/>
                <w:sz w:val="21"/>
              </w:rPr>
              <w:t>10%</w:t>
            </w:r>
          </w:p>
        </w:tc>
      </w:tr>
      <w:tr>
        <w:trPr>
          <w:trHeight w:val="435" w:hRule="atLeast"/>
        </w:trPr>
        <w:tc>
          <w:tcPr>
            <w:tcW w:w="7566" w:type="dxa"/>
            <w:tcBorders>
              <w:top w:val="nil"/>
              <w:bottom w:val="nil"/>
            </w:tcBorders>
          </w:tcPr>
          <w:p>
            <w:pPr>
              <w:pStyle w:val="TableParagraph"/>
              <w:spacing w:before="71"/>
              <w:ind w:left="114"/>
              <w:rPr>
                <w:sz w:val="21"/>
              </w:rPr>
            </w:pPr>
            <w:r>
              <w:rPr>
                <w:sz w:val="21"/>
              </w:rPr>
              <w:t>Curto</w:t>
            </w:r>
            <w:r>
              <w:rPr>
                <w:spacing w:val="-8"/>
                <w:sz w:val="21"/>
              </w:rPr>
              <w:t> </w:t>
            </w:r>
            <w:r>
              <w:rPr>
                <w:sz w:val="21"/>
              </w:rPr>
              <w:t>Prazo</w:t>
            </w:r>
            <w:r>
              <w:rPr>
                <w:spacing w:val="-2"/>
                <w:sz w:val="21"/>
              </w:rPr>
              <w:t> </w:t>
            </w:r>
            <w:r>
              <w:rPr>
                <w:sz w:val="21"/>
              </w:rPr>
              <w:t>(CDI</w:t>
            </w:r>
            <w:r>
              <w:rPr>
                <w:spacing w:val="-5"/>
                <w:sz w:val="21"/>
              </w:rPr>
              <w:t> </w:t>
            </w:r>
            <w:r>
              <w:rPr>
                <w:sz w:val="21"/>
              </w:rPr>
              <w:t>e</w:t>
            </w:r>
            <w:r>
              <w:rPr>
                <w:spacing w:val="-2"/>
                <w:sz w:val="21"/>
              </w:rPr>
              <w:t> </w:t>
            </w:r>
            <w:r>
              <w:rPr>
                <w:sz w:val="21"/>
              </w:rPr>
              <w:t>IRF-M</w:t>
            </w:r>
            <w:r>
              <w:rPr>
                <w:spacing w:val="-4"/>
                <w:sz w:val="21"/>
              </w:rPr>
              <w:t> </w:t>
            </w:r>
            <w:r>
              <w:rPr>
                <w:spacing w:val="-5"/>
                <w:sz w:val="21"/>
              </w:rPr>
              <w:t>1)</w:t>
            </w:r>
          </w:p>
        </w:tc>
        <w:tc>
          <w:tcPr>
            <w:tcW w:w="1123" w:type="dxa"/>
            <w:tcBorders>
              <w:top w:val="nil"/>
              <w:bottom w:val="nil"/>
            </w:tcBorders>
          </w:tcPr>
          <w:p>
            <w:pPr>
              <w:pStyle w:val="TableParagraph"/>
              <w:spacing w:before="71"/>
              <w:rPr>
                <w:sz w:val="21"/>
              </w:rPr>
            </w:pPr>
            <w:r>
              <w:rPr>
                <w:spacing w:val="-5"/>
                <w:sz w:val="21"/>
              </w:rPr>
              <w:t>5%</w:t>
            </w:r>
          </w:p>
        </w:tc>
      </w:tr>
      <w:tr>
        <w:trPr>
          <w:trHeight w:val="440" w:hRule="atLeast"/>
        </w:trPr>
        <w:tc>
          <w:tcPr>
            <w:tcW w:w="7566" w:type="dxa"/>
            <w:tcBorders>
              <w:top w:val="nil"/>
              <w:bottom w:val="nil"/>
            </w:tcBorders>
          </w:tcPr>
          <w:p>
            <w:pPr>
              <w:pStyle w:val="TableParagraph"/>
              <w:spacing w:before="70"/>
              <w:ind w:left="114"/>
              <w:rPr>
                <w:sz w:val="21"/>
              </w:rPr>
            </w:pPr>
            <w:r>
              <w:rPr>
                <w:sz w:val="21"/>
              </w:rPr>
              <w:t>Títulos</w:t>
            </w:r>
            <w:r>
              <w:rPr>
                <w:spacing w:val="-13"/>
                <w:sz w:val="21"/>
              </w:rPr>
              <w:t> </w:t>
            </w:r>
            <w:r>
              <w:rPr>
                <w:sz w:val="21"/>
              </w:rPr>
              <w:t>Privados</w:t>
            </w:r>
            <w:r>
              <w:rPr>
                <w:spacing w:val="-7"/>
                <w:sz w:val="21"/>
              </w:rPr>
              <w:t> </w:t>
            </w:r>
            <w:r>
              <w:rPr>
                <w:sz w:val="21"/>
              </w:rPr>
              <w:t>(Letra</w:t>
            </w:r>
            <w:r>
              <w:rPr>
                <w:spacing w:val="-9"/>
                <w:sz w:val="21"/>
              </w:rPr>
              <w:t> </w:t>
            </w:r>
            <w:r>
              <w:rPr>
                <w:sz w:val="21"/>
              </w:rPr>
              <w:t>financeira</w:t>
            </w:r>
            <w:r>
              <w:rPr>
                <w:spacing w:val="-7"/>
                <w:sz w:val="21"/>
              </w:rPr>
              <w:t> </w:t>
            </w:r>
            <w:r>
              <w:rPr>
                <w:sz w:val="21"/>
              </w:rPr>
              <w:t>e</w:t>
            </w:r>
            <w:r>
              <w:rPr>
                <w:spacing w:val="-4"/>
                <w:sz w:val="21"/>
              </w:rPr>
              <w:t> </w:t>
            </w:r>
            <w:r>
              <w:rPr>
                <w:spacing w:val="-5"/>
                <w:sz w:val="21"/>
              </w:rPr>
              <w:t>CD)</w:t>
            </w:r>
          </w:p>
        </w:tc>
        <w:tc>
          <w:tcPr>
            <w:tcW w:w="1123" w:type="dxa"/>
            <w:tcBorders>
              <w:top w:val="nil"/>
              <w:bottom w:val="nil"/>
            </w:tcBorders>
          </w:tcPr>
          <w:p>
            <w:pPr>
              <w:pStyle w:val="TableParagraph"/>
              <w:spacing w:before="70"/>
              <w:rPr>
                <w:sz w:val="21"/>
              </w:rPr>
            </w:pPr>
            <w:r>
              <w:rPr>
                <w:spacing w:val="-5"/>
                <w:sz w:val="21"/>
              </w:rPr>
              <w:t>10%</w:t>
            </w:r>
          </w:p>
        </w:tc>
      </w:tr>
      <w:tr>
        <w:trPr>
          <w:trHeight w:val="446" w:hRule="atLeast"/>
        </w:trPr>
        <w:tc>
          <w:tcPr>
            <w:tcW w:w="7566" w:type="dxa"/>
            <w:tcBorders>
              <w:top w:val="nil"/>
              <w:bottom w:val="nil"/>
            </w:tcBorders>
          </w:tcPr>
          <w:p>
            <w:pPr>
              <w:pStyle w:val="TableParagraph"/>
              <w:spacing w:before="76"/>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6"/>
              <w:rPr>
                <w:b/>
                <w:sz w:val="21"/>
              </w:rPr>
            </w:pPr>
            <w:r>
              <w:rPr>
                <w:b/>
                <w:spacing w:val="-5"/>
                <w:sz w:val="21"/>
              </w:rPr>
              <w:t>50%</w:t>
            </w:r>
          </w:p>
        </w:tc>
      </w:tr>
      <w:tr>
        <w:trPr>
          <w:trHeight w:val="448" w:hRule="atLeast"/>
        </w:trPr>
        <w:tc>
          <w:tcPr>
            <w:tcW w:w="7566" w:type="dxa"/>
            <w:tcBorders>
              <w:top w:val="nil"/>
              <w:bottom w:val="nil"/>
            </w:tcBorders>
          </w:tcPr>
          <w:p>
            <w:pPr>
              <w:pStyle w:val="TableParagraph"/>
              <w:spacing w:before="76"/>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76"/>
              <w:rPr>
                <w:sz w:val="21"/>
              </w:rPr>
            </w:pPr>
            <w:r>
              <w:rPr>
                <w:spacing w:val="-5"/>
                <w:sz w:val="21"/>
              </w:rPr>
              <w:t>40%</w:t>
            </w:r>
          </w:p>
        </w:tc>
      </w:tr>
      <w:tr>
        <w:trPr>
          <w:trHeight w:val="450" w:hRule="atLeast"/>
        </w:trPr>
        <w:tc>
          <w:tcPr>
            <w:tcW w:w="7566" w:type="dxa"/>
            <w:tcBorders>
              <w:top w:val="nil"/>
              <w:bottom w:val="nil"/>
            </w:tcBorders>
          </w:tcPr>
          <w:p>
            <w:pPr>
              <w:pStyle w:val="TableParagraph"/>
              <w:spacing w:before="78"/>
              <w:ind w:left="114"/>
              <w:rPr>
                <w:sz w:val="21"/>
              </w:rPr>
            </w:pPr>
            <w:r>
              <w:rPr>
                <w:spacing w:val="-2"/>
                <w:sz w:val="21"/>
              </w:rPr>
              <w:t>Multimercados</w:t>
            </w:r>
          </w:p>
        </w:tc>
        <w:tc>
          <w:tcPr>
            <w:tcW w:w="1123" w:type="dxa"/>
            <w:tcBorders>
              <w:top w:val="nil"/>
              <w:bottom w:val="nil"/>
            </w:tcBorders>
          </w:tcPr>
          <w:p>
            <w:pPr>
              <w:pStyle w:val="TableParagraph"/>
              <w:spacing w:before="78"/>
              <w:rPr>
                <w:sz w:val="21"/>
              </w:rPr>
            </w:pPr>
            <w:r>
              <w:rPr>
                <w:spacing w:val="-5"/>
                <w:sz w:val="21"/>
              </w:rPr>
              <w:t>5%</w:t>
            </w:r>
          </w:p>
        </w:tc>
      </w:tr>
      <w:tr>
        <w:trPr>
          <w:trHeight w:val="448" w:hRule="atLeast"/>
        </w:trPr>
        <w:tc>
          <w:tcPr>
            <w:tcW w:w="7566" w:type="dxa"/>
            <w:tcBorders>
              <w:top w:val="nil"/>
              <w:bottom w:val="nil"/>
            </w:tcBorders>
          </w:tcPr>
          <w:p>
            <w:pPr>
              <w:pStyle w:val="TableParagraph"/>
              <w:spacing w:before="77"/>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7"/>
              <w:rPr>
                <w:sz w:val="21"/>
              </w:rPr>
            </w:pPr>
            <w:r>
              <w:rPr>
                <w:spacing w:val="-4"/>
                <w:sz w:val="21"/>
              </w:rPr>
              <w:t>2,5%</w:t>
            </w:r>
          </w:p>
        </w:tc>
      </w:tr>
      <w:tr>
        <w:trPr>
          <w:trHeight w:val="446" w:hRule="atLeast"/>
        </w:trPr>
        <w:tc>
          <w:tcPr>
            <w:tcW w:w="7566" w:type="dxa"/>
            <w:tcBorders>
              <w:top w:val="nil"/>
              <w:bottom w:val="nil"/>
            </w:tcBorders>
          </w:tcPr>
          <w:p>
            <w:pPr>
              <w:pStyle w:val="TableParagraph"/>
              <w:spacing w:before="77"/>
              <w:ind w:left="114"/>
              <w:rPr>
                <w:sz w:val="21"/>
              </w:rPr>
            </w:pPr>
            <w:r>
              <w:rPr>
                <w:sz w:val="21"/>
              </w:rPr>
              <w:t>Fundos</w:t>
            </w:r>
            <w:r>
              <w:rPr>
                <w:spacing w:val="-10"/>
                <w:sz w:val="21"/>
              </w:rPr>
              <w:t> </w:t>
            </w:r>
            <w:r>
              <w:rPr>
                <w:sz w:val="21"/>
              </w:rPr>
              <w:t>Imobiliários</w:t>
            </w:r>
            <w:r>
              <w:rPr>
                <w:spacing w:val="-9"/>
                <w:sz w:val="21"/>
              </w:rPr>
              <w:t> </w:t>
            </w:r>
            <w:r>
              <w:rPr>
                <w:spacing w:val="-10"/>
                <w:sz w:val="21"/>
              </w:rPr>
              <w:t>*</w:t>
            </w:r>
          </w:p>
        </w:tc>
        <w:tc>
          <w:tcPr>
            <w:tcW w:w="1123" w:type="dxa"/>
            <w:tcBorders>
              <w:top w:val="nil"/>
              <w:bottom w:val="nil"/>
            </w:tcBorders>
          </w:tcPr>
          <w:p>
            <w:pPr>
              <w:pStyle w:val="TableParagraph"/>
              <w:spacing w:before="77"/>
              <w:rPr>
                <w:sz w:val="21"/>
              </w:rPr>
            </w:pPr>
            <w:r>
              <w:rPr>
                <w:spacing w:val="-4"/>
                <w:sz w:val="21"/>
              </w:rPr>
              <w:t>2,5%</w:t>
            </w:r>
          </w:p>
        </w:tc>
      </w:tr>
      <w:tr>
        <w:trPr>
          <w:trHeight w:val="439" w:hRule="atLeast"/>
        </w:trPr>
        <w:tc>
          <w:tcPr>
            <w:tcW w:w="7566" w:type="dxa"/>
            <w:tcBorders>
              <w:top w:val="nil"/>
              <w:bottom w:val="nil"/>
            </w:tcBorders>
          </w:tcPr>
          <w:p>
            <w:pPr>
              <w:pStyle w:val="TableParagraph"/>
              <w:spacing w:before="75"/>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spacing w:before="75"/>
              <w:rPr>
                <w:b/>
                <w:sz w:val="21"/>
              </w:rPr>
            </w:pPr>
            <w:r>
              <w:rPr>
                <w:b/>
                <w:spacing w:val="-5"/>
                <w:sz w:val="21"/>
              </w:rPr>
              <w:t>10%</w:t>
            </w:r>
          </w:p>
        </w:tc>
      </w:tr>
      <w:tr>
        <w:trPr>
          <w:trHeight w:val="436" w:hRule="atLeast"/>
        </w:trPr>
        <w:tc>
          <w:tcPr>
            <w:tcW w:w="7566" w:type="dxa"/>
            <w:tcBorders>
              <w:top w:val="nil"/>
              <w:bottom w:val="nil"/>
            </w:tcBorders>
          </w:tcPr>
          <w:p>
            <w:pPr>
              <w:pStyle w:val="TableParagraph"/>
              <w:spacing w:before="70"/>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spacing w:before="70"/>
              <w:rPr>
                <w:sz w:val="21"/>
              </w:rPr>
            </w:pPr>
            <w:r>
              <w:rPr>
                <w:spacing w:val="-5"/>
                <w:sz w:val="21"/>
              </w:rPr>
              <w:t>5%</w:t>
            </w:r>
          </w:p>
        </w:tc>
      </w:tr>
      <w:tr>
        <w:trPr>
          <w:trHeight w:val="509" w:hRule="atLeast"/>
        </w:trPr>
        <w:tc>
          <w:tcPr>
            <w:tcW w:w="7566" w:type="dxa"/>
            <w:tcBorders>
              <w:top w:val="nil"/>
            </w:tcBorders>
          </w:tcPr>
          <w:p>
            <w:pPr>
              <w:pStyle w:val="TableParagraph"/>
              <w:ind w:left="114"/>
              <w:rPr>
                <w:sz w:val="21"/>
              </w:rPr>
            </w:pPr>
            <w:r>
              <w:rPr>
                <w:sz w:val="21"/>
              </w:rPr>
              <w:t>Fundos</w:t>
            </w:r>
            <w:r>
              <w:rPr>
                <w:spacing w:val="-9"/>
                <w:sz w:val="21"/>
              </w:rPr>
              <w:t> </w:t>
            </w:r>
            <w:r>
              <w:rPr>
                <w:sz w:val="21"/>
              </w:rPr>
              <w:t>de</w:t>
            </w:r>
            <w:r>
              <w:rPr>
                <w:spacing w:val="-8"/>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rPr>
                <w:sz w:val="21"/>
              </w:rPr>
            </w:pPr>
            <w:r>
              <w:rPr>
                <w:spacing w:val="-5"/>
                <w:sz w:val="21"/>
              </w:rPr>
              <w:t>5%</w:t>
            </w:r>
          </w:p>
        </w:tc>
      </w:tr>
    </w:tbl>
    <w:p>
      <w:pPr>
        <w:spacing w:line="254" w:lineRule="auto" w:before="9"/>
        <w:ind w:left="102" w:right="590" w:firstLine="0"/>
        <w:jc w:val="left"/>
        <w:rPr>
          <w:rFonts w:ascii="Calibri" w:hAnsi="Calibri"/>
          <w:sz w:val="20"/>
        </w:rPr>
      </w:pPr>
      <w:r>
        <w:rPr>
          <w:rFonts w:ascii="Calibri" w:hAnsi="Calibri"/>
          <w:sz w:val="20"/>
        </w:rPr>
        <w:t>* Aos clientes que investem em Fundos de Participações e Fundos Imobiliários em percentual superior</w:t>
      </w:r>
      <w:r>
        <w:rPr>
          <w:rFonts w:ascii="Calibri" w:hAnsi="Calibri"/>
          <w:spacing w:val="-9"/>
          <w:sz w:val="20"/>
        </w:rPr>
        <w:t> </w:t>
      </w:r>
      <w:r>
        <w:rPr>
          <w:rFonts w:ascii="Calibri" w:hAnsi="Calibri"/>
          <w:sz w:val="20"/>
        </w:rPr>
        <w:t>a</w:t>
      </w:r>
      <w:r>
        <w:rPr>
          <w:rFonts w:ascii="Calibri" w:hAnsi="Calibri"/>
          <w:spacing w:val="-3"/>
          <w:sz w:val="20"/>
        </w:rPr>
        <w:t> </w:t>
      </w:r>
      <w:r>
        <w:rPr>
          <w:rFonts w:ascii="Calibri" w:hAnsi="Calibri"/>
          <w:sz w:val="20"/>
        </w:rPr>
        <w:t>2,5%</w:t>
      </w:r>
      <w:r>
        <w:rPr>
          <w:rFonts w:ascii="Calibri" w:hAnsi="Calibri"/>
          <w:spacing w:val="-4"/>
          <w:sz w:val="20"/>
        </w:rPr>
        <w:t> </w:t>
      </w:r>
      <w:r>
        <w:rPr>
          <w:rFonts w:ascii="Calibri" w:hAnsi="Calibri"/>
          <w:sz w:val="20"/>
        </w:rPr>
        <w:t>em</w:t>
      </w:r>
      <w:r>
        <w:rPr>
          <w:rFonts w:ascii="Calibri" w:hAnsi="Calibri"/>
          <w:spacing w:val="-4"/>
          <w:sz w:val="20"/>
        </w:rPr>
        <w:t> </w:t>
      </w:r>
      <w:r>
        <w:rPr>
          <w:rFonts w:ascii="Calibri" w:hAnsi="Calibri"/>
          <w:sz w:val="20"/>
        </w:rPr>
        <w:t>cada,</w:t>
      </w:r>
      <w:r>
        <w:rPr>
          <w:rFonts w:ascii="Calibri" w:hAnsi="Calibri"/>
          <w:spacing w:val="-1"/>
          <w:sz w:val="20"/>
        </w:rPr>
        <w:t> </w:t>
      </w:r>
      <w:r>
        <w:rPr>
          <w:rFonts w:ascii="Calibri" w:hAnsi="Calibri"/>
          <w:sz w:val="20"/>
        </w:rPr>
        <w:t>reduzir</w:t>
      </w:r>
      <w:r>
        <w:rPr>
          <w:rFonts w:ascii="Calibri" w:hAnsi="Calibri"/>
          <w:spacing w:val="-5"/>
          <w:sz w:val="20"/>
        </w:rPr>
        <w:t> </w:t>
      </w:r>
      <w:r>
        <w:rPr>
          <w:rFonts w:ascii="Calibri" w:hAnsi="Calibri"/>
          <w:sz w:val="20"/>
        </w:rPr>
        <w:t>a</w:t>
      </w:r>
      <w:r>
        <w:rPr>
          <w:rFonts w:ascii="Calibri" w:hAnsi="Calibri"/>
          <w:spacing w:val="-3"/>
          <w:sz w:val="20"/>
        </w:rPr>
        <w:t> </w:t>
      </w:r>
      <w:r>
        <w:rPr>
          <w:rFonts w:ascii="Calibri" w:hAnsi="Calibri"/>
          <w:sz w:val="20"/>
        </w:rPr>
        <w:t>exposição</w:t>
      </w:r>
      <w:r>
        <w:rPr>
          <w:rFonts w:ascii="Calibri" w:hAnsi="Calibri"/>
          <w:spacing w:val="-6"/>
          <w:sz w:val="20"/>
        </w:rPr>
        <w:t> </w:t>
      </w:r>
      <w:r>
        <w:rPr>
          <w:rFonts w:ascii="Calibri" w:hAnsi="Calibri"/>
          <w:sz w:val="20"/>
        </w:rPr>
        <w:t>aos</w:t>
      </w:r>
      <w:r>
        <w:rPr>
          <w:rFonts w:ascii="Calibri" w:hAnsi="Calibri"/>
          <w:spacing w:val="-4"/>
          <w:sz w:val="20"/>
        </w:rPr>
        <w:t> </w:t>
      </w:r>
      <w:r>
        <w:rPr>
          <w:rFonts w:ascii="Calibri" w:hAnsi="Calibri"/>
          <w:sz w:val="20"/>
        </w:rPr>
        <w:t>Fundos</w:t>
      </w:r>
      <w:r>
        <w:rPr>
          <w:rFonts w:ascii="Calibri" w:hAnsi="Calibri"/>
          <w:spacing w:val="-5"/>
          <w:sz w:val="20"/>
        </w:rPr>
        <w:t> </w:t>
      </w:r>
      <w:r>
        <w:rPr>
          <w:rFonts w:ascii="Calibri" w:hAnsi="Calibri"/>
          <w:sz w:val="20"/>
        </w:rPr>
        <w:t>de Ações</w:t>
      </w:r>
      <w:r>
        <w:rPr>
          <w:rFonts w:ascii="Calibri" w:hAnsi="Calibri"/>
          <w:spacing w:val="-3"/>
          <w:sz w:val="20"/>
        </w:rPr>
        <w:t> </w:t>
      </w:r>
      <w:r>
        <w:rPr>
          <w:rFonts w:ascii="Calibri" w:hAnsi="Calibri"/>
          <w:sz w:val="20"/>
        </w:rPr>
        <w:t>na</w:t>
      </w:r>
      <w:r>
        <w:rPr>
          <w:rFonts w:ascii="Calibri" w:hAnsi="Calibri"/>
          <w:spacing w:val="-4"/>
          <w:sz w:val="20"/>
        </w:rPr>
        <w:t> </w:t>
      </w:r>
      <w:r>
        <w:rPr>
          <w:rFonts w:ascii="Calibri" w:hAnsi="Calibri"/>
          <w:sz w:val="20"/>
        </w:rPr>
        <w:t>proporção</w:t>
      </w:r>
      <w:r>
        <w:rPr>
          <w:rFonts w:ascii="Calibri" w:hAnsi="Calibri"/>
          <w:spacing w:val="-3"/>
          <w:sz w:val="20"/>
        </w:rPr>
        <w:t> </w:t>
      </w:r>
      <w:r>
        <w:rPr>
          <w:rFonts w:ascii="Calibri" w:hAnsi="Calibri"/>
          <w:sz w:val="20"/>
        </w:rPr>
        <w:t>desse</w:t>
      </w:r>
      <w:r>
        <w:rPr>
          <w:rFonts w:ascii="Calibri" w:hAnsi="Calibri"/>
          <w:spacing w:val="-1"/>
          <w:sz w:val="20"/>
        </w:rPr>
        <w:t> </w:t>
      </w:r>
      <w:r>
        <w:rPr>
          <w:rFonts w:ascii="Calibri" w:hAnsi="Calibri"/>
          <w:sz w:val="20"/>
        </w:rPr>
        <w:t>excesso.</w:t>
      </w:r>
    </w:p>
    <w:sectPr>
      <w:pgSz w:w="11910" w:h="16840"/>
      <w:pgMar w:top="1380" w:bottom="280" w:left="1700"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Cambria">
    <w:altName w:val="Cambria"/>
    <w:charset w:val="1"/>
    <w:family w:val="roman"/>
    <w:pitch w:val="variable"/>
  </w:font>
  <w:font w:name="Verdana">
    <w:altName w:val="Verdan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pt-PT" w:eastAsia="en-US" w:bidi="ar-SA"/>
    </w:rPr>
  </w:style>
  <w:style w:styleId="BodyText" w:type="paragraph">
    <w:name w:val="Body Text"/>
    <w:basedOn w:val="Normal"/>
    <w:uiPriority w:val="1"/>
    <w:qFormat/>
    <w:pPr/>
    <w:rPr>
      <w:rFonts w:ascii="Cambria" w:hAnsi="Cambria" w:eastAsia="Cambria" w:cs="Cambria"/>
      <w:sz w:val="24"/>
      <w:szCs w:val="24"/>
      <w:lang w:val="pt-PT" w:eastAsia="en-US" w:bidi="ar-SA"/>
    </w:rPr>
  </w:style>
  <w:style w:styleId="Heading1" w:type="paragraph">
    <w:name w:val="Heading 1"/>
    <w:basedOn w:val="Normal"/>
    <w:uiPriority w:val="1"/>
    <w:qFormat/>
    <w:pPr>
      <w:spacing w:before="19"/>
      <w:ind w:left="184"/>
      <w:outlineLvl w:val="1"/>
    </w:pPr>
    <w:rPr>
      <w:rFonts w:ascii="Calibri" w:hAnsi="Calibri" w:eastAsia="Calibri" w:cs="Calibri"/>
      <w:b/>
      <w:bCs/>
      <w:sz w:val="28"/>
      <w:szCs w:val="28"/>
      <w:lang w:val="pt-PT" w:eastAsia="en-US" w:bidi="ar-SA"/>
    </w:rPr>
  </w:style>
  <w:style w:styleId="Heading2" w:type="paragraph">
    <w:name w:val="Heading 2"/>
    <w:basedOn w:val="Normal"/>
    <w:uiPriority w:val="1"/>
    <w:qFormat/>
    <w:pPr>
      <w:ind w:left="184"/>
      <w:outlineLvl w:val="2"/>
    </w:pPr>
    <w:rPr>
      <w:rFonts w:ascii="Calibri" w:hAnsi="Calibri" w:eastAsia="Calibri" w:cs="Calibri"/>
      <w:i/>
      <w:iCs/>
      <w:sz w:val="26"/>
      <w:szCs w:val="26"/>
      <w:lang w:val="pt-PT" w:eastAsia="en-US" w:bidi="ar-SA"/>
    </w:rPr>
  </w:style>
  <w:style w:styleId="Heading3" w:type="paragraph">
    <w:name w:val="Heading 3"/>
    <w:basedOn w:val="Normal"/>
    <w:uiPriority w:val="1"/>
    <w:qFormat/>
    <w:pPr>
      <w:ind w:left="184"/>
      <w:outlineLvl w:val="3"/>
    </w:pPr>
    <w:rPr>
      <w:rFonts w:ascii="Calibri" w:hAnsi="Calibri" w:eastAsia="Calibri" w:cs="Calibri"/>
      <w:i/>
      <w:iCs/>
      <w:sz w:val="26"/>
      <w:szCs w:val="26"/>
      <w:lang w:val="pt-PT" w:eastAsia="en-US" w:bidi="ar-SA"/>
    </w:rPr>
  </w:style>
  <w:style w:styleId="Heading4" w:type="paragraph">
    <w:name w:val="Heading 4"/>
    <w:basedOn w:val="Normal"/>
    <w:uiPriority w:val="1"/>
    <w:qFormat/>
    <w:pPr>
      <w:spacing w:before="80"/>
      <w:ind w:left="710" w:right="1073"/>
      <w:jc w:val="center"/>
      <w:outlineLvl w:val="4"/>
    </w:pPr>
    <w:rPr>
      <w:rFonts w:ascii="Cambria" w:hAnsi="Cambria" w:eastAsia="Cambria" w:cs="Cambria"/>
      <w:b/>
      <w:bCs/>
      <w:sz w:val="24"/>
      <w:szCs w:val="24"/>
      <w:lang w:val="pt-PT" w:eastAsia="en-US" w:bidi="ar-SA"/>
    </w:rPr>
  </w:style>
  <w:style w:styleId="Title" w:type="paragraph">
    <w:name w:val="Title"/>
    <w:basedOn w:val="Normal"/>
    <w:uiPriority w:val="1"/>
    <w:qFormat/>
    <w:pPr>
      <w:spacing w:before="1" w:line="767" w:lineRule="exact"/>
      <w:ind w:left="3482"/>
    </w:pPr>
    <w:rPr>
      <w:rFonts w:ascii="Calibri" w:hAnsi="Calibri" w:eastAsia="Calibri" w:cs="Calibri"/>
      <w:b/>
      <w:bCs/>
      <w:sz w:val="64"/>
      <w:szCs w:val="6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spacing w:before="72"/>
      <w:ind w:left="112"/>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s://tradingeconomics.com/united-states/inflation-rate-mom" TargetMode="External"/><Relationship Id="rId10" Type="http://schemas.openxmlformats.org/officeDocument/2006/relationships/image" Target="media/image5.jpeg"/><Relationship Id="rId11" Type="http://schemas.openxmlformats.org/officeDocument/2006/relationships/hyperlink" Target="https://tradingeconomics.com/united-states/inflation-cpi" TargetMode="External"/><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jpeg"/><Relationship Id="rId29" Type="http://schemas.openxmlformats.org/officeDocument/2006/relationships/image" Target="media/image23.jpeg"/><Relationship Id="rId30" Type="http://schemas.openxmlformats.org/officeDocument/2006/relationships/image" Target="media/image24.jpeg"/><Relationship Id="rId31" Type="http://schemas.openxmlformats.org/officeDocument/2006/relationships/image" Target="media/image25.jpeg"/><Relationship Id="rId32" Type="http://schemas.openxmlformats.org/officeDocument/2006/relationships/image" Target="media/image26.jpeg"/><Relationship Id="rId33" Type="http://schemas.openxmlformats.org/officeDocument/2006/relationships/image" Target="media/image27.jpeg"/><Relationship Id="rId34" Type="http://schemas.openxmlformats.org/officeDocument/2006/relationships/image" Target="media/image28.jpeg"/><Relationship Id="rId35" Type="http://schemas.openxmlformats.org/officeDocument/2006/relationships/image" Target="media/image29.jpeg"/><Relationship Id="rId36" Type="http://schemas.openxmlformats.org/officeDocument/2006/relationships/image" Target="media/image30.jpeg"/><Relationship Id="rId37" Type="http://schemas.openxmlformats.org/officeDocument/2006/relationships/image" Target="media/image31.jpe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2025-05-16T16:49:56Z</dcterms:created>
  <dcterms:modified xsi:type="dcterms:W3CDTF">2025-05-16T16:49:56Z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3-Heights(TM) PDF Security Shell 4.8.25.2 (http://www.pdf-tools.com)</vt:lpwstr>
  </property>
</Properties>
</file>