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spacing w:before="233"/>
        <w:rPr>
          <w:rFonts w:ascii="Times New Roman"/>
          <w:sz w:val="64"/>
        </w:rPr>
      </w:pPr>
    </w:p>
    <w:p>
      <w:pPr>
        <w:pStyle w:val="Title"/>
      </w:pPr>
      <w:r>
        <w:rPr>
          <w:color w:val="0D0E0E"/>
        </w:rPr>
        <w:t>PANORAMA</w:t>
      </w:r>
      <w:r>
        <w:rPr>
          <w:color w:val="0D0E0E"/>
          <w:spacing w:val="-6"/>
        </w:rPr>
        <w:t> </w:t>
      </w:r>
      <w:r>
        <w:rPr>
          <w:color w:val="0D0E0E"/>
          <w:spacing w:val="-2"/>
        </w:rPr>
        <w:t>ECONÔMICO</w:t>
      </w:r>
    </w:p>
    <w:p>
      <w:pPr>
        <w:spacing w:before="172"/>
        <w:ind w:left="5786" w:right="0" w:firstLine="0"/>
        <w:jc w:val="left"/>
        <w:rPr>
          <w:sz w:val="56"/>
        </w:rPr>
      </w:pPr>
      <w:r>
        <w:rPr>
          <w:color w:val="0D0E0E"/>
          <w:sz w:val="56"/>
        </w:rPr>
        <w:t>SETEMBRO</w:t>
      </w:r>
      <w:r>
        <w:rPr>
          <w:color w:val="0D0E0E"/>
          <w:spacing w:val="-25"/>
          <w:sz w:val="56"/>
        </w:rPr>
        <w:t> </w:t>
      </w:r>
      <w:r>
        <w:rPr>
          <w:color w:val="0D0E0E"/>
          <w:spacing w:val="-4"/>
          <w:sz w:val="56"/>
        </w:rPr>
        <w:t>2023</w:t>
      </w:r>
    </w:p>
    <w:p>
      <w:pPr>
        <w:spacing w:after="0"/>
        <w:jc w:val="left"/>
        <w:rPr>
          <w:sz w:val="56"/>
        </w:rPr>
        <w:sectPr>
          <w:type w:val="continuous"/>
          <w:pgSz w:w="11920" w:h="16850"/>
          <w:pgMar w:top="1940" w:bottom="280" w:left="1559" w:right="141"/>
        </w:sectPr>
      </w:pPr>
    </w:p>
    <w:p>
      <w:pPr>
        <w:spacing w:line="487" w:lineRule="exact" w:before="0"/>
        <w:ind w:left="762" w:right="0" w:firstLine="0"/>
        <w:jc w:val="left"/>
        <w:rPr>
          <w:b/>
          <w:sz w:val="40"/>
        </w:rPr>
      </w:pPr>
      <w:r>
        <w:rPr>
          <w:b/>
          <w:spacing w:val="-2"/>
          <w:sz w:val="40"/>
        </w:rPr>
        <w:t>INTERNACIONAL</w:t>
      </w:r>
    </w:p>
    <w:p>
      <w:pPr>
        <w:pStyle w:val="BodyText"/>
        <w:spacing w:before="164"/>
        <w:rPr>
          <w:b/>
          <w:sz w:val="40"/>
        </w:rPr>
      </w:pPr>
    </w:p>
    <w:p>
      <w:pPr>
        <w:pStyle w:val="Heading1"/>
        <w:spacing w:line="410" w:lineRule="auto" w:before="1"/>
        <w:ind w:right="8392"/>
        <w:jc w:val="both"/>
      </w:pPr>
      <w:r>
        <w:rPr/>
        <w:t>Estados</w:t>
      </w:r>
      <w:r>
        <w:rPr>
          <w:spacing w:val="-16"/>
        </w:rPr>
        <w:t> </w:t>
      </w:r>
      <w:r>
        <w:rPr/>
        <w:t>Unidos Curva de Juros</w:t>
      </w:r>
    </w:p>
    <w:p>
      <w:pPr>
        <w:pStyle w:val="BodyText"/>
        <w:ind w:left="42" w:right="1264"/>
        <w:jc w:val="both"/>
      </w:pPr>
      <w:r>
        <w:rPr/>
        <w:t>O mês de setembro foi um mês marcado por um evento que não se via a mais de 15 anos, que</w:t>
      </w:r>
      <w:r>
        <w:rPr>
          <w:spacing w:val="-1"/>
        </w:rPr>
        <w:t> </w:t>
      </w:r>
      <w:r>
        <w:rPr/>
        <w:t>foi o rendimento</w:t>
      </w:r>
      <w:r>
        <w:rPr>
          <w:spacing w:val="-1"/>
        </w:rPr>
        <w:t> </w:t>
      </w:r>
      <w:r>
        <w:rPr/>
        <w:t>do</w:t>
      </w:r>
      <w:r>
        <w:rPr>
          <w:spacing w:val="-1"/>
        </w:rPr>
        <w:t> </w:t>
      </w:r>
      <w:r>
        <w:rPr/>
        <w:t>título de 10 anos do</w:t>
      </w:r>
      <w:r>
        <w:rPr>
          <w:spacing w:val="-1"/>
        </w:rPr>
        <w:t> </w:t>
      </w:r>
      <w:r>
        <w:rPr/>
        <w:t>Tesouro</w:t>
      </w:r>
      <w:r>
        <w:rPr>
          <w:spacing w:val="-1"/>
        </w:rPr>
        <w:t> </w:t>
      </w:r>
      <w:r>
        <w:rPr/>
        <w:t>dos Estados Unidos</w:t>
      </w:r>
      <w:r>
        <w:rPr>
          <w:spacing w:val="-1"/>
        </w:rPr>
        <w:t> </w:t>
      </w:r>
      <w:r>
        <w:rPr/>
        <w:t>(treasury)</w:t>
      </w:r>
      <w:r>
        <w:rPr>
          <w:spacing w:val="-1"/>
        </w:rPr>
        <w:t> </w:t>
      </w:r>
      <w:r>
        <w:rPr/>
        <w:t>atingir patamar superior a 4,50%.</w:t>
      </w:r>
    </w:p>
    <w:p>
      <w:pPr>
        <w:pStyle w:val="BodyText"/>
      </w:pPr>
    </w:p>
    <w:p>
      <w:pPr>
        <w:pStyle w:val="BodyText"/>
        <w:spacing w:before="181"/>
      </w:pPr>
    </w:p>
    <w:p>
      <w:pPr>
        <w:pStyle w:val="BodyText"/>
        <w:ind w:left="706" w:right="1211"/>
        <w:jc w:val="center"/>
      </w:pPr>
      <w:r>
        <w:rPr>
          <w:color w:val="0D0E0E"/>
        </w:rPr>
        <w:t>EUA</w:t>
      </w:r>
      <w:r>
        <w:rPr>
          <w:color w:val="0D0E0E"/>
          <w:spacing w:val="-2"/>
        </w:rPr>
        <w:t> </w:t>
      </w:r>
      <w:r>
        <w:rPr>
          <w:color w:val="0D0E0E"/>
        </w:rPr>
        <w:t>Treasury –</w:t>
      </w:r>
      <w:r>
        <w:rPr>
          <w:color w:val="0D0E0E"/>
          <w:spacing w:val="-2"/>
        </w:rPr>
        <w:t> </w:t>
      </w:r>
      <w:r>
        <w:rPr>
          <w:color w:val="0D0E0E"/>
        </w:rPr>
        <w:t>10</w:t>
      </w:r>
      <w:r>
        <w:rPr>
          <w:color w:val="0D0E0E"/>
          <w:spacing w:val="-1"/>
        </w:rPr>
        <w:t> </w:t>
      </w:r>
      <w:r>
        <w:rPr>
          <w:color w:val="0D0E0E"/>
          <w:spacing w:val="-4"/>
        </w:rPr>
        <w:t>anos:</w:t>
      </w:r>
    </w:p>
    <w:p>
      <w:pPr>
        <w:pStyle w:val="BodyText"/>
        <w:spacing w:before="1"/>
        <w:rPr>
          <w:sz w:val="17"/>
        </w:rPr>
      </w:pPr>
      <w:r>
        <w:rPr>
          <w:sz w:val="17"/>
        </w:rPr>
        <w:drawing>
          <wp:anchor distT="0" distB="0" distL="0" distR="0" allowOverlap="1" layoutInCell="1" locked="0" behindDoc="1" simplePos="0" relativeHeight="487587840">
            <wp:simplePos x="0" y="0"/>
            <wp:positionH relativeFrom="page">
              <wp:posOffset>1201419</wp:posOffset>
            </wp:positionH>
            <wp:positionV relativeFrom="paragraph">
              <wp:posOffset>147916</wp:posOffset>
            </wp:positionV>
            <wp:extent cx="5494020" cy="305562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494020" cy="3055620"/>
                    </a:xfrm>
                    <a:prstGeom prst="rect">
                      <a:avLst/>
                    </a:prstGeom>
                  </pic:spPr>
                </pic:pic>
              </a:graphicData>
            </a:graphic>
          </wp:anchor>
        </w:drawing>
      </w:r>
    </w:p>
    <w:p>
      <w:pPr>
        <w:pStyle w:val="BodyText"/>
        <w:spacing w:before="240"/>
      </w:pPr>
    </w:p>
    <w:p>
      <w:pPr>
        <w:pStyle w:val="BodyText"/>
        <w:ind w:left="750"/>
      </w:pPr>
      <w:r>
        <w:rPr>
          <w:color w:val="0D0E0E"/>
          <w:spacing w:val="-2"/>
        </w:rPr>
        <w:t>Fonte:</w:t>
      </w:r>
      <w:r>
        <w:rPr>
          <w:color w:val="0D0E0E"/>
          <w:spacing w:val="66"/>
          <w:w w:val="150"/>
        </w:rPr>
        <w:t> </w:t>
      </w:r>
      <w:r>
        <w:rPr>
          <w:color w:val="0D0E0E"/>
          <w:spacing w:val="-2"/>
        </w:rPr>
        <w:t>https://tradingeconomics.com/united-states/government-bond-yield</w:t>
      </w:r>
    </w:p>
    <w:p>
      <w:pPr>
        <w:pStyle w:val="BodyText"/>
        <w:spacing w:after="0"/>
        <w:sectPr>
          <w:pgSz w:w="11920" w:h="16850"/>
          <w:pgMar w:top="1360" w:bottom="280" w:left="1559" w:right="141"/>
        </w:sectPr>
      </w:pPr>
    </w:p>
    <w:p>
      <w:pPr>
        <w:pStyle w:val="BodyText"/>
        <w:spacing w:before="39"/>
        <w:ind w:left="42" w:right="1210"/>
      </w:pPr>
      <w:r>
        <w:rPr/>
        <w:t>Por sua vez, o título público de 30 anos subiu acima dos 4,60%, maior alta em mais de 10</w:t>
      </w:r>
      <w:r>
        <w:rPr>
          <w:spacing w:val="40"/>
        </w:rPr>
        <w:t> </w:t>
      </w:r>
      <w:r>
        <w:rPr>
          <w:spacing w:val="-4"/>
        </w:rPr>
        <w:t>anos.</w:t>
      </w:r>
    </w:p>
    <w:p>
      <w:pPr>
        <w:pStyle w:val="BodyText"/>
        <w:spacing w:before="240"/>
        <w:ind w:left="706" w:right="1211"/>
        <w:jc w:val="center"/>
      </w:pPr>
      <w:r>
        <w:rPr>
          <w:color w:val="0D0E0E"/>
        </w:rPr>
        <w:t>EUA Treasury –</w:t>
      </w:r>
      <w:r>
        <w:rPr>
          <w:color w:val="0D0E0E"/>
          <w:spacing w:val="-2"/>
        </w:rPr>
        <w:t> </w:t>
      </w:r>
      <w:r>
        <w:rPr>
          <w:color w:val="0D0E0E"/>
        </w:rPr>
        <w:t>30</w:t>
      </w:r>
      <w:r>
        <w:rPr>
          <w:color w:val="0D0E0E"/>
          <w:spacing w:val="-1"/>
        </w:rPr>
        <w:t> </w:t>
      </w:r>
      <w:r>
        <w:rPr>
          <w:color w:val="0D0E0E"/>
          <w:spacing w:val="-4"/>
        </w:rPr>
        <w:t>anos:</w:t>
      </w:r>
    </w:p>
    <w:p>
      <w:pPr>
        <w:pStyle w:val="BodyText"/>
        <w:spacing w:before="11"/>
        <w:rPr>
          <w:sz w:val="16"/>
        </w:rPr>
      </w:pPr>
      <w:r>
        <w:rPr>
          <w:sz w:val="16"/>
        </w:rPr>
        <w:drawing>
          <wp:anchor distT="0" distB="0" distL="0" distR="0" allowOverlap="1" layoutInCell="1" locked="0" behindDoc="1" simplePos="0" relativeHeight="487588352">
            <wp:simplePos x="0" y="0"/>
            <wp:positionH relativeFrom="page">
              <wp:posOffset>1181100</wp:posOffset>
            </wp:positionH>
            <wp:positionV relativeFrom="paragraph">
              <wp:posOffset>146871</wp:posOffset>
            </wp:positionV>
            <wp:extent cx="5486400" cy="30556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486400" cy="3055620"/>
                    </a:xfrm>
                    <a:prstGeom prst="rect">
                      <a:avLst/>
                    </a:prstGeom>
                  </pic:spPr>
                </pic:pic>
              </a:graphicData>
            </a:graphic>
          </wp:anchor>
        </w:drawing>
      </w:r>
    </w:p>
    <w:p>
      <w:pPr>
        <w:spacing w:before="0"/>
        <w:ind w:left="750" w:right="0" w:firstLine="0"/>
        <w:jc w:val="left"/>
        <w:rPr>
          <w:i/>
          <w:sz w:val="24"/>
        </w:rPr>
      </w:pPr>
      <w:r>
        <w:rPr>
          <w:i/>
          <w:color w:val="0D0E0E"/>
          <w:spacing w:val="-2"/>
          <w:sz w:val="24"/>
        </w:rPr>
        <w:t>Fonte:</w:t>
      </w:r>
      <w:r>
        <w:rPr>
          <w:i/>
          <w:color w:val="0D0E0E"/>
          <w:spacing w:val="68"/>
          <w:w w:val="150"/>
          <w:sz w:val="24"/>
        </w:rPr>
        <w:t> </w:t>
      </w:r>
      <w:r>
        <w:rPr>
          <w:i/>
          <w:color w:val="0D0E0E"/>
          <w:spacing w:val="-2"/>
          <w:sz w:val="24"/>
        </w:rPr>
        <w:t>https://tradingeconomics.com/united-states/30-year-bond-yield</w:t>
      </w:r>
    </w:p>
    <w:p>
      <w:pPr>
        <w:pStyle w:val="BodyText"/>
        <w:spacing w:before="240"/>
        <w:ind w:left="42" w:right="1210" w:firstLine="707"/>
      </w:pPr>
      <w:r>
        <w:rPr>
          <w:color w:val="0D0E0E"/>
        </w:rPr>
        <w:t>Esse movimento</w:t>
      </w:r>
      <w:r>
        <w:rPr>
          <w:color w:val="0D0E0E"/>
          <w:spacing w:val="-1"/>
        </w:rPr>
        <w:t> </w:t>
      </w:r>
      <w:r>
        <w:rPr>
          <w:color w:val="0D0E0E"/>
        </w:rPr>
        <w:t>na</w:t>
      </w:r>
      <w:r>
        <w:rPr>
          <w:color w:val="0D0E0E"/>
          <w:spacing w:val="-2"/>
        </w:rPr>
        <w:t> </w:t>
      </w:r>
      <w:r>
        <w:rPr>
          <w:color w:val="0D0E0E"/>
        </w:rPr>
        <w:t>curva de</w:t>
      </w:r>
      <w:r>
        <w:rPr>
          <w:color w:val="0D0E0E"/>
          <w:spacing w:val="-1"/>
        </w:rPr>
        <w:t> </w:t>
      </w:r>
      <w:r>
        <w:rPr>
          <w:color w:val="0D0E0E"/>
        </w:rPr>
        <w:t>juros</w:t>
      </w:r>
      <w:r>
        <w:rPr>
          <w:color w:val="0D0E0E"/>
          <w:spacing w:val="-2"/>
        </w:rPr>
        <w:t> </w:t>
      </w:r>
      <w:r>
        <w:rPr>
          <w:color w:val="0D0E0E"/>
        </w:rPr>
        <w:t>americana</w:t>
      </w:r>
      <w:r>
        <w:rPr>
          <w:color w:val="0D0E0E"/>
          <w:spacing w:val="-2"/>
        </w:rPr>
        <w:t> </w:t>
      </w:r>
      <w:r>
        <w:rPr>
          <w:color w:val="0D0E0E"/>
        </w:rPr>
        <w:t>foi</w:t>
      </w:r>
      <w:r>
        <w:rPr>
          <w:color w:val="0D0E0E"/>
          <w:spacing w:val="-1"/>
        </w:rPr>
        <w:t> </w:t>
      </w:r>
      <w:r>
        <w:rPr>
          <w:color w:val="0D0E0E"/>
        </w:rPr>
        <w:t>o que gerou abalo</w:t>
      </w:r>
      <w:r>
        <w:rPr>
          <w:color w:val="0D0E0E"/>
          <w:spacing w:val="-1"/>
        </w:rPr>
        <w:t> </w:t>
      </w:r>
      <w:r>
        <w:rPr>
          <w:color w:val="0D0E0E"/>
        </w:rPr>
        <w:t>não somente</w:t>
      </w:r>
      <w:r>
        <w:rPr>
          <w:color w:val="0D0E0E"/>
          <w:spacing w:val="-1"/>
        </w:rPr>
        <w:t> </w:t>
      </w:r>
      <w:r>
        <w:rPr>
          <w:color w:val="0D0E0E"/>
        </w:rPr>
        <w:t>na economia americana, mas ao redor de todo o mundo.</w:t>
      </w:r>
    </w:p>
    <w:p>
      <w:pPr>
        <w:pStyle w:val="BodyText"/>
        <w:spacing w:before="240"/>
        <w:ind w:left="42" w:right="1210" w:firstLine="707"/>
      </w:pPr>
      <w:r>
        <w:rPr>
          <w:color w:val="0D0E0E"/>
        </w:rPr>
        <w:t>De</w:t>
      </w:r>
      <w:r>
        <w:rPr>
          <w:color w:val="0D0E0E"/>
          <w:spacing w:val="-9"/>
        </w:rPr>
        <w:t> </w:t>
      </w:r>
      <w:r>
        <w:rPr>
          <w:color w:val="0D0E0E"/>
        </w:rPr>
        <w:t>início,</w:t>
      </w:r>
      <w:r>
        <w:rPr>
          <w:color w:val="0D0E0E"/>
          <w:spacing w:val="-9"/>
        </w:rPr>
        <w:t> </w:t>
      </w:r>
      <w:r>
        <w:rPr>
          <w:color w:val="0D0E0E"/>
        </w:rPr>
        <w:t>o</w:t>
      </w:r>
      <w:r>
        <w:rPr>
          <w:color w:val="0D0E0E"/>
          <w:spacing w:val="-9"/>
        </w:rPr>
        <w:t> </w:t>
      </w:r>
      <w:r>
        <w:rPr>
          <w:color w:val="0D0E0E"/>
        </w:rPr>
        <w:t>impacto</w:t>
      </w:r>
      <w:r>
        <w:rPr>
          <w:color w:val="0D0E0E"/>
          <w:spacing w:val="-9"/>
        </w:rPr>
        <w:t> </w:t>
      </w:r>
      <w:r>
        <w:rPr>
          <w:color w:val="0D0E0E"/>
        </w:rPr>
        <w:t>imediato</w:t>
      </w:r>
      <w:r>
        <w:rPr>
          <w:color w:val="0D0E0E"/>
          <w:spacing w:val="-12"/>
        </w:rPr>
        <w:t> </w:t>
      </w:r>
      <w:r>
        <w:rPr>
          <w:color w:val="0D0E0E"/>
        </w:rPr>
        <w:t>foi</w:t>
      </w:r>
      <w:r>
        <w:rPr>
          <w:color w:val="0D0E0E"/>
          <w:spacing w:val="-9"/>
        </w:rPr>
        <w:t> </w:t>
      </w:r>
      <w:r>
        <w:rPr>
          <w:color w:val="0D0E0E"/>
        </w:rPr>
        <w:t>em</w:t>
      </w:r>
      <w:r>
        <w:rPr>
          <w:color w:val="0D0E0E"/>
          <w:spacing w:val="-9"/>
        </w:rPr>
        <w:t> </w:t>
      </w:r>
      <w:r>
        <w:rPr>
          <w:color w:val="0D0E0E"/>
        </w:rPr>
        <w:t>relação</w:t>
      </w:r>
      <w:r>
        <w:rPr>
          <w:color w:val="0D0E0E"/>
          <w:spacing w:val="-12"/>
        </w:rPr>
        <w:t> </w:t>
      </w:r>
      <w:r>
        <w:rPr>
          <w:color w:val="0D0E0E"/>
        </w:rPr>
        <w:t>a</w:t>
      </w:r>
      <w:r>
        <w:rPr>
          <w:color w:val="0D0E0E"/>
          <w:spacing w:val="-12"/>
        </w:rPr>
        <w:t> </w:t>
      </w:r>
      <w:r>
        <w:rPr>
          <w:color w:val="0D0E0E"/>
        </w:rPr>
        <w:t>própria</w:t>
      </w:r>
      <w:r>
        <w:rPr>
          <w:color w:val="0D0E0E"/>
          <w:spacing w:val="-5"/>
        </w:rPr>
        <w:t> </w:t>
      </w:r>
      <w:r>
        <w:rPr>
          <w:color w:val="0D0E0E"/>
        </w:rPr>
        <w:t>moeda,</w:t>
      </w:r>
      <w:r>
        <w:rPr>
          <w:color w:val="0D0E0E"/>
          <w:spacing w:val="-12"/>
        </w:rPr>
        <w:t> </w:t>
      </w:r>
      <w:r>
        <w:rPr>
          <w:color w:val="0D0E0E"/>
        </w:rPr>
        <w:t>o</w:t>
      </w:r>
      <w:r>
        <w:rPr>
          <w:color w:val="0D0E0E"/>
          <w:spacing w:val="-9"/>
        </w:rPr>
        <w:t> </w:t>
      </w:r>
      <w:r>
        <w:rPr>
          <w:color w:val="0D0E0E"/>
        </w:rPr>
        <w:t>dólar,</w:t>
      </w:r>
      <w:r>
        <w:rPr>
          <w:color w:val="0D0E0E"/>
          <w:spacing w:val="-9"/>
        </w:rPr>
        <w:t> </w:t>
      </w:r>
      <w:r>
        <w:rPr>
          <w:color w:val="0D0E0E"/>
        </w:rPr>
        <w:t>ganhou</w:t>
      </w:r>
      <w:r>
        <w:rPr>
          <w:color w:val="0D0E0E"/>
          <w:spacing w:val="-11"/>
        </w:rPr>
        <w:t> </w:t>
      </w:r>
      <w:r>
        <w:rPr>
          <w:color w:val="0D0E0E"/>
        </w:rPr>
        <w:t>tração e força em relação a praticamente todas as moedas estrangeiras.</w:t>
      </w:r>
    </w:p>
    <w:p>
      <w:pPr>
        <w:pStyle w:val="BodyText"/>
        <w:spacing w:before="239"/>
        <w:ind w:left="42" w:right="1252" w:firstLine="707"/>
        <w:jc w:val="both"/>
      </w:pPr>
      <w:r>
        <w:rPr>
          <w:color w:val="0D0E0E"/>
        </w:rPr>
        <w:t>Um</w:t>
      </w:r>
      <w:r>
        <w:rPr>
          <w:color w:val="0D0E0E"/>
          <w:spacing w:val="-2"/>
        </w:rPr>
        <w:t> </w:t>
      </w:r>
      <w:r>
        <w:rPr>
          <w:color w:val="0D0E0E"/>
        </w:rPr>
        <w:t>indicador</w:t>
      </w:r>
      <w:r>
        <w:rPr>
          <w:color w:val="0D0E0E"/>
          <w:spacing w:val="-3"/>
        </w:rPr>
        <w:t> </w:t>
      </w:r>
      <w:r>
        <w:rPr>
          <w:color w:val="0D0E0E"/>
        </w:rPr>
        <w:t>responsável</w:t>
      </w:r>
      <w:r>
        <w:rPr>
          <w:color w:val="0D0E0E"/>
          <w:spacing w:val="-3"/>
        </w:rPr>
        <w:t> </w:t>
      </w:r>
      <w:r>
        <w:rPr>
          <w:color w:val="0D0E0E"/>
        </w:rPr>
        <w:t>por</w:t>
      </w:r>
      <w:r>
        <w:rPr>
          <w:color w:val="0D0E0E"/>
          <w:spacing w:val="-3"/>
        </w:rPr>
        <w:t> </w:t>
      </w:r>
      <w:r>
        <w:rPr>
          <w:color w:val="0D0E0E"/>
        </w:rPr>
        <w:t>calibrar</w:t>
      </w:r>
      <w:r>
        <w:rPr>
          <w:color w:val="0D0E0E"/>
          <w:spacing w:val="-1"/>
        </w:rPr>
        <w:t> </w:t>
      </w:r>
      <w:r>
        <w:rPr>
          <w:color w:val="0D0E0E"/>
        </w:rPr>
        <w:t>a</w:t>
      </w:r>
      <w:r>
        <w:rPr>
          <w:color w:val="0D0E0E"/>
          <w:spacing w:val="-4"/>
        </w:rPr>
        <w:t> </w:t>
      </w:r>
      <w:r>
        <w:rPr>
          <w:color w:val="0D0E0E"/>
        </w:rPr>
        <w:t>magnitude</w:t>
      </w:r>
      <w:r>
        <w:rPr>
          <w:color w:val="0D0E0E"/>
          <w:spacing w:val="-4"/>
        </w:rPr>
        <w:t> </w:t>
      </w:r>
      <w:r>
        <w:rPr>
          <w:color w:val="0D0E0E"/>
        </w:rPr>
        <w:t>da</w:t>
      </w:r>
      <w:r>
        <w:rPr>
          <w:color w:val="0D0E0E"/>
          <w:spacing w:val="-4"/>
        </w:rPr>
        <w:t> </w:t>
      </w:r>
      <w:r>
        <w:rPr>
          <w:color w:val="0D0E0E"/>
        </w:rPr>
        <w:t>força</w:t>
      </w:r>
      <w:r>
        <w:rPr>
          <w:color w:val="0D0E0E"/>
          <w:spacing w:val="-4"/>
        </w:rPr>
        <w:t> </w:t>
      </w:r>
      <w:r>
        <w:rPr>
          <w:color w:val="0D0E0E"/>
        </w:rPr>
        <w:t>do</w:t>
      </w:r>
      <w:r>
        <w:rPr>
          <w:color w:val="0D0E0E"/>
          <w:spacing w:val="-4"/>
        </w:rPr>
        <w:t> </w:t>
      </w:r>
      <w:r>
        <w:rPr>
          <w:color w:val="0D0E0E"/>
        </w:rPr>
        <w:t>dólar</w:t>
      </w:r>
      <w:r>
        <w:rPr>
          <w:color w:val="0D0E0E"/>
          <w:spacing w:val="-4"/>
        </w:rPr>
        <w:t> </w:t>
      </w:r>
      <w:r>
        <w:rPr>
          <w:color w:val="0D0E0E"/>
        </w:rPr>
        <w:t>perante</w:t>
      </w:r>
      <w:r>
        <w:rPr>
          <w:color w:val="0D0E0E"/>
          <w:spacing w:val="-4"/>
        </w:rPr>
        <w:t> </w:t>
      </w:r>
      <w:r>
        <w:rPr>
          <w:color w:val="0D0E0E"/>
        </w:rPr>
        <w:t>outras moedas de países desenvolvidos é o índice DXY (Dólar Index). Esse indicador compara a moeda</w:t>
      </w:r>
      <w:r>
        <w:rPr>
          <w:color w:val="0D0E0E"/>
          <w:spacing w:val="-10"/>
        </w:rPr>
        <w:t> </w:t>
      </w:r>
      <w:r>
        <w:rPr>
          <w:color w:val="0D0E0E"/>
        </w:rPr>
        <w:t>americana</w:t>
      </w:r>
      <w:r>
        <w:rPr>
          <w:color w:val="0D0E0E"/>
          <w:spacing w:val="-10"/>
        </w:rPr>
        <w:t> </w:t>
      </w:r>
      <w:r>
        <w:rPr>
          <w:color w:val="0D0E0E"/>
        </w:rPr>
        <w:t>com</w:t>
      </w:r>
      <w:r>
        <w:rPr>
          <w:color w:val="0D0E0E"/>
          <w:spacing w:val="-9"/>
        </w:rPr>
        <w:t> </w:t>
      </w:r>
      <w:r>
        <w:rPr>
          <w:color w:val="0D0E0E"/>
        </w:rPr>
        <w:t>uma</w:t>
      </w:r>
      <w:r>
        <w:rPr>
          <w:color w:val="0D0E0E"/>
          <w:spacing w:val="-9"/>
        </w:rPr>
        <w:t> </w:t>
      </w:r>
      <w:r>
        <w:rPr>
          <w:color w:val="0D0E0E"/>
        </w:rPr>
        <w:t>cesta</w:t>
      </w:r>
      <w:r>
        <w:rPr>
          <w:color w:val="0D0E0E"/>
          <w:spacing w:val="-10"/>
        </w:rPr>
        <w:t> </w:t>
      </w:r>
      <w:r>
        <w:rPr>
          <w:color w:val="0D0E0E"/>
        </w:rPr>
        <w:t>ponderada</w:t>
      </w:r>
      <w:r>
        <w:rPr>
          <w:color w:val="0D0E0E"/>
          <w:spacing w:val="-10"/>
        </w:rPr>
        <w:t> </w:t>
      </w:r>
      <w:r>
        <w:rPr>
          <w:color w:val="0D0E0E"/>
        </w:rPr>
        <w:t>das</w:t>
      </w:r>
      <w:r>
        <w:rPr>
          <w:color w:val="0D0E0E"/>
          <w:spacing w:val="-10"/>
        </w:rPr>
        <w:t> </w:t>
      </w:r>
      <w:r>
        <w:rPr>
          <w:color w:val="0D0E0E"/>
        </w:rPr>
        <w:t>principais</w:t>
      </w:r>
      <w:r>
        <w:rPr>
          <w:color w:val="0D0E0E"/>
          <w:spacing w:val="-10"/>
        </w:rPr>
        <w:t> </w:t>
      </w:r>
      <w:r>
        <w:rPr>
          <w:color w:val="0D0E0E"/>
        </w:rPr>
        <w:t>moedas</w:t>
      </w:r>
      <w:r>
        <w:rPr>
          <w:color w:val="0D0E0E"/>
          <w:spacing w:val="-3"/>
        </w:rPr>
        <w:t> </w:t>
      </w:r>
      <w:r>
        <w:rPr>
          <w:color w:val="0D0E0E"/>
        </w:rPr>
        <w:t>estrangeiras</w:t>
      </w:r>
      <w:r>
        <w:rPr>
          <w:color w:val="0D0E0E"/>
          <w:spacing w:val="-10"/>
        </w:rPr>
        <w:t> </w:t>
      </w:r>
      <w:r>
        <w:rPr>
          <w:color w:val="0D0E0E"/>
        </w:rPr>
        <w:t>(euro,</w:t>
      </w:r>
      <w:r>
        <w:rPr>
          <w:color w:val="0D0E0E"/>
          <w:spacing w:val="-10"/>
        </w:rPr>
        <w:t> </w:t>
      </w:r>
      <w:r>
        <w:rPr>
          <w:color w:val="0D0E0E"/>
        </w:rPr>
        <w:t>iene (Japão), libra (Inglaterra), dólar canadense, coroa sueca, e franco suíço). Essa ponderação coloca o Euro como maior representante da cesta (58%), seguido pelo Iene japonês (14%), Libra (12%), Dólar canadense (9%), Coroa sueca (4%), e Franco suíço (4%).</w:t>
      </w:r>
    </w:p>
    <w:p>
      <w:pPr>
        <w:pStyle w:val="BodyText"/>
        <w:spacing w:before="242"/>
        <w:ind w:left="42" w:right="1210" w:firstLine="707"/>
      </w:pPr>
      <w:r>
        <w:rPr>
          <w:color w:val="0D0E0E"/>
        </w:rPr>
        <w:t>Em</w:t>
      </w:r>
      <w:r>
        <w:rPr>
          <w:color w:val="0D0E0E"/>
          <w:spacing w:val="-2"/>
        </w:rPr>
        <w:t> </w:t>
      </w:r>
      <w:r>
        <w:rPr>
          <w:color w:val="0D0E0E"/>
        </w:rPr>
        <w:t>setembro,</w:t>
      </w:r>
      <w:r>
        <w:rPr>
          <w:color w:val="0D0E0E"/>
          <w:spacing w:val="-4"/>
        </w:rPr>
        <w:t> </w:t>
      </w:r>
      <w:r>
        <w:rPr>
          <w:color w:val="0D0E0E"/>
        </w:rPr>
        <w:t>o</w:t>
      </w:r>
      <w:r>
        <w:rPr>
          <w:color w:val="0D0E0E"/>
          <w:spacing w:val="-1"/>
        </w:rPr>
        <w:t> </w:t>
      </w:r>
      <w:r>
        <w:rPr>
          <w:color w:val="0D0E0E"/>
        </w:rPr>
        <w:t>índice</w:t>
      </w:r>
      <w:r>
        <w:rPr>
          <w:color w:val="0D0E0E"/>
          <w:spacing w:val="-5"/>
        </w:rPr>
        <w:t> </w:t>
      </w:r>
      <w:r>
        <w:rPr>
          <w:color w:val="0D0E0E"/>
        </w:rPr>
        <w:t>DXY</w:t>
      </w:r>
      <w:r>
        <w:rPr>
          <w:color w:val="0D0E0E"/>
          <w:spacing w:val="-2"/>
        </w:rPr>
        <w:t> </w:t>
      </w:r>
      <w:r>
        <w:rPr>
          <w:color w:val="0D0E0E"/>
        </w:rPr>
        <w:t>(Dólar</w:t>
      </w:r>
      <w:r>
        <w:rPr>
          <w:color w:val="0D0E0E"/>
          <w:spacing w:val="-2"/>
        </w:rPr>
        <w:t> </w:t>
      </w:r>
      <w:r>
        <w:rPr>
          <w:color w:val="0D0E0E"/>
        </w:rPr>
        <w:t>Index)</w:t>
      </w:r>
      <w:r>
        <w:rPr>
          <w:color w:val="0D0E0E"/>
          <w:spacing w:val="-4"/>
        </w:rPr>
        <w:t> </w:t>
      </w:r>
      <w:r>
        <w:rPr>
          <w:color w:val="0D0E0E"/>
        </w:rPr>
        <w:t>registrou</w:t>
      </w:r>
      <w:r>
        <w:rPr>
          <w:color w:val="0D0E0E"/>
          <w:spacing w:val="-2"/>
        </w:rPr>
        <w:t> </w:t>
      </w:r>
      <w:r>
        <w:rPr>
          <w:color w:val="0D0E0E"/>
        </w:rPr>
        <w:t>alta</w:t>
      </w:r>
      <w:r>
        <w:rPr>
          <w:color w:val="0D0E0E"/>
          <w:spacing w:val="-3"/>
        </w:rPr>
        <w:t> </w:t>
      </w:r>
      <w:r>
        <w:rPr>
          <w:color w:val="0D0E0E"/>
        </w:rPr>
        <w:t>superior a</w:t>
      </w:r>
      <w:r>
        <w:rPr>
          <w:color w:val="0D0E0E"/>
          <w:spacing w:val="-5"/>
        </w:rPr>
        <w:t> </w:t>
      </w:r>
      <w:r>
        <w:rPr>
          <w:color w:val="0D0E0E"/>
        </w:rPr>
        <w:t>106,</w:t>
      </w:r>
      <w:r>
        <w:rPr>
          <w:color w:val="0D0E0E"/>
          <w:spacing w:val="-4"/>
        </w:rPr>
        <w:t> </w:t>
      </w:r>
      <w:r>
        <w:rPr>
          <w:color w:val="0D0E0E"/>
        </w:rPr>
        <w:t>patamar</w:t>
      </w:r>
      <w:r>
        <w:rPr>
          <w:color w:val="0D0E0E"/>
          <w:spacing w:val="-2"/>
        </w:rPr>
        <w:t> </w:t>
      </w:r>
      <w:r>
        <w:rPr>
          <w:color w:val="0D0E0E"/>
        </w:rPr>
        <w:t>mais elevado do ano, conforme imagem do gráfico:</w:t>
      </w:r>
    </w:p>
    <w:p>
      <w:pPr>
        <w:pStyle w:val="BodyText"/>
        <w:spacing w:after="0"/>
        <w:sectPr>
          <w:pgSz w:w="11920" w:h="16850"/>
          <w:pgMar w:top="1320" w:bottom="280" w:left="1559" w:right="141"/>
        </w:sectPr>
      </w:pPr>
    </w:p>
    <w:p>
      <w:pPr>
        <w:pStyle w:val="BodyText"/>
        <w:spacing w:before="39"/>
        <w:ind w:left="707" w:right="1211"/>
        <w:jc w:val="center"/>
      </w:pPr>
      <w:r>
        <w:rPr>
          <w:color w:val="0D0E0E"/>
        </w:rPr>
        <w:t>DXY</w:t>
      </w:r>
      <w:r>
        <w:rPr>
          <w:color w:val="0D0E0E"/>
          <w:spacing w:val="-2"/>
        </w:rPr>
        <w:t> </w:t>
      </w:r>
      <w:r>
        <w:rPr>
          <w:color w:val="0D0E0E"/>
        </w:rPr>
        <w:t>Dollar</w:t>
      </w:r>
      <w:r>
        <w:rPr>
          <w:color w:val="0D0E0E"/>
          <w:spacing w:val="-2"/>
        </w:rPr>
        <w:t> Index:</w:t>
      </w:r>
    </w:p>
    <w:p>
      <w:pPr>
        <w:pStyle w:val="BodyText"/>
        <w:spacing w:before="11"/>
        <w:rPr>
          <w:sz w:val="16"/>
        </w:rPr>
      </w:pPr>
      <w:r>
        <w:rPr>
          <w:sz w:val="16"/>
        </w:rPr>
        <w:drawing>
          <wp:anchor distT="0" distB="0" distL="0" distR="0" allowOverlap="1" layoutInCell="1" locked="0" behindDoc="1" simplePos="0" relativeHeight="487588864">
            <wp:simplePos x="0" y="0"/>
            <wp:positionH relativeFrom="page">
              <wp:posOffset>1173480</wp:posOffset>
            </wp:positionH>
            <wp:positionV relativeFrom="paragraph">
              <wp:posOffset>146831</wp:posOffset>
            </wp:positionV>
            <wp:extent cx="5644103" cy="222913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644103" cy="2229135"/>
                    </a:xfrm>
                    <a:prstGeom prst="rect">
                      <a:avLst/>
                    </a:prstGeom>
                  </pic:spPr>
                </pic:pic>
              </a:graphicData>
            </a:graphic>
          </wp:anchor>
        </w:drawing>
      </w:r>
    </w:p>
    <w:p>
      <w:pPr>
        <w:spacing w:before="8"/>
        <w:ind w:left="750" w:right="0" w:firstLine="0"/>
        <w:jc w:val="left"/>
        <w:rPr>
          <w:i/>
          <w:sz w:val="24"/>
        </w:rPr>
      </w:pPr>
      <w:r>
        <w:rPr>
          <w:i/>
          <w:color w:val="0D0E0E"/>
          <w:sz w:val="24"/>
        </w:rPr>
        <w:t>Fonte:</w:t>
      </w:r>
      <w:r>
        <w:rPr>
          <w:i/>
          <w:color w:val="0D0E0E"/>
          <w:spacing w:val="-3"/>
          <w:sz w:val="24"/>
        </w:rPr>
        <w:t> </w:t>
      </w:r>
      <w:r>
        <w:rPr>
          <w:i/>
          <w:color w:val="0D0E0E"/>
          <w:spacing w:val="-2"/>
          <w:sz w:val="24"/>
        </w:rPr>
        <w:t>https://tradingeconomics.com/dxy:cur</w:t>
      </w:r>
    </w:p>
    <w:p>
      <w:pPr>
        <w:pStyle w:val="BodyText"/>
        <w:spacing w:before="240"/>
        <w:ind w:left="42" w:right="1258" w:firstLine="707"/>
        <w:jc w:val="both"/>
      </w:pPr>
      <w:r>
        <w:rPr>
          <w:color w:val="0D0E0E"/>
        </w:rPr>
        <w:t>Outros fatores que são válidos se destacarem que contribuíram para essa abertura da curva das treasuries foram:</w:t>
      </w:r>
    </w:p>
    <w:p>
      <w:pPr>
        <w:pStyle w:val="ListParagraph"/>
        <w:numPr>
          <w:ilvl w:val="0"/>
          <w:numId w:val="1"/>
        </w:numPr>
        <w:tabs>
          <w:tab w:pos="967" w:val="left" w:leader="none"/>
        </w:tabs>
        <w:spacing w:line="242" w:lineRule="auto" w:before="240" w:after="0"/>
        <w:ind w:left="42" w:right="1260" w:firstLine="707"/>
        <w:jc w:val="both"/>
        <w:rPr>
          <w:sz w:val="24"/>
        </w:rPr>
      </w:pPr>
      <w:r>
        <w:rPr>
          <w:color w:val="0D0E0E"/>
          <w:sz w:val="24"/>
        </w:rPr>
        <w:t>Percepção de recessão econômica sensivelmente mais baixa por conta do crescimento econômico americano que até o momento registra alta no terceiro trimestre;</w:t>
      </w:r>
    </w:p>
    <w:p>
      <w:pPr>
        <w:pStyle w:val="ListParagraph"/>
        <w:numPr>
          <w:ilvl w:val="0"/>
          <w:numId w:val="1"/>
        </w:numPr>
        <w:tabs>
          <w:tab w:pos="873" w:val="left" w:leader="none"/>
        </w:tabs>
        <w:spacing w:line="240" w:lineRule="auto" w:before="236" w:after="0"/>
        <w:ind w:left="42" w:right="1257" w:firstLine="707"/>
        <w:jc w:val="both"/>
        <w:rPr>
          <w:sz w:val="24"/>
        </w:rPr>
      </w:pPr>
      <w:r>
        <w:rPr>
          <w:color w:val="0D0E0E"/>
          <w:sz w:val="24"/>
        </w:rPr>
        <w:t>O</w:t>
      </w:r>
      <w:r>
        <w:rPr>
          <w:color w:val="0D0E0E"/>
          <w:spacing w:val="-7"/>
          <w:sz w:val="24"/>
        </w:rPr>
        <w:t> </w:t>
      </w:r>
      <w:r>
        <w:rPr>
          <w:color w:val="0D0E0E"/>
          <w:sz w:val="24"/>
        </w:rPr>
        <w:t>banco</w:t>
      </w:r>
      <w:r>
        <w:rPr>
          <w:color w:val="0D0E0E"/>
          <w:spacing w:val="-6"/>
          <w:sz w:val="24"/>
        </w:rPr>
        <w:t> </w:t>
      </w:r>
      <w:r>
        <w:rPr>
          <w:color w:val="0D0E0E"/>
          <w:sz w:val="24"/>
        </w:rPr>
        <w:t>central</w:t>
      </w:r>
      <w:r>
        <w:rPr>
          <w:color w:val="0D0E0E"/>
          <w:spacing w:val="-6"/>
          <w:sz w:val="24"/>
        </w:rPr>
        <w:t> </w:t>
      </w:r>
      <w:r>
        <w:rPr>
          <w:color w:val="0D0E0E"/>
          <w:sz w:val="24"/>
        </w:rPr>
        <w:t>chinês</w:t>
      </w:r>
      <w:r>
        <w:rPr>
          <w:color w:val="0D0E0E"/>
          <w:spacing w:val="-4"/>
          <w:sz w:val="24"/>
        </w:rPr>
        <w:t> </w:t>
      </w:r>
      <w:r>
        <w:rPr>
          <w:color w:val="0D0E0E"/>
          <w:sz w:val="24"/>
        </w:rPr>
        <w:t>(PBoC)</w:t>
      </w:r>
      <w:r>
        <w:rPr>
          <w:color w:val="0D0E0E"/>
          <w:spacing w:val="-7"/>
          <w:sz w:val="24"/>
        </w:rPr>
        <w:t> </w:t>
      </w:r>
      <w:r>
        <w:rPr>
          <w:color w:val="0D0E0E"/>
          <w:sz w:val="24"/>
        </w:rPr>
        <w:t>que</w:t>
      </w:r>
      <w:r>
        <w:rPr>
          <w:color w:val="0D0E0E"/>
          <w:spacing w:val="-6"/>
          <w:sz w:val="24"/>
        </w:rPr>
        <w:t> </w:t>
      </w:r>
      <w:r>
        <w:rPr>
          <w:color w:val="0D0E0E"/>
          <w:sz w:val="24"/>
        </w:rPr>
        <w:t>vem</w:t>
      </w:r>
      <w:r>
        <w:rPr>
          <w:color w:val="0D0E0E"/>
          <w:spacing w:val="-6"/>
          <w:sz w:val="24"/>
        </w:rPr>
        <w:t> </w:t>
      </w:r>
      <w:r>
        <w:rPr>
          <w:color w:val="0D0E0E"/>
          <w:sz w:val="24"/>
        </w:rPr>
        <w:t>trabalhando</w:t>
      </w:r>
      <w:r>
        <w:rPr>
          <w:color w:val="0D0E0E"/>
          <w:spacing w:val="-6"/>
          <w:sz w:val="24"/>
        </w:rPr>
        <w:t> </w:t>
      </w:r>
      <w:r>
        <w:rPr>
          <w:color w:val="0D0E0E"/>
          <w:sz w:val="24"/>
        </w:rPr>
        <w:t>ao</w:t>
      </w:r>
      <w:r>
        <w:rPr>
          <w:color w:val="0D0E0E"/>
          <w:spacing w:val="-6"/>
          <w:sz w:val="24"/>
        </w:rPr>
        <w:t> </w:t>
      </w:r>
      <w:r>
        <w:rPr>
          <w:color w:val="0D0E0E"/>
          <w:sz w:val="24"/>
        </w:rPr>
        <w:t>longo</w:t>
      </w:r>
      <w:r>
        <w:rPr>
          <w:color w:val="0D0E0E"/>
          <w:spacing w:val="-8"/>
          <w:sz w:val="24"/>
        </w:rPr>
        <w:t> </w:t>
      </w:r>
      <w:r>
        <w:rPr>
          <w:color w:val="0D0E0E"/>
          <w:sz w:val="24"/>
        </w:rPr>
        <w:t>do</w:t>
      </w:r>
      <w:r>
        <w:rPr>
          <w:color w:val="0D0E0E"/>
          <w:spacing w:val="-6"/>
          <w:sz w:val="24"/>
        </w:rPr>
        <w:t> </w:t>
      </w:r>
      <w:r>
        <w:rPr>
          <w:color w:val="0D0E0E"/>
          <w:sz w:val="24"/>
        </w:rPr>
        <w:t>segundo</w:t>
      </w:r>
      <w:r>
        <w:rPr>
          <w:color w:val="0D0E0E"/>
          <w:spacing w:val="-8"/>
          <w:sz w:val="24"/>
        </w:rPr>
        <w:t> </w:t>
      </w:r>
      <w:r>
        <w:rPr>
          <w:color w:val="0D0E0E"/>
          <w:sz w:val="24"/>
        </w:rPr>
        <w:t>semestre com a venda de treasuries no mercado para o fortalecimento da moeda local (Yuan);</w:t>
      </w:r>
    </w:p>
    <w:p>
      <w:pPr>
        <w:pStyle w:val="ListParagraph"/>
        <w:numPr>
          <w:ilvl w:val="0"/>
          <w:numId w:val="1"/>
        </w:numPr>
        <w:tabs>
          <w:tab w:pos="919" w:val="left" w:leader="none"/>
        </w:tabs>
        <w:spacing w:line="240" w:lineRule="auto" w:before="239" w:after="0"/>
        <w:ind w:left="42" w:right="1262" w:firstLine="707"/>
        <w:jc w:val="both"/>
        <w:rPr>
          <w:sz w:val="24"/>
        </w:rPr>
      </w:pPr>
      <w:r>
        <w:rPr>
          <w:color w:val="0D0E0E"/>
          <w:sz w:val="24"/>
        </w:rPr>
        <w:t>A preocupação com a trajetória fiscal americana, que conta com um aumento constante de emissão de novos títulos públicos pelo tesouro;</w:t>
      </w:r>
    </w:p>
    <w:p>
      <w:pPr>
        <w:pStyle w:val="ListParagraph"/>
        <w:numPr>
          <w:ilvl w:val="0"/>
          <w:numId w:val="1"/>
        </w:numPr>
        <w:tabs>
          <w:tab w:pos="921" w:val="left" w:leader="none"/>
        </w:tabs>
        <w:spacing w:line="240" w:lineRule="auto" w:before="241" w:after="0"/>
        <w:ind w:left="42" w:right="1252" w:firstLine="707"/>
        <w:jc w:val="both"/>
        <w:rPr>
          <w:sz w:val="24"/>
        </w:rPr>
      </w:pPr>
      <w:r>
        <w:rPr>
          <w:color w:val="0D0E0E"/>
          <w:sz w:val="24"/>
        </w:rPr>
        <w:t>E principalmente, a percepção de uma elevação da taxa de juros neutra. Vale lembrar que o juro neutro nada mais é do que aquele patamar de juros que não possui nenhum potencial de impacto econômico, ou seja, que não possui o papel contracionista, nem o papel expansionista. Logo, se a percepção é que o juro neutro dos Estados Unidos está em um patamar superior, toda a estrutura da curva de juros consequentemente se eleva também.</w:t>
      </w:r>
    </w:p>
    <w:p>
      <w:pPr>
        <w:pStyle w:val="BodyText"/>
      </w:pPr>
    </w:p>
    <w:p>
      <w:pPr>
        <w:pStyle w:val="BodyText"/>
        <w:spacing w:before="186"/>
      </w:pPr>
    </w:p>
    <w:p>
      <w:pPr>
        <w:pStyle w:val="Heading2"/>
        <w:spacing w:before="0"/>
      </w:pPr>
      <w:r>
        <w:rPr/>
        <w:t>Mercado</w:t>
      </w:r>
      <w:r>
        <w:rPr>
          <w:spacing w:val="-4"/>
        </w:rPr>
        <w:t> </w:t>
      </w:r>
      <w:r>
        <w:rPr/>
        <w:t>de</w:t>
      </w:r>
      <w:r>
        <w:rPr>
          <w:spacing w:val="-2"/>
        </w:rPr>
        <w:t> trabalho</w:t>
      </w:r>
    </w:p>
    <w:p>
      <w:pPr>
        <w:pStyle w:val="BodyText"/>
        <w:spacing w:before="241"/>
        <w:ind w:left="42" w:right="1264" w:firstLine="707"/>
        <w:jc w:val="both"/>
      </w:pPr>
      <w:r>
        <w:rPr>
          <w:color w:val="0D0E0E"/>
        </w:rPr>
        <w:t>Outra notícia que tomou as manchetes globais no mês de setembro foi o dado do mercado de trabalho americano, registrado através do relatório Jolts e o Nonfarm Payroll.</w:t>
      </w:r>
    </w:p>
    <w:p>
      <w:pPr>
        <w:pStyle w:val="BodyText"/>
        <w:spacing w:before="240"/>
        <w:ind w:left="42" w:right="1252" w:firstLine="707"/>
        <w:jc w:val="both"/>
      </w:pPr>
      <w:r>
        <w:rPr>
          <w:color w:val="0D0E0E"/>
        </w:rPr>
        <w:t>Esses relatórios apresentam forte significância pois fazem parte de uma das condições para uma política monetária menos Hawk (contracionista) do FED (Federal Reserve, banco central americano).</w:t>
      </w:r>
    </w:p>
    <w:p>
      <w:pPr>
        <w:pStyle w:val="BodyText"/>
        <w:spacing w:before="240"/>
        <w:ind w:left="42" w:right="1259" w:firstLine="707"/>
        <w:jc w:val="both"/>
      </w:pPr>
      <w:r>
        <w:rPr>
          <w:color w:val="0D0E0E"/>
        </w:rPr>
        <w:t>Enquanto o relatório Jolts, responsável por informar o número de vagas abertas, trazia quedas desde o mês de abril, em setembro foi divulgado uma disparada do número de vagas abertas que saiu de 8.9 milhões em julho, para 9.6 milhões em agosto.</w:t>
      </w:r>
    </w:p>
    <w:p>
      <w:pPr>
        <w:pStyle w:val="BodyText"/>
        <w:spacing w:after="0"/>
        <w:jc w:val="both"/>
        <w:sectPr>
          <w:pgSz w:w="11920" w:h="16850"/>
          <w:pgMar w:top="1320" w:bottom="280" w:left="1559" w:right="141"/>
        </w:sectPr>
      </w:pPr>
    </w:p>
    <w:p>
      <w:pPr>
        <w:pStyle w:val="BodyText"/>
        <w:spacing w:before="39"/>
        <w:ind w:left="706" w:right="1211"/>
        <w:jc w:val="center"/>
      </w:pPr>
      <w:r>
        <w:rPr>
          <w:color w:val="0D0E0E"/>
        </w:rPr>
        <w:t>Vagas</w:t>
      </w:r>
      <w:r>
        <w:rPr>
          <w:color w:val="0D0E0E"/>
          <w:spacing w:val="-4"/>
        </w:rPr>
        <w:t> </w:t>
      </w:r>
      <w:r>
        <w:rPr>
          <w:color w:val="0D0E0E"/>
        </w:rPr>
        <w:t>abertas</w:t>
      </w:r>
      <w:r>
        <w:rPr>
          <w:color w:val="0D0E0E"/>
          <w:spacing w:val="-2"/>
        </w:rPr>
        <w:t> </w:t>
      </w:r>
      <w:r>
        <w:rPr>
          <w:color w:val="0D0E0E"/>
        </w:rPr>
        <w:t>(Jolts)</w:t>
      </w:r>
      <w:r>
        <w:rPr>
          <w:color w:val="0D0E0E"/>
          <w:spacing w:val="-1"/>
        </w:rPr>
        <w:t> </w:t>
      </w:r>
      <w:r>
        <w:rPr>
          <w:color w:val="0D0E0E"/>
        </w:rPr>
        <w:t>-</w:t>
      </w:r>
      <w:r>
        <w:rPr>
          <w:color w:val="0D0E0E"/>
          <w:spacing w:val="-2"/>
        </w:rPr>
        <w:t> </w:t>
      </w:r>
      <w:r>
        <w:rPr>
          <w:color w:val="0D0E0E"/>
          <w:spacing w:val="-4"/>
        </w:rPr>
        <w:t>EUA:</w:t>
      </w:r>
    </w:p>
    <w:p>
      <w:pPr>
        <w:pStyle w:val="BodyText"/>
        <w:spacing w:before="2"/>
        <w:rPr>
          <w:sz w:val="4"/>
        </w:rPr>
      </w:pPr>
      <w:r>
        <w:rPr>
          <w:sz w:val="4"/>
        </w:rPr>
        <w:drawing>
          <wp:anchor distT="0" distB="0" distL="0" distR="0" allowOverlap="1" layoutInCell="1" locked="0" behindDoc="1" simplePos="0" relativeHeight="487589376">
            <wp:simplePos x="0" y="0"/>
            <wp:positionH relativeFrom="page">
              <wp:posOffset>1493519</wp:posOffset>
            </wp:positionH>
            <wp:positionV relativeFrom="paragraph">
              <wp:posOffset>47771</wp:posOffset>
            </wp:positionV>
            <wp:extent cx="4331391" cy="2113121"/>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4331391" cy="2113121"/>
                    </a:xfrm>
                    <a:prstGeom prst="rect">
                      <a:avLst/>
                    </a:prstGeom>
                  </pic:spPr>
                </pic:pic>
              </a:graphicData>
            </a:graphic>
          </wp:anchor>
        </w:drawing>
      </w:r>
    </w:p>
    <w:p>
      <w:pPr>
        <w:spacing w:before="11"/>
        <w:ind w:left="750" w:right="0" w:firstLine="0"/>
        <w:jc w:val="left"/>
        <w:rPr>
          <w:i/>
          <w:sz w:val="20"/>
        </w:rPr>
      </w:pPr>
      <w:r>
        <w:rPr>
          <w:i/>
          <w:color w:val="0D0E0E"/>
          <w:spacing w:val="-2"/>
          <w:sz w:val="20"/>
        </w:rPr>
        <w:t>Fonte:</w:t>
      </w:r>
      <w:r>
        <w:rPr>
          <w:i/>
          <w:color w:val="0D0E0E"/>
          <w:spacing w:val="52"/>
          <w:sz w:val="20"/>
        </w:rPr>
        <w:t> </w:t>
      </w:r>
      <w:r>
        <w:rPr>
          <w:i/>
          <w:color w:val="0D0E0E"/>
          <w:spacing w:val="-2"/>
          <w:sz w:val="20"/>
        </w:rPr>
        <w:t>https://tradingeconomics.com/united-states/job-offers</w:t>
      </w:r>
    </w:p>
    <w:p>
      <w:pPr>
        <w:pStyle w:val="BodyText"/>
        <w:spacing w:line="259" w:lineRule="auto" w:before="238"/>
        <w:ind w:left="42" w:right="1253" w:firstLine="707"/>
        <w:jc w:val="both"/>
      </w:pPr>
      <w:r>
        <w:rPr>
          <w:color w:val="0D0E0E"/>
        </w:rPr>
        <w:t>Por</w:t>
      </w:r>
      <w:r>
        <w:rPr>
          <w:color w:val="0D0E0E"/>
          <w:spacing w:val="-14"/>
        </w:rPr>
        <w:t> </w:t>
      </w:r>
      <w:r>
        <w:rPr>
          <w:color w:val="0D0E0E"/>
        </w:rPr>
        <w:t>sua</w:t>
      </w:r>
      <w:r>
        <w:rPr>
          <w:color w:val="0D0E0E"/>
          <w:spacing w:val="-14"/>
        </w:rPr>
        <w:t> </w:t>
      </w:r>
      <w:r>
        <w:rPr>
          <w:color w:val="0D0E0E"/>
        </w:rPr>
        <w:t>vez,</w:t>
      </w:r>
      <w:r>
        <w:rPr>
          <w:color w:val="0D0E0E"/>
          <w:spacing w:val="-13"/>
        </w:rPr>
        <w:t> </w:t>
      </w:r>
      <w:r>
        <w:rPr>
          <w:color w:val="0D0E0E"/>
        </w:rPr>
        <w:t>o</w:t>
      </w:r>
      <w:r>
        <w:rPr>
          <w:color w:val="0D0E0E"/>
          <w:spacing w:val="-14"/>
        </w:rPr>
        <w:t> </w:t>
      </w:r>
      <w:r>
        <w:rPr>
          <w:color w:val="0D0E0E"/>
        </w:rPr>
        <w:t>Nonfarm</w:t>
      </w:r>
      <w:r>
        <w:rPr>
          <w:color w:val="0D0E0E"/>
          <w:spacing w:val="-13"/>
        </w:rPr>
        <w:t> </w:t>
      </w:r>
      <w:r>
        <w:rPr>
          <w:color w:val="0D0E0E"/>
        </w:rPr>
        <w:t>Payroll,</w:t>
      </w:r>
      <w:r>
        <w:rPr>
          <w:color w:val="0D0E0E"/>
          <w:spacing w:val="-14"/>
        </w:rPr>
        <w:t> </w:t>
      </w:r>
      <w:r>
        <w:rPr>
          <w:color w:val="0D0E0E"/>
        </w:rPr>
        <w:t>principal</w:t>
      </w:r>
      <w:r>
        <w:rPr>
          <w:color w:val="0D0E0E"/>
          <w:spacing w:val="-13"/>
        </w:rPr>
        <w:t> </w:t>
      </w:r>
      <w:r>
        <w:rPr>
          <w:color w:val="0D0E0E"/>
        </w:rPr>
        <w:t>relatório</w:t>
      </w:r>
      <w:r>
        <w:rPr>
          <w:color w:val="0D0E0E"/>
          <w:spacing w:val="-14"/>
        </w:rPr>
        <w:t> </w:t>
      </w:r>
      <w:r>
        <w:rPr>
          <w:color w:val="0D0E0E"/>
        </w:rPr>
        <w:t>do</w:t>
      </w:r>
      <w:r>
        <w:rPr>
          <w:color w:val="0D0E0E"/>
          <w:spacing w:val="-14"/>
        </w:rPr>
        <w:t> </w:t>
      </w:r>
      <w:r>
        <w:rPr>
          <w:color w:val="0D0E0E"/>
        </w:rPr>
        <w:t>mercado</w:t>
      </w:r>
      <w:r>
        <w:rPr>
          <w:color w:val="0D0E0E"/>
          <w:spacing w:val="-13"/>
        </w:rPr>
        <w:t> </w:t>
      </w:r>
      <w:r>
        <w:rPr>
          <w:color w:val="0D0E0E"/>
        </w:rPr>
        <w:t>de</w:t>
      </w:r>
      <w:r>
        <w:rPr>
          <w:color w:val="0D0E0E"/>
          <w:spacing w:val="-14"/>
        </w:rPr>
        <w:t> </w:t>
      </w:r>
      <w:r>
        <w:rPr>
          <w:color w:val="0D0E0E"/>
        </w:rPr>
        <w:t>trabalho</w:t>
      </w:r>
      <w:r>
        <w:rPr>
          <w:color w:val="0D0E0E"/>
          <w:spacing w:val="-13"/>
        </w:rPr>
        <w:t> </w:t>
      </w:r>
      <w:r>
        <w:rPr>
          <w:color w:val="0D0E0E"/>
        </w:rPr>
        <w:t>americano que registra a criação de novos empregos, reportou em setembro uma criação quase que duas vezes superior à expectativa do mercado, em 336 mil novos empregos, ante 170 mil previsto. No mês agosto, foram criadas 227 mil vagas.</w:t>
      </w:r>
    </w:p>
    <w:p>
      <w:pPr>
        <w:pStyle w:val="BodyText"/>
      </w:pPr>
    </w:p>
    <w:p>
      <w:pPr>
        <w:pStyle w:val="BodyText"/>
        <w:spacing w:before="49"/>
      </w:pPr>
    </w:p>
    <w:p>
      <w:pPr>
        <w:pStyle w:val="BodyText"/>
        <w:ind w:left="710" w:right="1211"/>
        <w:jc w:val="center"/>
      </w:pPr>
      <w:r>
        <w:rPr>
          <w:color w:val="0D0E0E"/>
        </w:rPr>
        <w:t>Criação</w:t>
      </w:r>
      <w:r>
        <w:rPr>
          <w:color w:val="0D0E0E"/>
          <w:spacing w:val="-5"/>
        </w:rPr>
        <w:t> </w:t>
      </w:r>
      <w:r>
        <w:rPr>
          <w:color w:val="0D0E0E"/>
        </w:rPr>
        <w:t>novos</w:t>
      </w:r>
      <w:r>
        <w:rPr>
          <w:color w:val="0D0E0E"/>
          <w:spacing w:val="-5"/>
        </w:rPr>
        <w:t> </w:t>
      </w:r>
      <w:r>
        <w:rPr>
          <w:color w:val="0D0E0E"/>
        </w:rPr>
        <w:t>empregos</w:t>
      </w:r>
      <w:r>
        <w:rPr>
          <w:color w:val="0D0E0E"/>
          <w:spacing w:val="-2"/>
        </w:rPr>
        <w:t> </w:t>
      </w:r>
      <w:r>
        <w:rPr>
          <w:color w:val="0D0E0E"/>
        </w:rPr>
        <w:t>(Nonfarm</w:t>
      </w:r>
      <w:r>
        <w:rPr>
          <w:color w:val="0D0E0E"/>
          <w:spacing w:val="-2"/>
        </w:rPr>
        <w:t> </w:t>
      </w:r>
      <w:r>
        <w:rPr>
          <w:color w:val="0D0E0E"/>
        </w:rPr>
        <w:t>Payroll)</w:t>
      </w:r>
      <w:r>
        <w:rPr>
          <w:color w:val="0D0E0E"/>
          <w:spacing w:val="-3"/>
        </w:rPr>
        <w:t> </w:t>
      </w:r>
      <w:r>
        <w:rPr>
          <w:color w:val="0D0E0E"/>
        </w:rPr>
        <w:t>-</w:t>
      </w:r>
      <w:r>
        <w:rPr>
          <w:color w:val="0D0E0E"/>
          <w:spacing w:val="-4"/>
        </w:rPr>
        <w:t> EUA:</w:t>
      </w:r>
    </w:p>
    <w:p>
      <w:pPr>
        <w:pStyle w:val="BodyText"/>
        <w:spacing w:before="1"/>
        <w:rPr>
          <w:sz w:val="16"/>
        </w:rPr>
      </w:pPr>
      <w:r>
        <w:rPr>
          <w:sz w:val="16"/>
        </w:rPr>
        <w:drawing>
          <wp:anchor distT="0" distB="0" distL="0" distR="0" allowOverlap="1" layoutInCell="1" locked="0" behindDoc="1" simplePos="0" relativeHeight="487589888">
            <wp:simplePos x="0" y="0"/>
            <wp:positionH relativeFrom="page">
              <wp:posOffset>1219200</wp:posOffset>
            </wp:positionH>
            <wp:positionV relativeFrom="paragraph">
              <wp:posOffset>140067</wp:posOffset>
            </wp:positionV>
            <wp:extent cx="4953000" cy="239268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4953000" cy="2392680"/>
                    </a:xfrm>
                    <a:prstGeom prst="rect">
                      <a:avLst/>
                    </a:prstGeom>
                  </pic:spPr>
                </pic:pic>
              </a:graphicData>
            </a:graphic>
          </wp:anchor>
        </w:drawing>
      </w:r>
    </w:p>
    <w:p>
      <w:pPr>
        <w:spacing w:before="36"/>
        <w:ind w:left="750" w:right="0" w:firstLine="0"/>
        <w:jc w:val="left"/>
        <w:rPr>
          <w:i/>
          <w:sz w:val="20"/>
        </w:rPr>
      </w:pPr>
      <w:r>
        <w:rPr>
          <w:i/>
          <w:color w:val="0D0E0E"/>
          <w:spacing w:val="-2"/>
          <w:sz w:val="20"/>
        </w:rPr>
        <w:t>Fonte:</w:t>
      </w:r>
      <w:r>
        <w:rPr>
          <w:i/>
          <w:color w:val="0D0E0E"/>
          <w:spacing w:val="58"/>
          <w:sz w:val="20"/>
        </w:rPr>
        <w:t> </w:t>
      </w:r>
      <w:r>
        <w:rPr>
          <w:i/>
          <w:color w:val="0D0E0E"/>
          <w:spacing w:val="-2"/>
          <w:sz w:val="20"/>
        </w:rPr>
        <w:t>https://tradingeconomics.com/united-states/non-farm-payrolls</w:t>
      </w:r>
    </w:p>
    <w:p>
      <w:pPr>
        <w:pStyle w:val="BodyText"/>
        <w:spacing w:line="259" w:lineRule="auto" w:before="180"/>
        <w:ind w:left="42" w:right="1253" w:firstLine="707"/>
        <w:jc w:val="both"/>
      </w:pPr>
      <w:r>
        <w:rPr>
          <w:color w:val="0D0E0E"/>
        </w:rPr>
        <w:t>A</w:t>
      </w:r>
      <w:r>
        <w:rPr>
          <w:color w:val="0D0E0E"/>
          <w:spacing w:val="-4"/>
        </w:rPr>
        <w:t> </w:t>
      </w:r>
      <w:r>
        <w:rPr>
          <w:color w:val="0D0E0E"/>
        </w:rPr>
        <w:t>taxa</w:t>
      </w:r>
      <w:r>
        <w:rPr>
          <w:color w:val="0D0E0E"/>
          <w:spacing w:val="-7"/>
        </w:rPr>
        <w:t> </w:t>
      </w:r>
      <w:r>
        <w:rPr>
          <w:color w:val="0D0E0E"/>
        </w:rPr>
        <w:t>de</w:t>
      </w:r>
      <w:r>
        <w:rPr>
          <w:color w:val="0D0E0E"/>
          <w:spacing w:val="-6"/>
        </w:rPr>
        <w:t> </w:t>
      </w:r>
      <w:r>
        <w:rPr>
          <w:color w:val="0D0E0E"/>
        </w:rPr>
        <w:t>desemprego</w:t>
      </w:r>
      <w:r>
        <w:rPr>
          <w:color w:val="0D0E0E"/>
          <w:spacing w:val="-6"/>
        </w:rPr>
        <w:t> </w:t>
      </w:r>
      <w:r>
        <w:rPr>
          <w:color w:val="0D0E0E"/>
        </w:rPr>
        <w:t>ainda</w:t>
      </w:r>
      <w:r>
        <w:rPr>
          <w:color w:val="0D0E0E"/>
          <w:spacing w:val="-6"/>
        </w:rPr>
        <w:t> </w:t>
      </w:r>
      <w:r>
        <w:rPr>
          <w:color w:val="0D0E0E"/>
        </w:rPr>
        <w:t>se</w:t>
      </w:r>
      <w:r>
        <w:rPr>
          <w:color w:val="0D0E0E"/>
          <w:spacing w:val="-6"/>
        </w:rPr>
        <w:t> </w:t>
      </w:r>
      <w:r>
        <w:rPr>
          <w:color w:val="0D0E0E"/>
        </w:rPr>
        <w:t>mostra</w:t>
      </w:r>
      <w:r>
        <w:rPr>
          <w:color w:val="0D0E0E"/>
          <w:spacing w:val="-6"/>
        </w:rPr>
        <w:t> </w:t>
      </w:r>
      <w:r>
        <w:rPr>
          <w:color w:val="0D0E0E"/>
        </w:rPr>
        <w:t>em</w:t>
      </w:r>
      <w:r>
        <w:rPr>
          <w:color w:val="0D0E0E"/>
          <w:spacing w:val="-6"/>
        </w:rPr>
        <w:t> </w:t>
      </w:r>
      <w:r>
        <w:rPr>
          <w:color w:val="0D0E0E"/>
        </w:rPr>
        <w:t>patamares</w:t>
      </w:r>
      <w:r>
        <w:rPr>
          <w:color w:val="0D0E0E"/>
          <w:spacing w:val="-7"/>
        </w:rPr>
        <w:t> </w:t>
      </w:r>
      <w:r>
        <w:rPr>
          <w:color w:val="0D0E0E"/>
        </w:rPr>
        <w:t>bastante</w:t>
      </w:r>
      <w:r>
        <w:rPr>
          <w:color w:val="0D0E0E"/>
          <w:spacing w:val="-6"/>
        </w:rPr>
        <w:t> </w:t>
      </w:r>
      <w:r>
        <w:rPr>
          <w:color w:val="0D0E0E"/>
        </w:rPr>
        <w:t>baixos,</w:t>
      </w:r>
      <w:r>
        <w:rPr>
          <w:color w:val="0D0E0E"/>
          <w:spacing w:val="-4"/>
        </w:rPr>
        <w:t> </w:t>
      </w:r>
      <w:r>
        <w:rPr>
          <w:color w:val="0D0E0E"/>
        </w:rPr>
        <w:t>inferior</w:t>
      </w:r>
      <w:r>
        <w:rPr>
          <w:color w:val="0D0E0E"/>
          <w:spacing w:val="-5"/>
        </w:rPr>
        <w:t> </w:t>
      </w:r>
      <w:r>
        <w:rPr>
          <w:color w:val="0D0E0E"/>
        </w:rPr>
        <w:t>a</w:t>
      </w:r>
      <w:r>
        <w:rPr>
          <w:color w:val="0D0E0E"/>
          <w:spacing w:val="-6"/>
        </w:rPr>
        <w:t> </w:t>
      </w:r>
      <w:r>
        <w:rPr>
          <w:color w:val="0D0E0E"/>
        </w:rPr>
        <w:t>4%, com o número de vagas abertas na casa de 1,5x o número de desempregados, ou seja, há mais de uma vaga de emprego aberta para cada profissional buscando emprego.</w:t>
      </w:r>
    </w:p>
    <w:p>
      <w:pPr>
        <w:pStyle w:val="BodyText"/>
        <w:spacing w:line="259" w:lineRule="auto" w:before="159"/>
        <w:ind w:left="42" w:right="1257" w:firstLine="707"/>
        <w:jc w:val="both"/>
      </w:pPr>
      <w:r>
        <w:rPr>
          <w:color w:val="0D0E0E"/>
        </w:rPr>
        <w:t>O</w:t>
      </w:r>
      <w:r>
        <w:rPr>
          <w:color w:val="0D0E0E"/>
          <w:spacing w:val="-3"/>
        </w:rPr>
        <w:t> </w:t>
      </w:r>
      <w:r>
        <w:rPr>
          <w:color w:val="0D0E0E"/>
        </w:rPr>
        <w:t>principal</w:t>
      </w:r>
      <w:r>
        <w:rPr>
          <w:color w:val="0D0E0E"/>
          <w:spacing w:val="-1"/>
        </w:rPr>
        <w:t> </w:t>
      </w:r>
      <w:r>
        <w:rPr>
          <w:color w:val="0D0E0E"/>
        </w:rPr>
        <w:t>setor</w:t>
      </w:r>
      <w:r>
        <w:rPr>
          <w:color w:val="0D0E0E"/>
          <w:spacing w:val="-3"/>
        </w:rPr>
        <w:t> </w:t>
      </w:r>
      <w:r>
        <w:rPr>
          <w:color w:val="0D0E0E"/>
        </w:rPr>
        <w:t>responsável</w:t>
      </w:r>
      <w:r>
        <w:rPr>
          <w:color w:val="0D0E0E"/>
          <w:spacing w:val="-2"/>
        </w:rPr>
        <w:t> </w:t>
      </w:r>
      <w:r>
        <w:rPr>
          <w:color w:val="0D0E0E"/>
        </w:rPr>
        <w:t>por</w:t>
      </w:r>
      <w:r>
        <w:rPr>
          <w:color w:val="0D0E0E"/>
          <w:spacing w:val="-3"/>
        </w:rPr>
        <w:t> </w:t>
      </w:r>
      <w:r>
        <w:rPr>
          <w:color w:val="0D0E0E"/>
        </w:rPr>
        <w:t>essa</w:t>
      </w:r>
      <w:r>
        <w:rPr>
          <w:color w:val="0D0E0E"/>
          <w:spacing w:val="-2"/>
        </w:rPr>
        <w:t> </w:t>
      </w:r>
      <w:r>
        <w:rPr>
          <w:color w:val="0D0E0E"/>
        </w:rPr>
        <w:t>alta</w:t>
      </w:r>
      <w:r>
        <w:rPr>
          <w:color w:val="0D0E0E"/>
          <w:spacing w:val="-4"/>
        </w:rPr>
        <w:t> </w:t>
      </w:r>
      <w:r>
        <w:rPr>
          <w:color w:val="0D0E0E"/>
        </w:rPr>
        <w:t>foi</w:t>
      </w:r>
      <w:r>
        <w:rPr>
          <w:color w:val="0D0E0E"/>
          <w:spacing w:val="-3"/>
        </w:rPr>
        <w:t> </w:t>
      </w:r>
      <w:r>
        <w:rPr>
          <w:color w:val="0D0E0E"/>
        </w:rPr>
        <w:t>o</w:t>
      </w:r>
      <w:r>
        <w:rPr>
          <w:color w:val="0D0E0E"/>
          <w:spacing w:val="-4"/>
        </w:rPr>
        <w:t> </w:t>
      </w:r>
      <w:r>
        <w:rPr>
          <w:color w:val="0D0E0E"/>
        </w:rPr>
        <w:t>setor</w:t>
      </w:r>
      <w:r>
        <w:rPr>
          <w:color w:val="0D0E0E"/>
          <w:spacing w:val="-3"/>
        </w:rPr>
        <w:t> </w:t>
      </w:r>
      <w:r>
        <w:rPr>
          <w:color w:val="0D0E0E"/>
        </w:rPr>
        <w:t>de</w:t>
      </w:r>
      <w:r>
        <w:rPr>
          <w:color w:val="0D0E0E"/>
          <w:spacing w:val="-4"/>
        </w:rPr>
        <w:t> </w:t>
      </w:r>
      <w:r>
        <w:rPr>
          <w:color w:val="0D0E0E"/>
        </w:rPr>
        <w:t>serviços,</w:t>
      </w:r>
      <w:r>
        <w:rPr>
          <w:color w:val="0D0E0E"/>
          <w:spacing w:val="-3"/>
        </w:rPr>
        <w:t> </w:t>
      </w:r>
      <w:r>
        <w:rPr>
          <w:color w:val="0D0E0E"/>
        </w:rPr>
        <w:t>que</w:t>
      </w:r>
      <w:r>
        <w:rPr>
          <w:color w:val="0D0E0E"/>
          <w:spacing w:val="-3"/>
        </w:rPr>
        <w:t> </w:t>
      </w:r>
      <w:r>
        <w:rPr>
          <w:color w:val="0D0E0E"/>
        </w:rPr>
        <w:t>na</w:t>
      </w:r>
      <w:r>
        <w:rPr>
          <w:color w:val="0D0E0E"/>
          <w:spacing w:val="-2"/>
        </w:rPr>
        <w:t> </w:t>
      </w:r>
      <w:r>
        <w:rPr>
          <w:color w:val="0D0E0E"/>
        </w:rPr>
        <w:t>contramão das expectativas medidas através do PMI</w:t>
      </w:r>
      <w:r>
        <w:rPr>
          <w:color w:val="0D0E0E"/>
          <w:spacing w:val="-1"/>
        </w:rPr>
        <w:t> </w:t>
      </w:r>
      <w:r>
        <w:rPr>
          <w:color w:val="0D0E0E"/>
        </w:rPr>
        <w:t>de serviços que sinalizavam contração, que ainda mostra espaço para crescimento.</w:t>
      </w:r>
    </w:p>
    <w:p>
      <w:pPr>
        <w:pStyle w:val="BodyText"/>
        <w:spacing w:after="0" w:line="259" w:lineRule="auto"/>
        <w:jc w:val="both"/>
        <w:sectPr>
          <w:pgSz w:w="11920" w:h="16850"/>
          <w:pgMar w:top="1320" w:bottom="280" w:left="1559" w:right="141"/>
        </w:sectPr>
      </w:pPr>
    </w:p>
    <w:p>
      <w:pPr>
        <w:pStyle w:val="Heading2"/>
        <w:spacing w:before="19"/>
      </w:pPr>
      <w:r>
        <w:rPr>
          <w:spacing w:val="-2"/>
        </w:rPr>
        <w:t>Inflação</w:t>
      </w:r>
    </w:p>
    <w:p>
      <w:pPr>
        <w:pStyle w:val="BodyText"/>
        <w:spacing w:line="259" w:lineRule="auto" w:before="240"/>
        <w:ind w:left="42" w:right="1253" w:firstLine="707"/>
        <w:jc w:val="both"/>
      </w:pPr>
      <w:r>
        <w:rPr>
          <w:color w:val="0D0E0E"/>
        </w:rPr>
        <w:t>Ainda sob impactos influenciados pelo preço dos combustíveis, em especial a gasolina, a inflação mensal norte americana registrou uma elevação de 0,4% no mês de setembro,</w:t>
      </w:r>
      <w:r>
        <w:rPr>
          <w:color w:val="0D0E0E"/>
          <w:spacing w:val="-1"/>
        </w:rPr>
        <w:t> </w:t>
      </w:r>
      <w:r>
        <w:rPr>
          <w:color w:val="0D0E0E"/>
        </w:rPr>
        <w:t>abaixo</w:t>
      </w:r>
      <w:r>
        <w:rPr>
          <w:color w:val="0D0E0E"/>
          <w:spacing w:val="-4"/>
        </w:rPr>
        <w:t> </w:t>
      </w:r>
      <w:r>
        <w:rPr>
          <w:color w:val="0D0E0E"/>
        </w:rPr>
        <w:t>do</w:t>
      </w:r>
      <w:r>
        <w:rPr>
          <w:color w:val="0D0E0E"/>
          <w:spacing w:val="-4"/>
        </w:rPr>
        <w:t> </w:t>
      </w:r>
      <w:r>
        <w:rPr>
          <w:color w:val="0D0E0E"/>
        </w:rPr>
        <w:t>salto</w:t>
      </w:r>
      <w:r>
        <w:rPr>
          <w:color w:val="0D0E0E"/>
          <w:spacing w:val="-1"/>
        </w:rPr>
        <w:t> </w:t>
      </w:r>
      <w:r>
        <w:rPr>
          <w:color w:val="0D0E0E"/>
        </w:rPr>
        <w:t>de</w:t>
      </w:r>
      <w:r>
        <w:rPr>
          <w:color w:val="0D0E0E"/>
          <w:spacing w:val="-4"/>
        </w:rPr>
        <w:t> </w:t>
      </w:r>
      <w:r>
        <w:rPr>
          <w:color w:val="0D0E0E"/>
        </w:rPr>
        <w:t>0,6%</w:t>
      </w:r>
      <w:r>
        <w:rPr>
          <w:color w:val="0D0E0E"/>
          <w:spacing w:val="-3"/>
        </w:rPr>
        <w:t> </w:t>
      </w:r>
      <w:r>
        <w:rPr>
          <w:color w:val="0D0E0E"/>
        </w:rPr>
        <w:t>em</w:t>
      </w:r>
      <w:r>
        <w:rPr>
          <w:color w:val="0D0E0E"/>
          <w:spacing w:val="-1"/>
        </w:rPr>
        <w:t> </w:t>
      </w:r>
      <w:r>
        <w:rPr>
          <w:color w:val="0D0E0E"/>
        </w:rPr>
        <w:t>agosto,</w:t>
      </w:r>
      <w:r>
        <w:rPr>
          <w:color w:val="0D0E0E"/>
          <w:spacing w:val="-3"/>
        </w:rPr>
        <w:t> </w:t>
      </w:r>
      <w:r>
        <w:rPr>
          <w:color w:val="0D0E0E"/>
        </w:rPr>
        <w:t>porém</w:t>
      </w:r>
      <w:r>
        <w:rPr>
          <w:color w:val="0D0E0E"/>
          <w:spacing w:val="-2"/>
        </w:rPr>
        <w:t> </w:t>
      </w:r>
      <w:r>
        <w:rPr>
          <w:color w:val="0D0E0E"/>
        </w:rPr>
        <w:t>ainda</w:t>
      </w:r>
      <w:r>
        <w:rPr>
          <w:color w:val="0D0E0E"/>
          <w:spacing w:val="-4"/>
        </w:rPr>
        <w:t> </w:t>
      </w:r>
      <w:r>
        <w:rPr>
          <w:color w:val="0D0E0E"/>
        </w:rPr>
        <w:t>acima</w:t>
      </w:r>
      <w:r>
        <w:rPr>
          <w:color w:val="0D0E0E"/>
          <w:spacing w:val="-2"/>
        </w:rPr>
        <w:t> </w:t>
      </w:r>
      <w:r>
        <w:rPr>
          <w:color w:val="0D0E0E"/>
        </w:rPr>
        <w:t>do</w:t>
      </w:r>
      <w:r>
        <w:rPr>
          <w:color w:val="0D0E0E"/>
          <w:spacing w:val="-1"/>
        </w:rPr>
        <w:t> </w:t>
      </w:r>
      <w:r>
        <w:rPr>
          <w:color w:val="0D0E0E"/>
        </w:rPr>
        <w:t>consenso</w:t>
      </w:r>
      <w:r>
        <w:rPr>
          <w:color w:val="0D0E0E"/>
          <w:spacing w:val="-4"/>
        </w:rPr>
        <w:t> </w:t>
      </w:r>
      <w:r>
        <w:rPr>
          <w:color w:val="0D0E0E"/>
        </w:rPr>
        <w:t>de</w:t>
      </w:r>
      <w:r>
        <w:rPr>
          <w:color w:val="0D0E0E"/>
          <w:spacing w:val="-3"/>
        </w:rPr>
        <w:t> </w:t>
      </w:r>
      <w:r>
        <w:rPr>
          <w:color w:val="0D0E0E"/>
        </w:rPr>
        <w:t>mercado que esperava 0,3%</w:t>
      </w:r>
    </w:p>
    <w:p>
      <w:pPr>
        <w:pStyle w:val="BodyText"/>
        <w:spacing w:before="160"/>
        <w:ind w:left="705" w:right="1211"/>
        <w:jc w:val="center"/>
      </w:pPr>
      <w:r>
        <w:rPr>
          <w:color w:val="0D0E0E"/>
        </w:rPr>
        <w:t>CPI</w:t>
      </w:r>
      <w:r>
        <w:rPr>
          <w:color w:val="0D0E0E"/>
          <w:spacing w:val="-1"/>
        </w:rPr>
        <w:t> </w:t>
      </w:r>
      <w:r>
        <w:rPr>
          <w:color w:val="0D0E0E"/>
        </w:rPr>
        <w:t>mensal-</w:t>
      </w:r>
      <w:r>
        <w:rPr>
          <w:color w:val="0D0E0E"/>
          <w:spacing w:val="-3"/>
        </w:rPr>
        <w:t> </w:t>
      </w:r>
      <w:r>
        <w:rPr>
          <w:color w:val="0D0E0E"/>
        </w:rPr>
        <w:t>Estados </w:t>
      </w:r>
      <w:r>
        <w:rPr>
          <w:color w:val="0D0E0E"/>
          <w:spacing w:val="-2"/>
        </w:rPr>
        <w:t>Unidos:</w:t>
      </w:r>
    </w:p>
    <w:p>
      <w:pPr>
        <w:pStyle w:val="BodyText"/>
        <w:spacing w:before="11"/>
        <w:rPr>
          <w:sz w:val="16"/>
        </w:rPr>
      </w:pPr>
      <w:r>
        <w:rPr>
          <w:sz w:val="16"/>
        </w:rPr>
        <w:drawing>
          <wp:anchor distT="0" distB="0" distL="0" distR="0" allowOverlap="1" layoutInCell="1" locked="0" behindDoc="1" simplePos="0" relativeHeight="487590400">
            <wp:simplePos x="0" y="0"/>
            <wp:positionH relativeFrom="page">
              <wp:posOffset>1272539</wp:posOffset>
            </wp:positionH>
            <wp:positionV relativeFrom="paragraph">
              <wp:posOffset>146817</wp:posOffset>
            </wp:positionV>
            <wp:extent cx="4991099" cy="217932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4991099" cy="2179320"/>
                    </a:xfrm>
                    <a:prstGeom prst="rect">
                      <a:avLst/>
                    </a:prstGeom>
                  </pic:spPr>
                </pic:pic>
              </a:graphicData>
            </a:graphic>
          </wp:anchor>
        </w:drawing>
      </w:r>
    </w:p>
    <w:p>
      <w:pPr>
        <w:spacing w:before="20"/>
        <w:ind w:left="750" w:right="0" w:firstLine="0"/>
        <w:jc w:val="left"/>
        <w:rPr>
          <w:i/>
          <w:sz w:val="20"/>
        </w:rPr>
      </w:pPr>
      <w:r>
        <w:rPr>
          <w:i/>
          <w:color w:val="0D0E0E"/>
          <w:spacing w:val="-2"/>
          <w:sz w:val="20"/>
        </w:rPr>
        <w:t>Fonte:</w:t>
      </w:r>
      <w:r>
        <w:rPr>
          <w:i/>
          <w:color w:val="0D0E0E"/>
          <w:spacing w:val="64"/>
          <w:sz w:val="20"/>
        </w:rPr>
        <w:t> </w:t>
      </w:r>
      <w:r>
        <w:rPr>
          <w:i/>
          <w:color w:val="0D0E0E"/>
          <w:spacing w:val="-2"/>
          <w:sz w:val="20"/>
        </w:rPr>
        <w:t>https://tradingeconomics.com/united-states/inflation-rate-</w:t>
      </w:r>
      <w:r>
        <w:rPr>
          <w:i/>
          <w:color w:val="0D0E0E"/>
          <w:spacing w:val="-5"/>
          <w:sz w:val="20"/>
        </w:rPr>
        <w:t>mom</w:t>
      </w:r>
    </w:p>
    <w:p>
      <w:pPr>
        <w:pStyle w:val="BodyText"/>
        <w:spacing w:line="256" w:lineRule="auto" w:before="239"/>
        <w:ind w:left="42" w:right="1256" w:firstLine="707"/>
        <w:jc w:val="both"/>
      </w:pPr>
      <w:r>
        <w:rPr>
          <w:color w:val="0D0E0E"/>
        </w:rPr>
        <w:t>Na</w:t>
      </w:r>
      <w:r>
        <w:rPr>
          <w:color w:val="0D0E0E"/>
          <w:spacing w:val="-12"/>
        </w:rPr>
        <w:t> </w:t>
      </w:r>
      <w:r>
        <w:rPr>
          <w:color w:val="0D0E0E"/>
        </w:rPr>
        <w:t>variação</w:t>
      </w:r>
      <w:r>
        <w:rPr>
          <w:color w:val="0D0E0E"/>
          <w:spacing w:val="-12"/>
        </w:rPr>
        <w:t> </w:t>
      </w:r>
      <w:r>
        <w:rPr>
          <w:color w:val="0D0E0E"/>
        </w:rPr>
        <w:t>anual,</w:t>
      </w:r>
      <w:r>
        <w:rPr>
          <w:color w:val="0D0E0E"/>
          <w:spacing w:val="-13"/>
        </w:rPr>
        <w:t> </w:t>
      </w:r>
      <w:r>
        <w:rPr>
          <w:color w:val="0D0E0E"/>
        </w:rPr>
        <w:t>o</w:t>
      </w:r>
      <w:r>
        <w:rPr>
          <w:color w:val="0D0E0E"/>
          <w:spacing w:val="-12"/>
        </w:rPr>
        <w:t> </w:t>
      </w:r>
      <w:r>
        <w:rPr>
          <w:color w:val="0D0E0E"/>
        </w:rPr>
        <w:t>número</w:t>
      </w:r>
      <w:r>
        <w:rPr>
          <w:color w:val="0D0E0E"/>
          <w:spacing w:val="-12"/>
        </w:rPr>
        <w:t> </w:t>
      </w:r>
      <w:r>
        <w:rPr>
          <w:color w:val="0D0E0E"/>
        </w:rPr>
        <w:t>permaneceu</w:t>
      </w:r>
      <w:r>
        <w:rPr>
          <w:color w:val="0D0E0E"/>
          <w:spacing w:val="-11"/>
        </w:rPr>
        <w:t> </w:t>
      </w:r>
      <w:r>
        <w:rPr>
          <w:color w:val="0D0E0E"/>
        </w:rPr>
        <w:t>elevado</w:t>
      </w:r>
      <w:r>
        <w:rPr>
          <w:color w:val="0D0E0E"/>
          <w:spacing w:val="-13"/>
        </w:rPr>
        <w:t> </w:t>
      </w:r>
      <w:r>
        <w:rPr>
          <w:color w:val="0D0E0E"/>
        </w:rPr>
        <w:t>no</w:t>
      </w:r>
      <w:r>
        <w:rPr>
          <w:color w:val="0D0E0E"/>
          <w:spacing w:val="-12"/>
        </w:rPr>
        <w:t> </w:t>
      </w:r>
      <w:r>
        <w:rPr>
          <w:color w:val="0D0E0E"/>
        </w:rPr>
        <w:t>mesmo</w:t>
      </w:r>
      <w:r>
        <w:rPr>
          <w:color w:val="0D0E0E"/>
          <w:spacing w:val="-12"/>
        </w:rPr>
        <w:t> </w:t>
      </w:r>
      <w:r>
        <w:rPr>
          <w:color w:val="0D0E0E"/>
        </w:rPr>
        <w:t>patamar</w:t>
      </w:r>
      <w:r>
        <w:rPr>
          <w:color w:val="0D0E0E"/>
          <w:spacing w:val="-13"/>
        </w:rPr>
        <w:t> </w:t>
      </w:r>
      <w:r>
        <w:rPr>
          <w:color w:val="0D0E0E"/>
        </w:rPr>
        <w:t>de</w:t>
      </w:r>
      <w:r>
        <w:rPr>
          <w:color w:val="0D0E0E"/>
          <w:spacing w:val="-12"/>
        </w:rPr>
        <w:t> </w:t>
      </w:r>
      <w:r>
        <w:rPr>
          <w:color w:val="0D0E0E"/>
        </w:rPr>
        <w:t>agosto,</w:t>
      </w:r>
      <w:r>
        <w:rPr>
          <w:color w:val="0D0E0E"/>
          <w:spacing w:val="-11"/>
        </w:rPr>
        <w:t> </w:t>
      </w:r>
      <w:r>
        <w:rPr>
          <w:color w:val="0D0E0E"/>
        </w:rPr>
        <w:t>em 3,7% contra o consenso de 3,6%.</w:t>
      </w:r>
    </w:p>
    <w:p>
      <w:pPr>
        <w:pStyle w:val="BodyText"/>
        <w:spacing w:line="259" w:lineRule="auto" w:before="165"/>
        <w:ind w:left="42" w:right="1252" w:firstLine="707"/>
        <w:jc w:val="both"/>
      </w:pPr>
      <w:r>
        <w:rPr>
          <w:color w:val="0D0E0E"/>
        </w:rPr>
        <w:t>Além</w:t>
      </w:r>
      <w:r>
        <w:rPr>
          <w:color w:val="0D0E0E"/>
          <w:spacing w:val="-14"/>
        </w:rPr>
        <w:t> </w:t>
      </w:r>
      <w:r>
        <w:rPr>
          <w:color w:val="0D0E0E"/>
        </w:rPr>
        <w:t>dos</w:t>
      </w:r>
      <w:r>
        <w:rPr>
          <w:color w:val="0D0E0E"/>
          <w:spacing w:val="-14"/>
        </w:rPr>
        <w:t> </w:t>
      </w:r>
      <w:r>
        <w:rPr>
          <w:color w:val="0D0E0E"/>
        </w:rPr>
        <w:t>combustíveis,</w:t>
      </w:r>
      <w:r>
        <w:rPr>
          <w:color w:val="0D0E0E"/>
          <w:spacing w:val="-13"/>
        </w:rPr>
        <w:t> </w:t>
      </w:r>
      <w:r>
        <w:rPr>
          <w:color w:val="0D0E0E"/>
        </w:rPr>
        <w:t>o</w:t>
      </w:r>
      <w:r>
        <w:rPr>
          <w:color w:val="0D0E0E"/>
          <w:spacing w:val="-14"/>
        </w:rPr>
        <w:t> </w:t>
      </w:r>
      <w:r>
        <w:rPr>
          <w:color w:val="0D0E0E"/>
        </w:rPr>
        <w:t>preço</w:t>
      </w:r>
      <w:r>
        <w:rPr>
          <w:color w:val="0D0E0E"/>
          <w:spacing w:val="-13"/>
        </w:rPr>
        <w:t> </w:t>
      </w:r>
      <w:r>
        <w:rPr>
          <w:color w:val="0D0E0E"/>
        </w:rPr>
        <w:t>da</w:t>
      </w:r>
      <w:r>
        <w:rPr>
          <w:color w:val="0D0E0E"/>
          <w:spacing w:val="-14"/>
        </w:rPr>
        <w:t> </w:t>
      </w:r>
      <w:r>
        <w:rPr>
          <w:color w:val="0D0E0E"/>
        </w:rPr>
        <w:t>habitação,</w:t>
      </w:r>
      <w:r>
        <w:rPr>
          <w:color w:val="0D0E0E"/>
          <w:spacing w:val="-13"/>
        </w:rPr>
        <w:t> </w:t>
      </w:r>
      <w:r>
        <w:rPr>
          <w:color w:val="0D0E0E"/>
        </w:rPr>
        <w:t>serviços</w:t>
      </w:r>
      <w:r>
        <w:rPr>
          <w:color w:val="0D0E0E"/>
          <w:spacing w:val="-12"/>
        </w:rPr>
        <w:t> </w:t>
      </w:r>
      <w:r>
        <w:rPr>
          <w:color w:val="0D0E0E"/>
        </w:rPr>
        <w:t>de</w:t>
      </w:r>
      <w:r>
        <w:rPr>
          <w:color w:val="0D0E0E"/>
          <w:spacing w:val="-14"/>
        </w:rPr>
        <w:t> </w:t>
      </w:r>
      <w:r>
        <w:rPr>
          <w:color w:val="0D0E0E"/>
        </w:rPr>
        <w:t>transporte,</w:t>
      </w:r>
      <w:r>
        <w:rPr>
          <w:color w:val="0D0E0E"/>
          <w:spacing w:val="-9"/>
        </w:rPr>
        <w:t> </w:t>
      </w:r>
      <w:r>
        <w:rPr>
          <w:color w:val="0D0E0E"/>
        </w:rPr>
        <w:t>medicamentos, alimentos,</w:t>
      </w:r>
      <w:r>
        <w:rPr>
          <w:color w:val="0D0E0E"/>
          <w:spacing w:val="-3"/>
        </w:rPr>
        <w:t> </w:t>
      </w:r>
      <w:r>
        <w:rPr>
          <w:color w:val="0D0E0E"/>
        </w:rPr>
        <w:t>e</w:t>
      </w:r>
      <w:r>
        <w:rPr>
          <w:color w:val="0D0E0E"/>
          <w:spacing w:val="-1"/>
        </w:rPr>
        <w:t> </w:t>
      </w:r>
      <w:r>
        <w:rPr>
          <w:color w:val="0D0E0E"/>
        </w:rPr>
        <w:t>veículos</w:t>
      </w:r>
      <w:r>
        <w:rPr>
          <w:color w:val="0D0E0E"/>
          <w:spacing w:val="-4"/>
        </w:rPr>
        <w:t> </w:t>
      </w:r>
      <w:r>
        <w:rPr>
          <w:color w:val="0D0E0E"/>
        </w:rPr>
        <w:t>contaram</w:t>
      </w:r>
      <w:r>
        <w:rPr>
          <w:color w:val="0D0E0E"/>
          <w:spacing w:val="-3"/>
        </w:rPr>
        <w:t> </w:t>
      </w:r>
      <w:r>
        <w:rPr>
          <w:color w:val="0D0E0E"/>
        </w:rPr>
        <w:t>com</w:t>
      </w:r>
      <w:r>
        <w:rPr>
          <w:color w:val="0D0E0E"/>
          <w:spacing w:val="-3"/>
        </w:rPr>
        <w:t> </w:t>
      </w:r>
      <w:r>
        <w:rPr>
          <w:color w:val="0D0E0E"/>
        </w:rPr>
        <w:t>uma</w:t>
      </w:r>
      <w:r>
        <w:rPr>
          <w:color w:val="0D0E0E"/>
          <w:spacing w:val="-4"/>
        </w:rPr>
        <w:t> </w:t>
      </w:r>
      <w:r>
        <w:rPr>
          <w:color w:val="0D0E0E"/>
        </w:rPr>
        <w:t>significativa</w:t>
      </w:r>
      <w:r>
        <w:rPr>
          <w:color w:val="0D0E0E"/>
          <w:spacing w:val="-2"/>
        </w:rPr>
        <w:t> </w:t>
      </w:r>
      <w:r>
        <w:rPr>
          <w:color w:val="0D0E0E"/>
        </w:rPr>
        <w:t>alta</w:t>
      </w:r>
      <w:r>
        <w:rPr>
          <w:color w:val="0D0E0E"/>
          <w:spacing w:val="-4"/>
        </w:rPr>
        <w:t> </w:t>
      </w:r>
      <w:r>
        <w:rPr>
          <w:color w:val="0D0E0E"/>
        </w:rPr>
        <w:t>que</w:t>
      </w:r>
      <w:r>
        <w:rPr>
          <w:color w:val="0D0E0E"/>
          <w:spacing w:val="-4"/>
        </w:rPr>
        <w:t> </w:t>
      </w:r>
      <w:r>
        <w:rPr>
          <w:color w:val="0D0E0E"/>
        </w:rPr>
        <w:t>contribuíram</w:t>
      </w:r>
      <w:r>
        <w:rPr>
          <w:color w:val="0D0E0E"/>
          <w:spacing w:val="-2"/>
        </w:rPr>
        <w:t> </w:t>
      </w:r>
      <w:r>
        <w:rPr>
          <w:color w:val="0D0E0E"/>
        </w:rPr>
        <w:t>para</w:t>
      </w:r>
      <w:r>
        <w:rPr>
          <w:color w:val="0D0E0E"/>
          <w:spacing w:val="-3"/>
        </w:rPr>
        <w:t> </w:t>
      </w:r>
      <w:r>
        <w:rPr>
          <w:color w:val="0D0E0E"/>
        </w:rPr>
        <w:t>o</w:t>
      </w:r>
      <w:r>
        <w:rPr>
          <w:color w:val="0D0E0E"/>
          <w:spacing w:val="-3"/>
        </w:rPr>
        <w:t> </w:t>
      </w:r>
      <w:r>
        <w:rPr>
          <w:color w:val="0D0E0E"/>
        </w:rPr>
        <w:t>patamar ainda elevado acima da meta de 2% da economia americana.</w:t>
      </w:r>
    </w:p>
    <w:p>
      <w:pPr>
        <w:pStyle w:val="BodyText"/>
        <w:spacing w:before="160"/>
        <w:ind w:left="705" w:right="1211"/>
        <w:jc w:val="center"/>
      </w:pPr>
      <w:r>
        <w:rPr>
          <w:color w:val="0D0E0E"/>
        </w:rPr>
        <w:t>CPI</w:t>
      </w:r>
      <w:r>
        <w:rPr>
          <w:color w:val="0D0E0E"/>
          <w:spacing w:val="-1"/>
        </w:rPr>
        <w:t> </w:t>
      </w:r>
      <w:r>
        <w:rPr>
          <w:color w:val="0D0E0E"/>
        </w:rPr>
        <w:t>anual</w:t>
      </w:r>
      <w:r>
        <w:rPr>
          <w:color w:val="0D0E0E"/>
          <w:spacing w:val="-1"/>
        </w:rPr>
        <w:t> </w:t>
      </w:r>
      <w:r>
        <w:rPr>
          <w:color w:val="0D0E0E"/>
        </w:rPr>
        <w:t>-</w:t>
      </w:r>
      <w:r>
        <w:rPr>
          <w:color w:val="0D0E0E"/>
          <w:spacing w:val="-2"/>
        </w:rPr>
        <w:t> </w:t>
      </w:r>
      <w:r>
        <w:rPr>
          <w:color w:val="0D0E0E"/>
        </w:rPr>
        <w:t>Estados </w:t>
      </w:r>
      <w:r>
        <w:rPr>
          <w:color w:val="0D0E0E"/>
          <w:spacing w:val="-2"/>
        </w:rPr>
        <w:t>Unidos:</w:t>
      </w:r>
    </w:p>
    <w:p>
      <w:pPr>
        <w:pStyle w:val="BodyText"/>
        <w:spacing w:before="7"/>
        <w:rPr>
          <w:sz w:val="17"/>
        </w:rPr>
      </w:pPr>
      <w:r>
        <w:rPr>
          <w:sz w:val="17"/>
        </w:rPr>
        <w:drawing>
          <wp:anchor distT="0" distB="0" distL="0" distR="0" allowOverlap="1" layoutInCell="1" locked="0" behindDoc="1" simplePos="0" relativeHeight="487590912">
            <wp:simplePos x="0" y="0"/>
            <wp:positionH relativeFrom="page">
              <wp:posOffset>1280160</wp:posOffset>
            </wp:positionH>
            <wp:positionV relativeFrom="paragraph">
              <wp:posOffset>151586</wp:posOffset>
            </wp:positionV>
            <wp:extent cx="5021580" cy="217932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5021580" cy="2179320"/>
                    </a:xfrm>
                    <a:prstGeom prst="rect">
                      <a:avLst/>
                    </a:prstGeom>
                  </pic:spPr>
                </pic:pic>
              </a:graphicData>
            </a:graphic>
          </wp:anchor>
        </w:drawing>
      </w:r>
    </w:p>
    <w:p>
      <w:pPr>
        <w:spacing w:before="21"/>
        <w:ind w:left="750" w:right="0" w:firstLine="0"/>
        <w:jc w:val="left"/>
        <w:rPr>
          <w:i/>
          <w:sz w:val="20"/>
        </w:rPr>
      </w:pPr>
      <w:r>
        <w:rPr>
          <w:i/>
          <w:color w:val="0D0E0E"/>
          <w:spacing w:val="-2"/>
          <w:sz w:val="20"/>
        </w:rPr>
        <w:t>Fonte:</w:t>
      </w:r>
      <w:r>
        <w:rPr>
          <w:i/>
          <w:color w:val="0D0E0E"/>
          <w:spacing w:val="61"/>
          <w:sz w:val="20"/>
        </w:rPr>
        <w:t> </w:t>
      </w:r>
      <w:r>
        <w:rPr>
          <w:i/>
          <w:color w:val="0D0E0E"/>
          <w:spacing w:val="-2"/>
          <w:sz w:val="20"/>
        </w:rPr>
        <w:t>https://tradingeconomics.com/united-states/inflation-</w:t>
      </w:r>
      <w:r>
        <w:rPr>
          <w:i/>
          <w:color w:val="0D0E0E"/>
          <w:spacing w:val="-5"/>
          <w:sz w:val="20"/>
        </w:rPr>
        <w:t>cpi</w:t>
      </w:r>
    </w:p>
    <w:p>
      <w:pPr>
        <w:pStyle w:val="BodyText"/>
        <w:spacing w:line="259" w:lineRule="auto" w:before="238"/>
        <w:ind w:left="42" w:right="1251" w:firstLine="707"/>
        <w:jc w:val="both"/>
      </w:pPr>
      <w:r>
        <w:rPr>
          <w:color w:val="0D0E0E"/>
        </w:rPr>
        <w:t>Como citado, a cotação dos combustíveis, transmitido através dos preços do WTI (West Texas Intermediate), e do Brent (benchmark global) mostram a escalada de preços que o petróleo atinge no ano de 2023 com o aumento das tensões ao redor do mundo, superando os 90 dólares tanto o WTI quanto o Brent.</w:t>
      </w:r>
    </w:p>
    <w:p>
      <w:pPr>
        <w:pStyle w:val="BodyText"/>
        <w:spacing w:after="0" w:line="259" w:lineRule="auto"/>
        <w:jc w:val="both"/>
        <w:sectPr>
          <w:pgSz w:w="11920" w:h="16850"/>
          <w:pgMar w:top="1340" w:bottom="280" w:left="1559" w:right="141"/>
        </w:sectPr>
      </w:pPr>
    </w:p>
    <w:p>
      <w:pPr>
        <w:pStyle w:val="BodyText"/>
        <w:spacing w:before="39"/>
        <w:ind w:left="707" w:right="1211"/>
        <w:jc w:val="center"/>
      </w:pPr>
      <w:r>
        <w:rPr>
          <w:color w:val="0D0E0E"/>
        </w:rPr>
        <w:t>Cotação</w:t>
      </w:r>
      <w:r>
        <w:rPr>
          <w:color w:val="0D0E0E"/>
          <w:spacing w:val="-2"/>
        </w:rPr>
        <w:t> </w:t>
      </w:r>
      <w:r>
        <w:rPr>
          <w:color w:val="0D0E0E"/>
        </w:rPr>
        <w:t>-</w:t>
      </w:r>
      <w:r>
        <w:rPr>
          <w:color w:val="0D0E0E"/>
          <w:spacing w:val="-4"/>
        </w:rPr>
        <w:t> </w:t>
      </w:r>
      <w:r>
        <w:rPr>
          <w:color w:val="0D0E0E"/>
        </w:rPr>
        <w:t>Petróleo</w:t>
      </w:r>
      <w:r>
        <w:rPr>
          <w:color w:val="0D0E0E"/>
          <w:spacing w:val="-2"/>
        </w:rPr>
        <w:t> </w:t>
      </w:r>
      <w:r>
        <w:rPr>
          <w:color w:val="0D0E0E"/>
          <w:spacing w:val="-4"/>
        </w:rPr>
        <w:t>WTI:</w:t>
      </w:r>
    </w:p>
    <w:p>
      <w:pPr>
        <w:pStyle w:val="BodyText"/>
        <w:rPr>
          <w:sz w:val="13"/>
        </w:rPr>
      </w:pPr>
      <w:r>
        <w:rPr>
          <w:sz w:val="13"/>
        </w:rPr>
        <w:drawing>
          <wp:anchor distT="0" distB="0" distL="0" distR="0" allowOverlap="1" layoutInCell="1" locked="0" behindDoc="1" simplePos="0" relativeHeight="487591424">
            <wp:simplePos x="0" y="0"/>
            <wp:positionH relativeFrom="page">
              <wp:posOffset>1120139</wp:posOffset>
            </wp:positionH>
            <wp:positionV relativeFrom="paragraph">
              <wp:posOffset>116351</wp:posOffset>
            </wp:positionV>
            <wp:extent cx="5501640" cy="3070860"/>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5501640" cy="3070860"/>
                    </a:xfrm>
                    <a:prstGeom prst="rect">
                      <a:avLst/>
                    </a:prstGeom>
                  </pic:spPr>
                </pic:pic>
              </a:graphicData>
            </a:graphic>
          </wp:anchor>
        </w:drawing>
      </w:r>
    </w:p>
    <w:p>
      <w:pPr>
        <w:spacing w:before="2"/>
        <w:ind w:left="750" w:right="0" w:firstLine="0"/>
        <w:jc w:val="left"/>
        <w:rPr>
          <w:i/>
          <w:sz w:val="20"/>
        </w:rPr>
      </w:pPr>
      <w:r>
        <w:rPr>
          <w:i/>
          <w:color w:val="0D0E0E"/>
          <w:spacing w:val="-2"/>
          <w:sz w:val="20"/>
        </w:rPr>
        <w:t>Fonte:</w:t>
      </w:r>
      <w:r>
        <w:rPr>
          <w:i/>
          <w:color w:val="0D0E0E"/>
          <w:spacing w:val="53"/>
          <w:sz w:val="20"/>
        </w:rPr>
        <w:t> </w:t>
      </w:r>
      <w:r>
        <w:rPr>
          <w:i/>
          <w:color w:val="0D0E0E"/>
          <w:spacing w:val="-2"/>
          <w:sz w:val="20"/>
        </w:rPr>
        <w:t>https://tradingeconomics.com/commodity/crude-</w:t>
      </w:r>
      <w:r>
        <w:rPr>
          <w:i/>
          <w:color w:val="0D0E0E"/>
          <w:spacing w:val="-5"/>
          <w:sz w:val="20"/>
        </w:rPr>
        <w:t>oil</w:t>
      </w:r>
    </w:p>
    <w:p>
      <w:pPr>
        <w:pStyle w:val="BodyText"/>
        <w:rPr>
          <w:i/>
          <w:sz w:val="20"/>
        </w:rPr>
      </w:pPr>
    </w:p>
    <w:p>
      <w:pPr>
        <w:pStyle w:val="BodyText"/>
        <w:spacing w:before="226"/>
        <w:rPr>
          <w:i/>
          <w:sz w:val="20"/>
        </w:rPr>
      </w:pPr>
    </w:p>
    <w:p>
      <w:pPr>
        <w:pStyle w:val="BodyText"/>
        <w:ind w:left="702" w:right="1211"/>
        <w:jc w:val="center"/>
      </w:pPr>
      <w:r>
        <w:rPr>
          <w:color w:val="0D0E0E"/>
        </w:rPr>
        <w:t>Cotação</w:t>
      </w:r>
      <w:r>
        <w:rPr>
          <w:color w:val="0D0E0E"/>
          <w:spacing w:val="-2"/>
        </w:rPr>
        <w:t> </w:t>
      </w:r>
      <w:r>
        <w:rPr>
          <w:color w:val="0D0E0E"/>
        </w:rPr>
        <w:t>-</w:t>
      </w:r>
      <w:r>
        <w:rPr>
          <w:color w:val="0D0E0E"/>
          <w:spacing w:val="-4"/>
        </w:rPr>
        <w:t> </w:t>
      </w:r>
      <w:r>
        <w:rPr>
          <w:color w:val="0D0E0E"/>
        </w:rPr>
        <w:t>Petróleo</w:t>
      </w:r>
      <w:r>
        <w:rPr>
          <w:color w:val="0D0E0E"/>
          <w:spacing w:val="-2"/>
        </w:rPr>
        <w:t> Brent:</w:t>
      </w:r>
    </w:p>
    <w:p>
      <w:pPr>
        <w:pStyle w:val="BodyText"/>
        <w:rPr>
          <w:sz w:val="9"/>
        </w:rPr>
      </w:pPr>
      <w:r>
        <w:rPr>
          <w:sz w:val="9"/>
        </w:rPr>
        <w:drawing>
          <wp:anchor distT="0" distB="0" distL="0" distR="0" allowOverlap="1" layoutInCell="1" locked="0" behindDoc="1" simplePos="0" relativeHeight="487591936">
            <wp:simplePos x="0" y="0"/>
            <wp:positionH relativeFrom="page">
              <wp:posOffset>1043939</wp:posOffset>
            </wp:positionH>
            <wp:positionV relativeFrom="paragraph">
              <wp:posOffset>85603</wp:posOffset>
            </wp:positionV>
            <wp:extent cx="5524500" cy="3063240"/>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5524500" cy="3063240"/>
                    </a:xfrm>
                    <a:prstGeom prst="rect">
                      <a:avLst/>
                    </a:prstGeom>
                  </pic:spPr>
                </pic:pic>
              </a:graphicData>
            </a:graphic>
          </wp:anchor>
        </w:drawing>
      </w:r>
    </w:p>
    <w:p>
      <w:pPr>
        <w:spacing w:before="9"/>
        <w:ind w:left="750" w:right="0" w:firstLine="0"/>
        <w:jc w:val="left"/>
        <w:rPr>
          <w:i/>
          <w:sz w:val="20"/>
        </w:rPr>
      </w:pPr>
      <w:r>
        <w:rPr>
          <w:i/>
          <w:color w:val="0D0E0E"/>
          <w:spacing w:val="-2"/>
          <w:sz w:val="20"/>
        </w:rPr>
        <w:t>Fonte:</w:t>
      </w:r>
      <w:r>
        <w:rPr>
          <w:i/>
          <w:color w:val="0D0E0E"/>
          <w:spacing w:val="60"/>
          <w:sz w:val="20"/>
        </w:rPr>
        <w:t> </w:t>
      </w:r>
      <w:r>
        <w:rPr>
          <w:i/>
          <w:color w:val="0D0E0E"/>
          <w:spacing w:val="-2"/>
          <w:sz w:val="20"/>
        </w:rPr>
        <w:t>https://tradingeconomics.com/commodity/brent-crude-</w:t>
      </w:r>
      <w:r>
        <w:rPr>
          <w:i/>
          <w:color w:val="0D0E0E"/>
          <w:spacing w:val="-5"/>
          <w:sz w:val="20"/>
        </w:rPr>
        <w:t>oil</w:t>
      </w:r>
    </w:p>
    <w:p>
      <w:pPr>
        <w:pStyle w:val="BodyText"/>
        <w:spacing w:line="259" w:lineRule="auto" w:before="239"/>
        <w:ind w:left="42" w:right="1258" w:firstLine="707"/>
        <w:jc w:val="both"/>
      </w:pPr>
      <w:r>
        <w:rPr>
          <w:color w:val="0D0E0E"/>
        </w:rPr>
        <w:t>E</w:t>
      </w:r>
      <w:r>
        <w:rPr>
          <w:color w:val="0D0E0E"/>
          <w:spacing w:val="-4"/>
        </w:rPr>
        <w:t> </w:t>
      </w:r>
      <w:r>
        <w:rPr>
          <w:color w:val="0D0E0E"/>
        </w:rPr>
        <w:t>com</w:t>
      </w:r>
      <w:r>
        <w:rPr>
          <w:color w:val="0D0E0E"/>
          <w:spacing w:val="-5"/>
        </w:rPr>
        <w:t> </w:t>
      </w:r>
      <w:r>
        <w:rPr>
          <w:color w:val="0D0E0E"/>
        </w:rPr>
        <w:t>mais</w:t>
      </w:r>
      <w:r>
        <w:rPr>
          <w:color w:val="0D0E0E"/>
          <w:spacing w:val="-6"/>
        </w:rPr>
        <w:t> </w:t>
      </w:r>
      <w:r>
        <w:rPr>
          <w:color w:val="0D0E0E"/>
        </w:rPr>
        <w:t>atenção</w:t>
      </w:r>
      <w:r>
        <w:rPr>
          <w:color w:val="0D0E0E"/>
          <w:spacing w:val="-5"/>
        </w:rPr>
        <w:t> </w:t>
      </w:r>
      <w:r>
        <w:rPr>
          <w:color w:val="0D0E0E"/>
        </w:rPr>
        <w:t>do</w:t>
      </w:r>
      <w:r>
        <w:rPr>
          <w:color w:val="0D0E0E"/>
          <w:spacing w:val="-6"/>
        </w:rPr>
        <w:t> </w:t>
      </w:r>
      <w:r>
        <w:rPr>
          <w:color w:val="0D0E0E"/>
        </w:rPr>
        <w:t>que</w:t>
      </w:r>
      <w:r>
        <w:rPr>
          <w:color w:val="0D0E0E"/>
          <w:spacing w:val="-6"/>
        </w:rPr>
        <w:t> </w:t>
      </w:r>
      <w:r>
        <w:rPr>
          <w:color w:val="0D0E0E"/>
        </w:rPr>
        <w:t>o</w:t>
      </w:r>
      <w:r>
        <w:rPr>
          <w:color w:val="0D0E0E"/>
          <w:spacing w:val="-6"/>
        </w:rPr>
        <w:t> </w:t>
      </w:r>
      <w:r>
        <w:rPr>
          <w:color w:val="0D0E0E"/>
        </w:rPr>
        <w:t>dado</w:t>
      </w:r>
      <w:r>
        <w:rPr>
          <w:color w:val="0D0E0E"/>
          <w:spacing w:val="-6"/>
        </w:rPr>
        <w:t> </w:t>
      </w:r>
      <w:r>
        <w:rPr>
          <w:color w:val="0D0E0E"/>
        </w:rPr>
        <w:t>cheio</w:t>
      </w:r>
      <w:r>
        <w:rPr>
          <w:color w:val="0D0E0E"/>
          <w:spacing w:val="-5"/>
        </w:rPr>
        <w:t> </w:t>
      </w:r>
      <w:r>
        <w:rPr>
          <w:color w:val="0D0E0E"/>
        </w:rPr>
        <w:t>da</w:t>
      </w:r>
      <w:r>
        <w:rPr>
          <w:color w:val="0D0E0E"/>
          <w:spacing w:val="-4"/>
        </w:rPr>
        <w:t> </w:t>
      </w:r>
      <w:r>
        <w:rPr>
          <w:color w:val="0D0E0E"/>
        </w:rPr>
        <w:t>inflação,</w:t>
      </w:r>
      <w:r>
        <w:rPr>
          <w:color w:val="0D0E0E"/>
          <w:spacing w:val="-6"/>
        </w:rPr>
        <w:t> </w:t>
      </w:r>
      <w:r>
        <w:rPr>
          <w:color w:val="0D0E0E"/>
        </w:rPr>
        <w:t>temos</w:t>
      </w:r>
      <w:r>
        <w:rPr>
          <w:color w:val="0D0E0E"/>
          <w:spacing w:val="-7"/>
        </w:rPr>
        <w:t> </w:t>
      </w:r>
      <w:r>
        <w:rPr>
          <w:color w:val="0D0E0E"/>
        </w:rPr>
        <w:t>o</w:t>
      </w:r>
      <w:r>
        <w:rPr>
          <w:color w:val="0D0E0E"/>
          <w:spacing w:val="-6"/>
        </w:rPr>
        <w:t> </w:t>
      </w:r>
      <w:r>
        <w:rPr>
          <w:color w:val="0D0E0E"/>
        </w:rPr>
        <w:t>tão</w:t>
      </w:r>
      <w:r>
        <w:rPr>
          <w:color w:val="0D0E0E"/>
          <w:spacing w:val="-5"/>
        </w:rPr>
        <w:t> </w:t>
      </w:r>
      <w:r>
        <w:rPr>
          <w:color w:val="0D0E0E"/>
        </w:rPr>
        <w:t>importante</w:t>
      </w:r>
      <w:r>
        <w:rPr>
          <w:color w:val="0D0E0E"/>
          <w:spacing w:val="-6"/>
        </w:rPr>
        <w:t> </w:t>
      </w:r>
      <w:r>
        <w:rPr>
          <w:color w:val="0D0E0E"/>
        </w:rPr>
        <w:t>núcleo inflacionário que registra queda sequencial desde março de 2023, atingindo o patamar de 4,1% em setembro, versus 4,3% em agosto, 4,7% em julho, e em linha com as expectativas de</w:t>
      </w:r>
      <w:r>
        <w:rPr>
          <w:color w:val="0D0E0E"/>
          <w:spacing w:val="-8"/>
        </w:rPr>
        <w:t> </w:t>
      </w:r>
      <w:r>
        <w:rPr>
          <w:color w:val="0D0E0E"/>
        </w:rPr>
        <w:t>mercado</w:t>
      </w:r>
      <w:r>
        <w:rPr>
          <w:color w:val="0D0E0E"/>
          <w:spacing w:val="-8"/>
        </w:rPr>
        <w:t> </w:t>
      </w:r>
      <w:r>
        <w:rPr>
          <w:color w:val="0D0E0E"/>
        </w:rPr>
        <w:t>que</w:t>
      </w:r>
      <w:r>
        <w:rPr>
          <w:color w:val="0D0E0E"/>
          <w:spacing w:val="-6"/>
        </w:rPr>
        <w:t> </w:t>
      </w:r>
      <w:r>
        <w:rPr>
          <w:color w:val="0D0E0E"/>
        </w:rPr>
        <w:t>sinalizavam</w:t>
      </w:r>
      <w:r>
        <w:rPr>
          <w:color w:val="0D0E0E"/>
          <w:spacing w:val="-6"/>
        </w:rPr>
        <w:t> </w:t>
      </w:r>
      <w:r>
        <w:rPr>
          <w:color w:val="0D0E0E"/>
        </w:rPr>
        <w:t>4,1%</w:t>
      </w:r>
      <w:r>
        <w:rPr>
          <w:color w:val="0D0E0E"/>
          <w:spacing w:val="-9"/>
        </w:rPr>
        <w:t> </w:t>
      </w:r>
      <w:r>
        <w:rPr>
          <w:color w:val="0D0E0E"/>
        </w:rPr>
        <w:t>para</w:t>
      </w:r>
      <w:r>
        <w:rPr>
          <w:color w:val="0D0E0E"/>
          <w:spacing w:val="-8"/>
        </w:rPr>
        <w:t> </w:t>
      </w:r>
      <w:r>
        <w:rPr>
          <w:color w:val="0D0E0E"/>
        </w:rPr>
        <w:t>o</w:t>
      </w:r>
      <w:r>
        <w:rPr>
          <w:color w:val="0D0E0E"/>
          <w:spacing w:val="-8"/>
        </w:rPr>
        <w:t> </w:t>
      </w:r>
      <w:r>
        <w:rPr>
          <w:color w:val="0D0E0E"/>
        </w:rPr>
        <w:t>mês.</w:t>
      </w:r>
      <w:r>
        <w:rPr>
          <w:color w:val="0D0E0E"/>
          <w:spacing w:val="-9"/>
        </w:rPr>
        <w:t> </w:t>
      </w:r>
      <w:r>
        <w:rPr>
          <w:color w:val="0D0E0E"/>
        </w:rPr>
        <w:t>Porém</w:t>
      </w:r>
      <w:r>
        <w:rPr>
          <w:color w:val="0D0E0E"/>
          <w:spacing w:val="-6"/>
        </w:rPr>
        <w:t> </w:t>
      </w:r>
      <w:r>
        <w:rPr>
          <w:color w:val="0D0E0E"/>
        </w:rPr>
        <w:t>essa</w:t>
      </w:r>
      <w:r>
        <w:rPr>
          <w:color w:val="0D0E0E"/>
          <w:spacing w:val="-11"/>
        </w:rPr>
        <w:t> </w:t>
      </w:r>
      <w:r>
        <w:rPr>
          <w:color w:val="0D0E0E"/>
        </w:rPr>
        <w:t>trajetória</w:t>
      </w:r>
      <w:r>
        <w:rPr>
          <w:color w:val="0D0E0E"/>
          <w:spacing w:val="-9"/>
        </w:rPr>
        <w:t> </w:t>
      </w:r>
      <w:r>
        <w:rPr>
          <w:color w:val="0D0E0E"/>
        </w:rPr>
        <w:t>ainda</w:t>
      </w:r>
      <w:r>
        <w:rPr>
          <w:color w:val="0D0E0E"/>
          <w:spacing w:val="-11"/>
        </w:rPr>
        <w:t> </w:t>
      </w:r>
      <w:r>
        <w:rPr>
          <w:color w:val="0D0E0E"/>
        </w:rPr>
        <w:t>que</w:t>
      </w:r>
      <w:r>
        <w:rPr>
          <w:color w:val="0D0E0E"/>
          <w:spacing w:val="-8"/>
        </w:rPr>
        <w:t> </w:t>
      </w:r>
      <w:r>
        <w:rPr>
          <w:color w:val="0D0E0E"/>
        </w:rPr>
        <w:t>em</w:t>
      </w:r>
      <w:r>
        <w:rPr>
          <w:color w:val="0D0E0E"/>
          <w:spacing w:val="-8"/>
        </w:rPr>
        <w:t> </w:t>
      </w:r>
      <w:r>
        <w:rPr>
          <w:color w:val="0D0E0E"/>
        </w:rPr>
        <w:t>rumos</w:t>
      </w:r>
      <w:r>
        <w:rPr>
          <w:color w:val="0D0E0E"/>
          <w:spacing w:val="-9"/>
        </w:rPr>
        <w:t> </w:t>
      </w:r>
      <w:r>
        <w:rPr>
          <w:color w:val="0D0E0E"/>
        </w:rPr>
        <w:t>de queda, ainda, como já citado, permanece em patamares bem superiores aos 2% desejados pelo governo dos Estados Unidos.</w:t>
      </w:r>
    </w:p>
    <w:p>
      <w:pPr>
        <w:pStyle w:val="BodyText"/>
        <w:spacing w:line="256" w:lineRule="auto" w:before="158"/>
        <w:ind w:left="42" w:right="1259" w:firstLine="707"/>
        <w:jc w:val="both"/>
      </w:pPr>
      <w:r>
        <w:rPr>
          <w:color w:val="0D0E0E"/>
        </w:rPr>
        <w:t>Como já citado em outros relatórios, os membros do Federal Reserve, em especial do presidente Jerome Powell, sinalizam constantemente que a inflação é um ponto crucial</w:t>
      </w:r>
    </w:p>
    <w:p>
      <w:pPr>
        <w:pStyle w:val="BodyText"/>
        <w:spacing w:after="0" w:line="256" w:lineRule="auto"/>
        <w:jc w:val="both"/>
        <w:sectPr>
          <w:pgSz w:w="11920" w:h="16850"/>
          <w:pgMar w:top="1320" w:bottom="280" w:left="1559" w:right="141"/>
        </w:sectPr>
      </w:pPr>
    </w:p>
    <w:p>
      <w:pPr>
        <w:pStyle w:val="BodyText"/>
        <w:spacing w:line="256" w:lineRule="auto" w:before="39"/>
        <w:ind w:left="42" w:right="1210"/>
      </w:pPr>
      <w:r>
        <w:rPr>
          <w:color w:val="0D0E0E"/>
        </w:rPr>
        <w:t>para</w:t>
      </w:r>
      <w:r>
        <w:rPr>
          <w:color w:val="0D0E0E"/>
          <w:spacing w:val="26"/>
        </w:rPr>
        <w:t> </w:t>
      </w:r>
      <w:r>
        <w:rPr>
          <w:color w:val="0D0E0E"/>
        </w:rPr>
        <w:t>que</w:t>
      </w:r>
      <w:r>
        <w:rPr>
          <w:color w:val="0D0E0E"/>
          <w:spacing w:val="26"/>
        </w:rPr>
        <w:t> </w:t>
      </w:r>
      <w:r>
        <w:rPr>
          <w:color w:val="0D0E0E"/>
        </w:rPr>
        <w:t>o</w:t>
      </w:r>
      <w:r>
        <w:rPr>
          <w:color w:val="0D0E0E"/>
          <w:spacing w:val="26"/>
        </w:rPr>
        <w:t> </w:t>
      </w:r>
      <w:r>
        <w:rPr>
          <w:color w:val="0D0E0E"/>
        </w:rPr>
        <w:t>principal</w:t>
      </w:r>
      <w:r>
        <w:rPr>
          <w:color w:val="0D0E0E"/>
          <w:spacing w:val="26"/>
        </w:rPr>
        <w:t> </w:t>
      </w:r>
      <w:r>
        <w:rPr>
          <w:color w:val="0D0E0E"/>
        </w:rPr>
        <w:t>banco</w:t>
      </w:r>
      <w:r>
        <w:rPr>
          <w:color w:val="0D0E0E"/>
          <w:spacing w:val="28"/>
        </w:rPr>
        <w:t> </w:t>
      </w:r>
      <w:r>
        <w:rPr>
          <w:color w:val="0D0E0E"/>
        </w:rPr>
        <w:t>central</w:t>
      </w:r>
      <w:r>
        <w:rPr>
          <w:color w:val="0D0E0E"/>
          <w:spacing w:val="26"/>
        </w:rPr>
        <w:t> </w:t>
      </w:r>
      <w:r>
        <w:rPr>
          <w:color w:val="0D0E0E"/>
        </w:rPr>
        <w:t>global</w:t>
      </w:r>
      <w:r>
        <w:rPr>
          <w:color w:val="0D0E0E"/>
          <w:spacing w:val="25"/>
        </w:rPr>
        <w:t> </w:t>
      </w:r>
      <w:r>
        <w:rPr>
          <w:color w:val="0D0E0E"/>
        </w:rPr>
        <w:t>possa</w:t>
      </w:r>
      <w:r>
        <w:rPr>
          <w:color w:val="0D0E0E"/>
          <w:spacing w:val="26"/>
        </w:rPr>
        <w:t> </w:t>
      </w:r>
      <w:r>
        <w:rPr>
          <w:color w:val="0D0E0E"/>
        </w:rPr>
        <w:t>adotar</w:t>
      </w:r>
      <w:r>
        <w:rPr>
          <w:color w:val="0D0E0E"/>
          <w:spacing w:val="26"/>
        </w:rPr>
        <w:t> </w:t>
      </w:r>
      <w:r>
        <w:rPr>
          <w:color w:val="0D0E0E"/>
        </w:rPr>
        <w:t>uma</w:t>
      </w:r>
      <w:r>
        <w:rPr>
          <w:color w:val="0D0E0E"/>
          <w:spacing w:val="26"/>
        </w:rPr>
        <w:t> </w:t>
      </w:r>
      <w:r>
        <w:rPr>
          <w:color w:val="0D0E0E"/>
        </w:rPr>
        <w:t>política</w:t>
      </w:r>
      <w:r>
        <w:rPr>
          <w:color w:val="0D0E0E"/>
          <w:spacing w:val="26"/>
        </w:rPr>
        <w:t> </w:t>
      </w:r>
      <w:r>
        <w:rPr>
          <w:color w:val="0D0E0E"/>
        </w:rPr>
        <w:t>menos</w:t>
      </w:r>
      <w:r>
        <w:rPr>
          <w:color w:val="0D0E0E"/>
          <w:spacing w:val="26"/>
        </w:rPr>
        <w:t> </w:t>
      </w:r>
      <w:r>
        <w:rPr>
          <w:color w:val="0D0E0E"/>
        </w:rPr>
        <w:t>dura</w:t>
      </w:r>
      <w:r>
        <w:rPr>
          <w:color w:val="0D0E0E"/>
          <w:spacing w:val="26"/>
        </w:rPr>
        <w:t> </w:t>
      </w:r>
      <w:r>
        <w:rPr>
          <w:color w:val="0D0E0E"/>
        </w:rPr>
        <w:t>em</w:t>
      </w:r>
      <w:r>
        <w:rPr>
          <w:color w:val="0D0E0E"/>
          <w:spacing w:val="34"/>
        </w:rPr>
        <w:t> </w:t>
      </w:r>
      <w:r>
        <w:rPr>
          <w:color w:val="0D0E0E"/>
        </w:rPr>
        <w:t>sua maneira de conduzir a política monetária.</w:t>
      </w:r>
    </w:p>
    <w:p>
      <w:pPr>
        <w:pStyle w:val="Heading2"/>
        <w:spacing w:before="166"/>
      </w:pPr>
      <w:r>
        <w:rPr>
          <w:spacing w:val="-2"/>
        </w:rPr>
        <w:t>Juros</w:t>
      </w:r>
    </w:p>
    <w:p>
      <w:pPr>
        <w:pStyle w:val="BodyText"/>
        <w:spacing w:line="259" w:lineRule="auto" w:before="239"/>
        <w:ind w:left="42" w:right="1252" w:firstLine="707"/>
        <w:jc w:val="both"/>
      </w:pPr>
      <w:r>
        <w:rPr>
          <w:color w:val="0D0E0E"/>
        </w:rPr>
        <w:t>Na</w:t>
      </w:r>
      <w:r>
        <w:rPr>
          <w:color w:val="0D0E0E"/>
          <w:spacing w:val="-6"/>
        </w:rPr>
        <w:t> </w:t>
      </w:r>
      <w:r>
        <w:rPr>
          <w:color w:val="0D0E0E"/>
        </w:rPr>
        <w:t>“super</w:t>
      </w:r>
      <w:r>
        <w:rPr>
          <w:color w:val="0D0E0E"/>
          <w:spacing w:val="-8"/>
        </w:rPr>
        <w:t> </w:t>
      </w:r>
      <w:r>
        <w:rPr>
          <w:color w:val="0D0E0E"/>
        </w:rPr>
        <w:t>quarta”</w:t>
      </w:r>
      <w:r>
        <w:rPr>
          <w:color w:val="0D0E0E"/>
          <w:spacing w:val="-8"/>
        </w:rPr>
        <w:t> </w:t>
      </w:r>
      <w:r>
        <w:rPr>
          <w:color w:val="0D0E0E"/>
        </w:rPr>
        <w:t>do</w:t>
      </w:r>
      <w:r>
        <w:rPr>
          <w:color w:val="0D0E0E"/>
          <w:spacing w:val="-8"/>
        </w:rPr>
        <w:t> </w:t>
      </w:r>
      <w:r>
        <w:rPr>
          <w:color w:val="0D0E0E"/>
        </w:rPr>
        <w:t>dia</w:t>
      </w:r>
      <w:r>
        <w:rPr>
          <w:color w:val="0D0E0E"/>
          <w:spacing w:val="-9"/>
        </w:rPr>
        <w:t> </w:t>
      </w:r>
      <w:r>
        <w:rPr>
          <w:color w:val="0D0E0E"/>
        </w:rPr>
        <w:t>20</w:t>
      </w:r>
      <w:r>
        <w:rPr>
          <w:color w:val="0D0E0E"/>
          <w:spacing w:val="-7"/>
        </w:rPr>
        <w:t> </w:t>
      </w:r>
      <w:r>
        <w:rPr>
          <w:color w:val="0D0E0E"/>
        </w:rPr>
        <w:t>de</w:t>
      </w:r>
      <w:r>
        <w:rPr>
          <w:color w:val="0D0E0E"/>
          <w:spacing w:val="-8"/>
        </w:rPr>
        <w:t> </w:t>
      </w:r>
      <w:r>
        <w:rPr>
          <w:color w:val="0D0E0E"/>
        </w:rPr>
        <w:t>setembro,</w:t>
      </w:r>
      <w:r>
        <w:rPr>
          <w:color w:val="0D0E0E"/>
          <w:spacing w:val="-8"/>
        </w:rPr>
        <w:t> </w:t>
      </w:r>
      <w:r>
        <w:rPr>
          <w:color w:val="0D0E0E"/>
        </w:rPr>
        <w:t>o</w:t>
      </w:r>
      <w:r>
        <w:rPr>
          <w:color w:val="0D0E0E"/>
          <w:spacing w:val="-6"/>
        </w:rPr>
        <w:t> </w:t>
      </w:r>
      <w:r>
        <w:rPr>
          <w:color w:val="0D0E0E"/>
        </w:rPr>
        <w:t>Federal</w:t>
      </w:r>
      <w:r>
        <w:rPr>
          <w:color w:val="0D0E0E"/>
          <w:spacing w:val="-6"/>
        </w:rPr>
        <w:t> </w:t>
      </w:r>
      <w:r>
        <w:rPr>
          <w:color w:val="0D0E0E"/>
        </w:rPr>
        <w:t>Reserve</w:t>
      </w:r>
      <w:r>
        <w:rPr>
          <w:color w:val="0D0E0E"/>
          <w:spacing w:val="-8"/>
        </w:rPr>
        <w:t> </w:t>
      </w:r>
      <w:r>
        <w:rPr>
          <w:color w:val="0D0E0E"/>
        </w:rPr>
        <w:t>optou</w:t>
      </w:r>
      <w:r>
        <w:rPr>
          <w:color w:val="0D0E0E"/>
          <w:spacing w:val="-8"/>
        </w:rPr>
        <w:t> </w:t>
      </w:r>
      <w:r>
        <w:rPr>
          <w:color w:val="0D0E0E"/>
        </w:rPr>
        <w:t>pela</w:t>
      </w:r>
      <w:r>
        <w:rPr>
          <w:color w:val="0D0E0E"/>
          <w:spacing w:val="-6"/>
        </w:rPr>
        <w:t> </w:t>
      </w:r>
      <w:r>
        <w:rPr>
          <w:color w:val="0D0E0E"/>
        </w:rPr>
        <w:t>manutenção da</w:t>
      </w:r>
      <w:r>
        <w:rPr>
          <w:color w:val="0D0E0E"/>
          <w:spacing w:val="-1"/>
        </w:rPr>
        <w:t> </w:t>
      </w:r>
      <w:r>
        <w:rPr>
          <w:color w:val="0D0E0E"/>
        </w:rPr>
        <w:t>taxa de juros em até 5,5% ao ano.</w:t>
      </w:r>
      <w:r>
        <w:rPr>
          <w:color w:val="0D0E0E"/>
          <w:spacing w:val="-1"/>
        </w:rPr>
        <w:t> </w:t>
      </w:r>
      <w:r>
        <w:rPr>
          <w:color w:val="0D0E0E"/>
        </w:rPr>
        <w:t>Porém através dos discursos</w:t>
      </w:r>
      <w:r>
        <w:rPr>
          <w:color w:val="0D0E0E"/>
          <w:spacing w:val="-1"/>
        </w:rPr>
        <w:t> </w:t>
      </w:r>
      <w:r>
        <w:rPr>
          <w:color w:val="0D0E0E"/>
        </w:rPr>
        <w:t>posteriores, foi notado a intenção</w:t>
      </w:r>
      <w:r>
        <w:rPr>
          <w:color w:val="0D0E0E"/>
          <w:spacing w:val="-13"/>
        </w:rPr>
        <w:t> </w:t>
      </w:r>
      <w:r>
        <w:rPr>
          <w:color w:val="0D0E0E"/>
        </w:rPr>
        <w:t>de</w:t>
      </w:r>
      <w:r>
        <w:rPr>
          <w:color w:val="0D0E0E"/>
          <w:spacing w:val="-13"/>
        </w:rPr>
        <w:t> </w:t>
      </w:r>
      <w:r>
        <w:rPr>
          <w:color w:val="0D0E0E"/>
        </w:rPr>
        <w:t>perseverar</w:t>
      </w:r>
      <w:r>
        <w:rPr>
          <w:color w:val="0D0E0E"/>
          <w:spacing w:val="-11"/>
        </w:rPr>
        <w:t> </w:t>
      </w:r>
      <w:r>
        <w:rPr>
          <w:color w:val="0D0E0E"/>
        </w:rPr>
        <w:t>esse</w:t>
      </w:r>
      <w:r>
        <w:rPr>
          <w:color w:val="0D0E0E"/>
          <w:spacing w:val="-11"/>
        </w:rPr>
        <w:t> </w:t>
      </w:r>
      <w:r>
        <w:rPr>
          <w:color w:val="0D0E0E"/>
        </w:rPr>
        <w:t>patamar</w:t>
      </w:r>
      <w:r>
        <w:rPr>
          <w:color w:val="0D0E0E"/>
          <w:spacing w:val="-13"/>
        </w:rPr>
        <w:t> </w:t>
      </w:r>
      <w:r>
        <w:rPr>
          <w:color w:val="0D0E0E"/>
        </w:rPr>
        <w:t>de</w:t>
      </w:r>
      <w:r>
        <w:rPr>
          <w:color w:val="0D0E0E"/>
          <w:spacing w:val="-11"/>
        </w:rPr>
        <w:t> </w:t>
      </w:r>
      <w:r>
        <w:rPr>
          <w:color w:val="0D0E0E"/>
        </w:rPr>
        <w:t>juro</w:t>
      </w:r>
      <w:r>
        <w:rPr>
          <w:color w:val="0D0E0E"/>
          <w:spacing w:val="-13"/>
        </w:rPr>
        <w:t> </w:t>
      </w:r>
      <w:r>
        <w:rPr>
          <w:color w:val="0D0E0E"/>
        </w:rPr>
        <w:t>por</w:t>
      </w:r>
      <w:r>
        <w:rPr>
          <w:color w:val="0D0E0E"/>
          <w:spacing w:val="-13"/>
        </w:rPr>
        <w:t> </w:t>
      </w:r>
      <w:r>
        <w:rPr>
          <w:color w:val="0D0E0E"/>
        </w:rPr>
        <w:t>um</w:t>
      </w:r>
      <w:r>
        <w:rPr>
          <w:color w:val="0D0E0E"/>
          <w:spacing w:val="-11"/>
        </w:rPr>
        <w:t> </w:t>
      </w:r>
      <w:r>
        <w:rPr>
          <w:color w:val="0D0E0E"/>
        </w:rPr>
        <w:t>período</w:t>
      </w:r>
      <w:r>
        <w:rPr>
          <w:color w:val="0D0E0E"/>
          <w:spacing w:val="-11"/>
        </w:rPr>
        <w:t> </w:t>
      </w:r>
      <w:r>
        <w:rPr>
          <w:color w:val="0D0E0E"/>
        </w:rPr>
        <w:t>mais</w:t>
      </w:r>
      <w:r>
        <w:rPr>
          <w:color w:val="0D0E0E"/>
          <w:spacing w:val="-11"/>
        </w:rPr>
        <w:t> </w:t>
      </w:r>
      <w:r>
        <w:rPr>
          <w:color w:val="0D0E0E"/>
        </w:rPr>
        <w:t>longo</w:t>
      </w:r>
      <w:r>
        <w:rPr>
          <w:color w:val="0D0E0E"/>
          <w:spacing w:val="-13"/>
        </w:rPr>
        <w:t> </w:t>
      </w:r>
      <w:r>
        <w:rPr>
          <w:color w:val="0D0E0E"/>
        </w:rPr>
        <w:t>do</w:t>
      </w:r>
      <w:r>
        <w:rPr>
          <w:color w:val="0D0E0E"/>
          <w:spacing w:val="-11"/>
        </w:rPr>
        <w:t> </w:t>
      </w:r>
      <w:r>
        <w:rPr>
          <w:color w:val="0D0E0E"/>
        </w:rPr>
        <w:t>que</w:t>
      </w:r>
      <w:r>
        <w:rPr>
          <w:color w:val="0D0E0E"/>
          <w:spacing w:val="-11"/>
        </w:rPr>
        <w:t> </w:t>
      </w:r>
      <w:r>
        <w:rPr>
          <w:color w:val="0D0E0E"/>
        </w:rPr>
        <w:t>inicialmente planejado,</w:t>
      </w:r>
      <w:r>
        <w:rPr>
          <w:color w:val="0D0E0E"/>
          <w:spacing w:val="-8"/>
        </w:rPr>
        <w:t> </w:t>
      </w:r>
      <w:r>
        <w:rPr>
          <w:color w:val="0D0E0E"/>
        </w:rPr>
        <w:t>e</w:t>
      </w:r>
      <w:r>
        <w:rPr>
          <w:color w:val="0D0E0E"/>
          <w:spacing w:val="-7"/>
        </w:rPr>
        <w:t> </w:t>
      </w:r>
      <w:r>
        <w:rPr>
          <w:color w:val="0D0E0E"/>
        </w:rPr>
        <w:t>ainda</w:t>
      </w:r>
      <w:r>
        <w:rPr>
          <w:color w:val="0D0E0E"/>
          <w:spacing w:val="-9"/>
        </w:rPr>
        <w:t> </w:t>
      </w:r>
      <w:r>
        <w:rPr>
          <w:color w:val="0D0E0E"/>
        </w:rPr>
        <w:t>não</w:t>
      </w:r>
      <w:r>
        <w:rPr>
          <w:color w:val="0D0E0E"/>
          <w:spacing w:val="-8"/>
        </w:rPr>
        <w:t> </w:t>
      </w:r>
      <w:r>
        <w:rPr>
          <w:color w:val="0D0E0E"/>
        </w:rPr>
        <w:t>descartado</w:t>
      </w:r>
      <w:r>
        <w:rPr>
          <w:color w:val="0D0E0E"/>
          <w:spacing w:val="-11"/>
        </w:rPr>
        <w:t> </w:t>
      </w:r>
      <w:r>
        <w:rPr>
          <w:color w:val="0D0E0E"/>
        </w:rPr>
        <w:t>uma</w:t>
      </w:r>
      <w:r>
        <w:rPr>
          <w:color w:val="0D0E0E"/>
          <w:spacing w:val="-8"/>
        </w:rPr>
        <w:t> </w:t>
      </w:r>
      <w:r>
        <w:rPr>
          <w:color w:val="0D0E0E"/>
        </w:rPr>
        <w:t>nova</w:t>
      </w:r>
      <w:r>
        <w:rPr>
          <w:color w:val="0D0E0E"/>
          <w:spacing w:val="-8"/>
        </w:rPr>
        <w:t> </w:t>
      </w:r>
      <w:r>
        <w:rPr>
          <w:color w:val="0D0E0E"/>
        </w:rPr>
        <w:t>elevação</w:t>
      </w:r>
      <w:r>
        <w:rPr>
          <w:color w:val="0D0E0E"/>
          <w:spacing w:val="-6"/>
        </w:rPr>
        <w:t> </w:t>
      </w:r>
      <w:r>
        <w:rPr>
          <w:color w:val="0D0E0E"/>
        </w:rPr>
        <w:t>de</w:t>
      </w:r>
      <w:r>
        <w:rPr>
          <w:color w:val="0D0E0E"/>
          <w:spacing w:val="-8"/>
        </w:rPr>
        <w:t> </w:t>
      </w:r>
      <w:r>
        <w:rPr>
          <w:color w:val="0D0E0E"/>
        </w:rPr>
        <w:t>25</w:t>
      </w:r>
      <w:r>
        <w:rPr>
          <w:color w:val="0D0E0E"/>
          <w:spacing w:val="-7"/>
        </w:rPr>
        <w:t> </w:t>
      </w:r>
      <w:r>
        <w:rPr>
          <w:color w:val="0D0E0E"/>
        </w:rPr>
        <w:t>pontos</w:t>
      </w:r>
      <w:r>
        <w:rPr>
          <w:color w:val="0D0E0E"/>
          <w:spacing w:val="-9"/>
        </w:rPr>
        <w:t> </w:t>
      </w:r>
      <w:r>
        <w:rPr>
          <w:color w:val="0D0E0E"/>
        </w:rPr>
        <w:t>base,</w:t>
      </w:r>
      <w:r>
        <w:rPr>
          <w:color w:val="0D0E0E"/>
          <w:spacing w:val="-11"/>
        </w:rPr>
        <w:t> </w:t>
      </w:r>
      <w:r>
        <w:rPr>
          <w:color w:val="0D0E0E"/>
        </w:rPr>
        <w:t>para</w:t>
      </w:r>
      <w:r>
        <w:rPr>
          <w:color w:val="0D0E0E"/>
          <w:spacing w:val="-8"/>
        </w:rPr>
        <w:t> </w:t>
      </w:r>
      <w:r>
        <w:rPr>
          <w:color w:val="0D0E0E"/>
        </w:rPr>
        <w:t>até</w:t>
      </w:r>
      <w:r>
        <w:rPr>
          <w:color w:val="0D0E0E"/>
          <w:spacing w:val="-8"/>
        </w:rPr>
        <w:t> </w:t>
      </w:r>
      <w:r>
        <w:rPr>
          <w:color w:val="0D0E0E"/>
        </w:rPr>
        <w:t>5,75%</w:t>
      </w:r>
      <w:r>
        <w:rPr>
          <w:color w:val="0D0E0E"/>
          <w:spacing w:val="-8"/>
        </w:rPr>
        <w:t> </w:t>
      </w:r>
      <w:r>
        <w:rPr>
          <w:color w:val="0D0E0E"/>
        </w:rPr>
        <w:t>ao </w:t>
      </w:r>
      <w:r>
        <w:rPr>
          <w:color w:val="0D0E0E"/>
          <w:spacing w:val="-4"/>
        </w:rPr>
        <w:t>ano.</w:t>
      </w:r>
    </w:p>
    <w:p>
      <w:pPr>
        <w:pStyle w:val="BodyText"/>
        <w:spacing w:before="160"/>
        <w:ind w:left="750"/>
      </w:pPr>
      <w:r>
        <w:rPr>
          <w:color w:val="0D0E0E"/>
        </w:rPr>
        <w:t>Por</w:t>
      </w:r>
      <w:r>
        <w:rPr>
          <w:color w:val="0D0E0E"/>
          <w:spacing w:val="-4"/>
        </w:rPr>
        <w:t> </w:t>
      </w:r>
      <w:r>
        <w:rPr>
          <w:color w:val="0D0E0E"/>
        </w:rPr>
        <w:t>enquanto,</w:t>
      </w:r>
      <w:r>
        <w:rPr>
          <w:color w:val="0D0E0E"/>
          <w:spacing w:val="-1"/>
        </w:rPr>
        <w:t> </w:t>
      </w:r>
      <w:r>
        <w:rPr>
          <w:color w:val="0D0E0E"/>
        </w:rPr>
        <w:t>seguimos</w:t>
      </w:r>
      <w:r>
        <w:rPr>
          <w:color w:val="0D0E0E"/>
          <w:spacing w:val="-7"/>
        </w:rPr>
        <w:t> </w:t>
      </w:r>
      <w:r>
        <w:rPr>
          <w:color w:val="0D0E0E"/>
        </w:rPr>
        <w:t>com</w:t>
      </w:r>
      <w:r>
        <w:rPr>
          <w:color w:val="0D0E0E"/>
          <w:spacing w:val="-1"/>
        </w:rPr>
        <w:t> </w:t>
      </w:r>
      <w:r>
        <w:rPr>
          <w:color w:val="0D0E0E"/>
        </w:rPr>
        <w:t>a</w:t>
      </w:r>
      <w:r>
        <w:rPr>
          <w:color w:val="0D0E0E"/>
          <w:spacing w:val="-3"/>
        </w:rPr>
        <w:t> </w:t>
      </w:r>
      <w:r>
        <w:rPr>
          <w:color w:val="0D0E0E"/>
        </w:rPr>
        <w:t>Fed</w:t>
      </w:r>
      <w:r>
        <w:rPr>
          <w:color w:val="0D0E0E"/>
          <w:spacing w:val="-1"/>
        </w:rPr>
        <w:t> </w:t>
      </w:r>
      <w:r>
        <w:rPr>
          <w:color w:val="0D0E0E"/>
        </w:rPr>
        <w:t>Founds</w:t>
      </w:r>
      <w:r>
        <w:rPr>
          <w:color w:val="0D0E0E"/>
          <w:spacing w:val="-2"/>
        </w:rPr>
        <w:t> </w:t>
      </w:r>
      <w:r>
        <w:rPr>
          <w:color w:val="0D0E0E"/>
        </w:rPr>
        <w:t>Rate</w:t>
      </w:r>
      <w:r>
        <w:rPr>
          <w:color w:val="0D0E0E"/>
          <w:spacing w:val="-1"/>
        </w:rPr>
        <w:t> </w:t>
      </w:r>
      <w:r>
        <w:rPr>
          <w:color w:val="0D0E0E"/>
        </w:rPr>
        <w:t>na</w:t>
      </w:r>
      <w:r>
        <w:rPr>
          <w:color w:val="0D0E0E"/>
          <w:spacing w:val="-2"/>
        </w:rPr>
        <w:t> </w:t>
      </w:r>
      <w:r>
        <w:rPr>
          <w:color w:val="0D0E0E"/>
        </w:rPr>
        <w:t>janela</w:t>
      </w:r>
      <w:r>
        <w:rPr>
          <w:color w:val="0D0E0E"/>
          <w:spacing w:val="3"/>
        </w:rPr>
        <w:t> </w:t>
      </w:r>
      <w:r>
        <w:rPr>
          <w:color w:val="0D0E0E"/>
        </w:rPr>
        <w:t>entre</w:t>
      </w:r>
      <w:r>
        <w:rPr>
          <w:color w:val="0D0E0E"/>
          <w:spacing w:val="-3"/>
        </w:rPr>
        <w:t> </w:t>
      </w:r>
      <w:r>
        <w:rPr>
          <w:color w:val="0D0E0E"/>
        </w:rPr>
        <w:t>5,25%</w:t>
      </w:r>
      <w:r>
        <w:rPr>
          <w:color w:val="0D0E0E"/>
          <w:spacing w:val="-3"/>
        </w:rPr>
        <w:t> </w:t>
      </w:r>
      <w:r>
        <w:rPr>
          <w:color w:val="0D0E0E"/>
        </w:rPr>
        <w:t>e</w:t>
      </w:r>
      <w:r>
        <w:rPr>
          <w:color w:val="0D0E0E"/>
          <w:spacing w:val="-3"/>
        </w:rPr>
        <w:t> </w:t>
      </w:r>
      <w:r>
        <w:rPr>
          <w:color w:val="0D0E0E"/>
          <w:spacing w:val="-2"/>
        </w:rPr>
        <w:t>5,5%.</w:t>
      </w:r>
    </w:p>
    <w:p>
      <w:pPr>
        <w:pStyle w:val="BodyText"/>
        <w:spacing w:before="182"/>
        <w:ind w:left="3337"/>
      </w:pPr>
      <w:r>
        <w:rPr>
          <w:color w:val="0D0E0E"/>
        </w:rPr>
        <w:t>Taxa</w:t>
      </w:r>
      <w:r>
        <w:rPr>
          <w:color w:val="0D0E0E"/>
          <w:spacing w:val="-2"/>
        </w:rPr>
        <w:t> </w:t>
      </w:r>
      <w:r>
        <w:rPr>
          <w:color w:val="0D0E0E"/>
        </w:rPr>
        <w:t>de</w:t>
      </w:r>
      <w:r>
        <w:rPr>
          <w:color w:val="0D0E0E"/>
          <w:spacing w:val="-4"/>
        </w:rPr>
        <w:t> </w:t>
      </w:r>
      <w:r>
        <w:rPr>
          <w:color w:val="0D0E0E"/>
        </w:rPr>
        <w:t>Juros</w:t>
      </w:r>
      <w:r>
        <w:rPr>
          <w:color w:val="0D0E0E"/>
          <w:spacing w:val="2"/>
        </w:rPr>
        <w:t> </w:t>
      </w:r>
      <w:r>
        <w:rPr>
          <w:color w:val="0D0E0E"/>
        </w:rPr>
        <w:t>–</w:t>
      </w:r>
      <w:r>
        <w:rPr>
          <w:color w:val="0D0E0E"/>
          <w:spacing w:val="-3"/>
        </w:rPr>
        <w:t> </w:t>
      </w:r>
      <w:r>
        <w:rPr>
          <w:color w:val="0D0E0E"/>
        </w:rPr>
        <w:t>Estados</w:t>
      </w:r>
      <w:r>
        <w:rPr>
          <w:color w:val="0D0E0E"/>
          <w:spacing w:val="-2"/>
        </w:rPr>
        <w:t> Unidos</w:t>
      </w:r>
    </w:p>
    <w:p>
      <w:pPr>
        <w:pStyle w:val="BodyText"/>
        <w:spacing w:before="3"/>
        <w:rPr>
          <w:sz w:val="16"/>
        </w:rPr>
      </w:pPr>
      <w:r>
        <w:rPr>
          <w:sz w:val="16"/>
        </w:rPr>
        <w:drawing>
          <wp:anchor distT="0" distB="0" distL="0" distR="0" allowOverlap="1" layoutInCell="1" locked="0" behindDoc="1" simplePos="0" relativeHeight="487592448">
            <wp:simplePos x="0" y="0"/>
            <wp:positionH relativeFrom="page">
              <wp:posOffset>1082462</wp:posOffset>
            </wp:positionH>
            <wp:positionV relativeFrom="paragraph">
              <wp:posOffset>141275</wp:posOffset>
            </wp:positionV>
            <wp:extent cx="5312445" cy="2602039"/>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5312445" cy="2602039"/>
                    </a:xfrm>
                    <a:prstGeom prst="rect">
                      <a:avLst/>
                    </a:prstGeom>
                  </pic:spPr>
                </pic:pic>
              </a:graphicData>
            </a:graphic>
          </wp:anchor>
        </w:drawing>
      </w:r>
    </w:p>
    <w:p>
      <w:pPr>
        <w:spacing w:before="20"/>
        <w:ind w:left="750" w:right="0" w:firstLine="0"/>
        <w:jc w:val="left"/>
        <w:rPr>
          <w:i/>
          <w:sz w:val="20"/>
        </w:rPr>
      </w:pPr>
      <w:r>
        <w:rPr>
          <w:i/>
          <w:color w:val="0D0E0E"/>
          <w:spacing w:val="-2"/>
          <w:sz w:val="20"/>
        </w:rPr>
        <w:t>Fonte:</w:t>
      </w:r>
      <w:r>
        <w:rPr>
          <w:i/>
          <w:color w:val="0D0E0E"/>
          <w:spacing w:val="60"/>
          <w:sz w:val="20"/>
        </w:rPr>
        <w:t> </w:t>
      </w:r>
      <w:r>
        <w:rPr>
          <w:i/>
          <w:color w:val="0D0E0E"/>
          <w:spacing w:val="-2"/>
          <w:sz w:val="20"/>
        </w:rPr>
        <w:t>https://tradingeconomics.com/united-states/interest-</w:t>
      </w:r>
      <w:r>
        <w:rPr>
          <w:i/>
          <w:color w:val="0D0E0E"/>
          <w:spacing w:val="-4"/>
          <w:sz w:val="20"/>
        </w:rPr>
        <w:t>rate</w:t>
      </w:r>
    </w:p>
    <w:p>
      <w:pPr>
        <w:spacing w:after="0"/>
        <w:jc w:val="left"/>
        <w:rPr>
          <w:i/>
          <w:sz w:val="20"/>
        </w:rPr>
        <w:sectPr>
          <w:pgSz w:w="11920" w:h="16850"/>
          <w:pgMar w:top="1320" w:bottom="280" w:left="1559" w:right="141"/>
        </w:sectPr>
      </w:pPr>
    </w:p>
    <w:p>
      <w:pPr>
        <w:spacing w:before="19"/>
        <w:ind w:left="42" w:right="0" w:firstLine="0"/>
        <w:jc w:val="left"/>
        <w:rPr>
          <w:sz w:val="28"/>
        </w:rPr>
      </w:pPr>
      <w:r>
        <w:rPr>
          <w:spacing w:val="-5"/>
          <w:sz w:val="28"/>
        </w:rPr>
        <w:t>PMI</w:t>
      </w:r>
    </w:p>
    <w:p>
      <w:pPr>
        <w:pStyle w:val="BodyText"/>
        <w:spacing w:before="240"/>
        <w:ind w:left="42" w:right="1264" w:firstLine="707"/>
        <w:jc w:val="both"/>
      </w:pPr>
      <w:r>
        <w:rPr>
          <w:color w:val="0D0E0E"/>
        </w:rPr>
        <w:t>Ainda que em retração, o PMI de serviços dos Estados Unidos permaneceu em setembro, no campo positivo marcando 50,10 pontos, ante 50,50 de agosto.</w:t>
      </w:r>
    </w:p>
    <w:p>
      <w:pPr>
        <w:pStyle w:val="BodyText"/>
        <w:spacing w:before="239"/>
        <w:ind w:left="705" w:right="1211"/>
        <w:jc w:val="center"/>
      </w:pPr>
      <w:r>
        <w:rPr>
          <w:color w:val="0D0E0E"/>
        </w:rPr>
        <w:t>PMI</w:t>
      </w:r>
      <w:r>
        <w:rPr>
          <w:color w:val="0D0E0E"/>
          <w:spacing w:val="-1"/>
        </w:rPr>
        <w:t> </w:t>
      </w:r>
      <w:r>
        <w:rPr>
          <w:color w:val="0D0E0E"/>
        </w:rPr>
        <w:t>Serviços</w:t>
      </w:r>
      <w:r>
        <w:rPr>
          <w:color w:val="0D0E0E"/>
          <w:spacing w:val="-2"/>
        </w:rPr>
        <w:t> </w:t>
      </w:r>
      <w:r>
        <w:rPr>
          <w:color w:val="0D0E0E"/>
        </w:rPr>
        <w:t>-</w:t>
      </w:r>
      <w:r>
        <w:rPr>
          <w:color w:val="0D0E0E"/>
          <w:spacing w:val="-2"/>
        </w:rPr>
        <w:t> </w:t>
      </w:r>
      <w:r>
        <w:rPr>
          <w:color w:val="0D0E0E"/>
        </w:rPr>
        <w:t>Estados </w:t>
      </w:r>
      <w:r>
        <w:rPr>
          <w:color w:val="0D0E0E"/>
          <w:spacing w:val="-2"/>
        </w:rPr>
        <w:t>Unidos:</w:t>
      </w:r>
    </w:p>
    <w:p>
      <w:pPr>
        <w:pStyle w:val="BodyText"/>
        <w:spacing w:before="45"/>
        <w:rPr>
          <w:sz w:val="20"/>
        </w:rPr>
      </w:pPr>
      <w:r>
        <w:rPr>
          <w:sz w:val="20"/>
        </w:rPr>
        <w:drawing>
          <wp:anchor distT="0" distB="0" distL="0" distR="0" allowOverlap="1" layoutInCell="1" locked="0" behindDoc="1" simplePos="0" relativeHeight="487592960">
            <wp:simplePos x="0" y="0"/>
            <wp:positionH relativeFrom="page">
              <wp:posOffset>1578355</wp:posOffset>
            </wp:positionH>
            <wp:positionV relativeFrom="paragraph">
              <wp:posOffset>198943</wp:posOffset>
            </wp:positionV>
            <wp:extent cx="4968240" cy="2346960"/>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5" cstate="print"/>
                    <a:stretch>
                      <a:fillRect/>
                    </a:stretch>
                  </pic:blipFill>
                  <pic:spPr>
                    <a:xfrm>
                      <a:off x="0" y="0"/>
                      <a:ext cx="4968240" cy="2346960"/>
                    </a:xfrm>
                    <a:prstGeom prst="rect">
                      <a:avLst/>
                    </a:prstGeom>
                  </pic:spPr>
                </pic:pic>
              </a:graphicData>
            </a:graphic>
          </wp:anchor>
        </w:drawing>
      </w:r>
    </w:p>
    <w:p>
      <w:pPr>
        <w:pStyle w:val="BodyText"/>
        <w:spacing w:before="20"/>
      </w:pPr>
    </w:p>
    <w:p>
      <w:pPr>
        <w:spacing w:before="1"/>
        <w:ind w:left="750" w:right="0" w:firstLine="0"/>
        <w:jc w:val="left"/>
        <w:rPr>
          <w:i/>
          <w:sz w:val="20"/>
        </w:rPr>
      </w:pPr>
      <w:r>
        <w:rPr>
          <w:i/>
          <w:color w:val="0D0E0E"/>
          <w:spacing w:val="-2"/>
          <w:sz w:val="20"/>
        </w:rPr>
        <w:t>Fonte:</w:t>
      </w:r>
      <w:r>
        <w:rPr>
          <w:i/>
          <w:color w:val="0D0E0E"/>
          <w:spacing w:val="56"/>
          <w:sz w:val="20"/>
        </w:rPr>
        <w:t> </w:t>
      </w:r>
      <w:r>
        <w:rPr>
          <w:i/>
          <w:color w:val="0D0E0E"/>
          <w:spacing w:val="-2"/>
          <w:sz w:val="20"/>
        </w:rPr>
        <w:t>https://tradingeconomics.com/united-states/services-</w:t>
      </w:r>
      <w:r>
        <w:rPr>
          <w:i/>
          <w:color w:val="0D0E0E"/>
          <w:spacing w:val="-5"/>
          <w:sz w:val="20"/>
        </w:rPr>
        <w:t>pmi</w:t>
      </w:r>
    </w:p>
    <w:p>
      <w:pPr>
        <w:pStyle w:val="BodyText"/>
        <w:spacing w:before="238"/>
        <w:ind w:left="42" w:right="1263" w:firstLine="707"/>
        <w:jc w:val="both"/>
      </w:pPr>
      <w:r>
        <w:rPr>
          <w:color w:val="0D0E0E"/>
        </w:rPr>
        <w:t>Já o PMI industrial em setembro, apresentou uma leve recuperação em relação ao mês anterior, se aproximando da pontuação neutra, atingindo 49,80 pontos. O dado de agosto era de 47,90 pontos.</w:t>
      </w:r>
    </w:p>
    <w:p>
      <w:pPr>
        <w:pStyle w:val="BodyText"/>
        <w:spacing w:before="240"/>
        <w:ind w:left="706" w:right="1211"/>
        <w:jc w:val="center"/>
      </w:pPr>
      <w:r>
        <w:rPr>
          <w:color w:val="0D0E0E"/>
        </w:rPr>
        <w:t>PMI</w:t>
      </w:r>
      <w:r>
        <w:rPr>
          <w:color w:val="0D0E0E"/>
          <w:spacing w:val="-5"/>
        </w:rPr>
        <w:t> </w:t>
      </w:r>
      <w:r>
        <w:rPr>
          <w:color w:val="0D0E0E"/>
        </w:rPr>
        <w:t>Manufatura</w:t>
      </w:r>
      <w:r>
        <w:rPr>
          <w:color w:val="0D0E0E"/>
          <w:spacing w:val="-4"/>
        </w:rPr>
        <w:t> </w:t>
      </w:r>
      <w:r>
        <w:rPr>
          <w:color w:val="0D0E0E"/>
        </w:rPr>
        <w:t>–</w:t>
      </w:r>
      <w:r>
        <w:rPr>
          <w:color w:val="0D0E0E"/>
          <w:spacing w:val="-2"/>
        </w:rPr>
        <w:t> </w:t>
      </w:r>
      <w:r>
        <w:rPr>
          <w:color w:val="0D0E0E"/>
        </w:rPr>
        <w:t>Estados</w:t>
      </w:r>
      <w:r>
        <w:rPr>
          <w:color w:val="0D0E0E"/>
          <w:spacing w:val="-1"/>
        </w:rPr>
        <w:t> </w:t>
      </w:r>
      <w:r>
        <w:rPr>
          <w:color w:val="0D0E0E"/>
          <w:spacing w:val="-2"/>
        </w:rPr>
        <w:t>Unidos:</w:t>
      </w:r>
    </w:p>
    <w:p>
      <w:pPr>
        <w:pStyle w:val="BodyText"/>
        <w:rPr>
          <w:sz w:val="13"/>
        </w:rPr>
      </w:pPr>
      <w:r>
        <w:rPr>
          <w:sz w:val="13"/>
        </w:rPr>
        <w:drawing>
          <wp:anchor distT="0" distB="0" distL="0" distR="0" allowOverlap="1" layoutInCell="1" locked="0" behindDoc="1" simplePos="0" relativeHeight="487593472">
            <wp:simplePos x="0" y="0"/>
            <wp:positionH relativeFrom="page">
              <wp:posOffset>1356360</wp:posOffset>
            </wp:positionH>
            <wp:positionV relativeFrom="paragraph">
              <wp:posOffset>116214</wp:posOffset>
            </wp:positionV>
            <wp:extent cx="5013960" cy="2346960"/>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6" cstate="print"/>
                    <a:stretch>
                      <a:fillRect/>
                    </a:stretch>
                  </pic:blipFill>
                  <pic:spPr>
                    <a:xfrm>
                      <a:off x="0" y="0"/>
                      <a:ext cx="5013960" cy="2346960"/>
                    </a:xfrm>
                    <a:prstGeom prst="rect">
                      <a:avLst/>
                    </a:prstGeom>
                  </pic:spPr>
                </pic:pic>
              </a:graphicData>
            </a:graphic>
          </wp:anchor>
        </w:drawing>
      </w:r>
    </w:p>
    <w:p>
      <w:pPr>
        <w:spacing w:before="76"/>
        <w:ind w:left="750" w:right="0" w:firstLine="0"/>
        <w:jc w:val="left"/>
        <w:rPr>
          <w:i/>
          <w:sz w:val="20"/>
        </w:rPr>
      </w:pPr>
      <w:r>
        <w:rPr>
          <w:i/>
          <w:color w:val="0D0E0E"/>
          <w:spacing w:val="-2"/>
          <w:sz w:val="20"/>
        </w:rPr>
        <w:t>Fonte:</w:t>
      </w:r>
      <w:r>
        <w:rPr>
          <w:i/>
          <w:color w:val="0D0E0E"/>
          <w:spacing w:val="59"/>
          <w:sz w:val="20"/>
        </w:rPr>
        <w:t> </w:t>
      </w:r>
      <w:r>
        <w:rPr>
          <w:i/>
          <w:color w:val="0D0E0E"/>
          <w:spacing w:val="-2"/>
          <w:sz w:val="20"/>
        </w:rPr>
        <w:t>https://tradingeconomics.com/united-states/manufacturing-</w:t>
      </w:r>
      <w:r>
        <w:rPr>
          <w:i/>
          <w:color w:val="0D0E0E"/>
          <w:spacing w:val="-5"/>
          <w:sz w:val="20"/>
        </w:rPr>
        <w:t>pmi</w:t>
      </w:r>
    </w:p>
    <w:p>
      <w:pPr>
        <w:pStyle w:val="BodyText"/>
        <w:spacing w:before="236"/>
        <w:ind w:left="42" w:right="1261" w:firstLine="707"/>
        <w:jc w:val="both"/>
      </w:pPr>
      <w:r>
        <w:rPr>
          <w:color w:val="0D0E0E"/>
        </w:rPr>
        <w:t>Por</w:t>
      </w:r>
      <w:r>
        <w:rPr>
          <w:color w:val="0D0E0E"/>
          <w:spacing w:val="-2"/>
        </w:rPr>
        <w:t> </w:t>
      </w:r>
      <w:r>
        <w:rPr>
          <w:color w:val="0D0E0E"/>
        </w:rPr>
        <w:t>fim,</w:t>
      </w:r>
      <w:r>
        <w:rPr>
          <w:color w:val="0D0E0E"/>
          <w:spacing w:val="-2"/>
        </w:rPr>
        <w:t> </w:t>
      </w:r>
      <w:r>
        <w:rPr>
          <w:color w:val="0D0E0E"/>
        </w:rPr>
        <w:t>o</w:t>
      </w:r>
      <w:r>
        <w:rPr>
          <w:color w:val="0D0E0E"/>
          <w:spacing w:val="-2"/>
        </w:rPr>
        <w:t> </w:t>
      </w:r>
      <w:r>
        <w:rPr>
          <w:color w:val="0D0E0E"/>
        </w:rPr>
        <w:t>índice</w:t>
      </w:r>
      <w:r>
        <w:rPr>
          <w:color w:val="0D0E0E"/>
          <w:spacing w:val="-2"/>
        </w:rPr>
        <w:t> </w:t>
      </w:r>
      <w:r>
        <w:rPr>
          <w:color w:val="0D0E0E"/>
        </w:rPr>
        <w:t>composto</w:t>
      </w:r>
      <w:r>
        <w:rPr>
          <w:color w:val="0D0E0E"/>
          <w:spacing w:val="-2"/>
        </w:rPr>
        <w:t> </w:t>
      </w:r>
      <w:r>
        <w:rPr>
          <w:color w:val="0D0E0E"/>
        </w:rPr>
        <w:t>ficou muito</w:t>
      </w:r>
      <w:r>
        <w:rPr>
          <w:color w:val="0D0E0E"/>
          <w:spacing w:val="-2"/>
        </w:rPr>
        <w:t> </w:t>
      </w:r>
      <w:r>
        <w:rPr>
          <w:color w:val="0D0E0E"/>
        </w:rPr>
        <w:t>próximo</w:t>
      </w:r>
      <w:r>
        <w:rPr>
          <w:color w:val="0D0E0E"/>
          <w:spacing w:val="-2"/>
        </w:rPr>
        <w:t> </w:t>
      </w:r>
      <w:r>
        <w:rPr>
          <w:color w:val="0D0E0E"/>
        </w:rPr>
        <w:t>do</w:t>
      </w:r>
      <w:r>
        <w:rPr>
          <w:color w:val="0D0E0E"/>
          <w:spacing w:val="-2"/>
        </w:rPr>
        <w:t> </w:t>
      </w:r>
      <w:r>
        <w:rPr>
          <w:color w:val="0D0E0E"/>
        </w:rPr>
        <w:t>neutro,</w:t>
      </w:r>
      <w:r>
        <w:rPr>
          <w:color w:val="0D0E0E"/>
          <w:spacing w:val="-3"/>
        </w:rPr>
        <w:t> </w:t>
      </w:r>
      <w:r>
        <w:rPr>
          <w:color w:val="0D0E0E"/>
        </w:rPr>
        <w:t>replicando</w:t>
      </w:r>
      <w:r>
        <w:rPr>
          <w:color w:val="0D0E0E"/>
          <w:spacing w:val="-2"/>
        </w:rPr>
        <w:t> </w:t>
      </w:r>
      <w:r>
        <w:rPr>
          <w:color w:val="0D0E0E"/>
        </w:rPr>
        <w:t>a</w:t>
      </w:r>
      <w:r>
        <w:rPr>
          <w:color w:val="0D0E0E"/>
          <w:spacing w:val="-3"/>
        </w:rPr>
        <w:t> </w:t>
      </w:r>
      <w:r>
        <w:rPr>
          <w:color w:val="0D0E0E"/>
        </w:rPr>
        <w:t>medição</w:t>
      </w:r>
      <w:r>
        <w:rPr>
          <w:color w:val="0D0E0E"/>
          <w:spacing w:val="-2"/>
        </w:rPr>
        <w:t> </w:t>
      </w:r>
      <w:r>
        <w:rPr>
          <w:color w:val="0D0E0E"/>
        </w:rPr>
        <w:t>de agosto em 50,20.</w:t>
      </w:r>
    </w:p>
    <w:p>
      <w:pPr>
        <w:pStyle w:val="BodyText"/>
        <w:spacing w:after="0"/>
        <w:jc w:val="both"/>
        <w:sectPr>
          <w:pgSz w:w="11920" w:h="16850"/>
          <w:pgMar w:top="1340" w:bottom="280" w:left="1559" w:right="141"/>
        </w:sectPr>
      </w:pPr>
    </w:p>
    <w:p>
      <w:pPr>
        <w:pStyle w:val="BodyText"/>
        <w:spacing w:before="39"/>
        <w:ind w:left="705" w:right="1211"/>
        <w:jc w:val="center"/>
      </w:pPr>
      <w:r>
        <w:rPr>
          <w:color w:val="0D0E0E"/>
        </w:rPr>
        <w:t>PMI</w:t>
      </w:r>
      <w:r>
        <w:rPr>
          <w:color w:val="0D0E0E"/>
          <w:spacing w:val="-1"/>
        </w:rPr>
        <w:t> </w:t>
      </w:r>
      <w:r>
        <w:rPr>
          <w:color w:val="0D0E0E"/>
        </w:rPr>
        <w:t>Composto</w:t>
      </w:r>
      <w:r>
        <w:rPr>
          <w:color w:val="0D0E0E"/>
          <w:spacing w:val="-1"/>
        </w:rPr>
        <w:t> </w:t>
      </w:r>
      <w:r>
        <w:rPr>
          <w:color w:val="0D0E0E"/>
        </w:rPr>
        <w:t>–</w:t>
      </w:r>
      <w:r>
        <w:rPr>
          <w:color w:val="0D0E0E"/>
          <w:spacing w:val="-2"/>
        </w:rPr>
        <w:t> </w:t>
      </w:r>
      <w:r>
        <w:rPr>
          <w:color w:val="0D0E0E"/>
        </w:rPr>
        <w:t>Estados</w:t>
      </w:r>
      <w:r>
        <w:rPr>
          <w:color w:val="0D0E0E"/>
          <w:spacing w:val="-2"/>
        </w:rPr>
        <w:t> Unidos:</w:t>
      </w:r>
    </w:p>
    <w:p>
      <w:pPr>
        <w:pStyle w:val="BodyText"/>
        <w:spacing w:before="44"/>
        <w:rPr>
          <w:sz w:val="20"/>
        </w:rPr>
      </w:pPr>
      <w:r>
        <w:rPr>
          <w:sz w:val="20"/>
        </w:rPr>
        <w:drawing>
          <wp:anchor distT="0" distB="0" distL="0" distR="0" allowOverlap="1" layoutInCell="1" locked="0" behindDoc="1" simplePos="0" relativeHeight="487593984">
            <wp:simplePos x="0" y="0"/>
            <wp:positionH relativeFrom="page">
              <wp:posOffset>1564894</wp:posOffset>
            </wp:positionH>
            <wp:positionV relativeFrom="paragraph">
              <wp:posOffset>198640</wp:posOffset>
            </wp:positionV>
            <wp:extent cx="4969016" cy="2346960"/>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7" cstate="print"/>
                    <a:stretch>
                      <a:fillRect/>
                    </a:stretch>
                  </pic:blipFill>
                  <pic:spPr>
                    <a:xfrm>
                      <a:off x="0" y="0"/>
                      <a:ext cx="4969016" cy="2346960"/>
                    </a:xfrm>
                    <a:prstGeom prst="rect">
                      <a:avLst/>
                    </a:prstGeom>
                  </pic:spPr>
                </pic:pic>
              </a:graphicData>
            </a:graphic>
          </wp:anchor>
        </w:drawing>
      </w:r>
    </w:p>
    <w:p>
      <w:pPr>
        <w:pStyle w:val="BodyText"/>
        <w:spacing w:before="21"/>
      </w:pPr>
    </w:p>
    <w:p>
      <w:pPr>
        <w:spacing w:before="0"/>
        <w:ind w:left="750" w:right="0" w:firstLine="0"/>
        <w:jc w:val="left"/>
        <w:rPr>
          <w:i/>
          <w:sz w:val="20"/>
        </w:rPr>
      </w:pPr>
      <w:r>
        <w:rPr>
          <w:i/>
          <w:color w:val="0D0E0E"/>
          <w:spacing w:val="-2"/>
          <w:sz w:val="20"/>
        </w:rPr>
        <w:t>Fonte:</w:t>
      </w:r>
      <w:r>
        <w:rPr>
          <w:i/>
          <w:color w:val="0D0E0E"/>
          <w:spacing w:val="61"/>
          <w:sz w:val="20"/>
        </w:rPr>
        <w:t> </w:t>
      </w:r>
      <w:r>
        <w:rPr>
          <w:i/>
          <w:color w:val="0D0E0E"/>
          <w:spacing w:val="-2"/>
          <w:sz w:val="20"/>
        </w:rPr>
        <w:t>https://tradingeconomics.com/united-states/composite-</w:t>
      </w:r>
      <w:r>
        <w:rPr>
          <w:i/>
          <w:color w:val="0D0E0E"/>
          <w:spacing w:val="-5"/>
          <w:sz w:val="20"/>
        </w:rPr>
        <w:t>pmi</w:t>
      </w:r>
    </w:p>
    <w:p>
      <w:pPr>
        <w:pStyle w:val="BodyText"/>
        <w:spacing w:before="236"/>
        <w:ind w:left="42" w:right="1256" w:firstLine="707"/>
        <w:jc w:val="both"/>
      </w:pPr>
      <w:r>
        <w:rPr>
          <w:color w:val="0D0E0E"/>
        </w:rPr>
        <w:t>Falando</w:t>
      </w:r>
      <w:r>
        <w:rPr>
          <w:color w:val="0D0E0E"/>
          <w:spacing w:val="-2"/>
        </w:rPr>
        <w:t> </w:t>
      </w:r>
      <w:r>
        <w:rPr>
          <w:color w:val="0D0E0E"/>
        </w:rPr>
        <w:t>sobre</w:t>
      </w:r>
      <w:r>
        <w:rPr>
          <w:color w:val="0D0E0E"/>
          <w:spacing w:val="-2"/>
        </w:rPr>
        <w:t> </w:t>
      </w:r>
      <w:r>
        <w:rPr>
          <w:color w:val="0D0E0E"/>
        </w:rPr>
        <w:t>o</w:t>
      </w:r>
      <w:r>
        <w:rPr>
          <w:color w:val="0D0E0E"/>
          <w:spacing w:val="-2"/>
        </w:rPr>
        <w:t> </w:t>
      </w:r>
      <w:r>
        <w:rPr>
          <w:color w:val="0D0E0E"/>
        </w:rPr>
        <w:t>mercado acionário, o</w:t>
      </w:r>
      <w:r>
        <w:rPr>
          <w:color w:val="0D0E0E"/>
          <w:spacing w:val="-2"/>
        </w:rPr>
        <w:t> </w:t>
      </w:r>
      <w:r>
        <w:rPr>
          <w:color w:val="0D0E0E"/>
        </w:rPr>
        <w:t>temor</w:t>
      </w:r>
      <w:r>
        <w:rPr>
          <w:color w:val="0D0E0E"/>
          <w:spacing w:val="-2"/>
        </w:rPr>
        <w:t> </w:t>
      </w:r>
      <w:r>
        <w:rPr>
          <w:color w:val="0D0E0E"/>
        </w:rPr>
        <w:t>sob</w:t>
      </w:r>
      <w:r>
        <w:rPr>
          <w:color w:val="0D0E0E"/>
          <w:spacing w:val="-2"/>
        </w:rPr>
        <w:t> </w:t>
      </w:r>
      <w:r>
        <w:rPr>
          <w:color w:val="0D0E0E"/>
        </w:rPr>
        <w:t>as incertezas</w:t>
      </w:r>
      <w:r>
        <w:rPr>
          <w:color w:val="0D0E0E"/>
          <w:spacing w:val="-2"/>
        </w:rPr>
        <w:t> </w:t>
      </w:r>
      <w:r>
        <w:rPr>
          <w:color w:val="0D0E0E"/>
        </w:rPr>
        <w:t>do</w:t>
      </w:r>
      <w:r>
        <w:rPr>
          <w:color w:val="0D0E0E"/>
          <w:spacing w:val="-2"/>
        </w:rPr>
        <w:t> </w:t>
      </w:r>
      <w:r>
        <w:rPr>
          <w:color w:val="0D0E0E"/>
        </w:rPr>
        <w:t>rumo</w:t>
      </w:r>
      <w:r>
        <w:rPr>
          <w:color w:val="0D0E0E"/>
          <w:spacing w:val="-2"/>
        </w:rPr>
        <w:t> </w:t>
      </w:r>
      <w:r>
        <w:rPr>
          <w:color w:val="0D0E0E"/>
        </w:rPr>
        <w:t>monetário</w:t>
      </w:r>
      <w:r>
        <w:rPr>
          <w:color w:val="0D0E0E"/>
          <w:spacing w:val="-2"/>
        </w:rPr>
        <w:t> </w:t>
      </w:r>
      <w:r>
        <w:rPr>
          <w:color w:val="0D0E0E"/>
        </w:rPr>
        <w:t>e fiscal,</w:t>
      </w:r>
      <w:r>
        <w:rPr>
          <w:color w:val="0D0E0E"/>
          <w:spacing w:val="-6"/>
        </w:rPr>
        <w:t> </w:t>
      </w:r>
      <w:r>
        <w:rPr>
          <w:color w:val="0D0E0E"/>
        </w:rPr>
        <w:t>e</w:t>
      </w:r>
      <w:r>
        <w:rPr>
          <w:color w:val="0D0E0E"/>
          <w:spacing w:val="-6"/>
        </w:rPr>
        <w:t> </w:t>
      </w:r>
      <w:r>
        <w:rPr>
          <w:color w:val="0D0E0E"/>
        </w:rPr>
        <w:t>a</w:t>
      </w:r>
      <w:r>
        <w:rPr>
          <w:color w:val="0D0E0E"/>
          <w:spacing w:val="-9"/>
        </w:rPr>
        <w:t> </w:t>
      </w:r>
      <w:r>
        <w:rPr>
          <w:color w:val="0D0E0E"/>
        </w:rPr>
        <w:t>pressão</w:t>
      </w:r>
      <w:r>
        <w:rPr>
          <w:color w:val="0D0E0E"/>
          <w:spacing w:val="-6"/>
        </w:rPr>
        <w:t> </w:t>
      </w:r>
      <w:r>
        <w:rPr>
          <w:color w:val="0D0E0E"/>
        </w:rPr>
        <w:t>sob</w:t>
      </w:r>
      <w:r>
        <w:rPr>
          <w:color w:val="0D0E0E"/>
          <w:spacing w:val="-5"/>
        </w:rPr>
        <w:t> </w:t>
      </w:r>
      <w:r>
        <w:rPr>
          <w:color w:val="0D0E0E"/>
        </w:rPr>
        <w:t>a</w:t>
      </w:r>
      <w:r>
        <w:rPr>
          <w:color w:val="0D0E0E"/>
          <w:spacing w:val="-6"/>
        </w:rPr>
        <w:t> </w:t>
      </w:r>
      <w:r>
        <w:rPr>
          <w:color w:val="0D0E0E"/>
        </w:rPr>
        <w:t>curva</w:t>
      </w:r>
      <w:r>
        <w:rPr>
          <w:color w:val="0D0E0E"/>
          <w:spacing w:val="-6"/>
        </w:rPr>
        <w:t> </w:t>
      </w:r>
      <w:r>
        <w:rPr>
          <w:color w:val="0D0E0E"/>
        </w:rPr>
        <w:t>de</w:t>
      </w:r>
      <w:r>
        <w:rPr>
          <w:color w:val="0D0E0E"/>
          <w:spacing w:val="-8"/>
        </w:rPr>
        <w:t> </w:t>
      </w:r>
      <w:r>
        <w:rPr>
          <w:color w:val="0D0E0E"/>
        </w:rPr>
        <w:t>juros</w:t>
      </w:r>
      <w:r>
        <w:rPr>
          <w:color w:val="0D0E0E"/>
          <w:spacing w:val="-9"/>
        </w:rPr>
        <w:t> </w:t>
      </w:r>
      <w:r>
        <w:rPr>
          <w:color w:val="0D0E0E"/>
        </w:rPr>
        <w:t>tragaram</w:t>
      </w:r>
      <w:r>
        <w:rPr>
          <w:color w:val="0D0E0E"/>
          <w:spacing w:val="-6"/>
        </w:rPr>
        <w:t> </w:t>
      </w:r>
      <w:r>
        <w:rPr>
          <w:color w:val="0D0E0E"/>
        </w:rPr>
        <w:t>as</w:t>
      </w:r>
      <w:r>
        <w:rPr>
          <w:color w:val="0D0E0E"/>
          <w:spacing w:val="-7"/>
        </w:rPr>
        <w:t> </w:t>
      </w:r>
      <w:r>
        <w:rPr>
          <w:color w:val="0D0E0E"/>
        </w:rPr>
        <w:t>bolsas</w:t>
      </w:r>
      <w:r>
        <w:rPr>
          <w:color w:val="0D0E0E"/>
          <w:spacing w:val="-7"/>
        </w:rPr>
        <w:t> </w:t>
      </w:r>
      <w:r>
        <w:rPr>
          <w:color w:val="0D0E0E"/>
        </w:rPr>
        <w:t>do</w:t>
      </w:r>
      <w:r>
        <w:rPr>
          <w:color w:val="0D0E0E"/>
          <w:spacing w:val="-6"/>
        </w:rPr>
        <w:t> </w:t>
      </w:r>
      <w:r>
        <w:rPr>
          <w:color w:val="0D0E0E"/>
        </w:rPr>
        <w:t>mercado</w:t>
      </w:r>
      <w:r>
        <w:rPr>
          <w:color w:val="0D0E0E"/>
          <w:spacing w:val="-6"/>
        </w:rPr>
        <w:t> </w:t>
      </w:r>
      <w:r>
        <w:rPr>
          <w:color w:val="0D0E0E"/>
        </w:rPr>
        <w:t>americano</w:t>
      </w:r>
      <w:r>
        <w:rPr>
          <w:color w:val="0D0E0E"/>
          <w:spacing w:val="-6"/>
        </w:rPr>
        <w:t> </w:t>
      </w:r>
      <w:r>
        <w:rPr>
          <w:color w:val="0D0E0E"/>
        </w:rPr>
        <w:t>para</w:t>
      </w:r>
      <w:r>
        <w:rPr>
          <w:color w:val="0D0E0E"/>
          <w:spacing w:val="-6"/>
        </w:rPr>
        <w:t> </w:t>
      </w:r>
      <w:r>
        <w:rPr>
          <w:color w:val="0D0E0E"/>
        </w:rPr>
        <w:t>baixo em</w:t>
      </w:r>
      <w:r>
        <w:rPr>
          <w:color w:val="0D0E0E"/>
          <w:spacing w:val="-10"/>
        </w:rPr>
        <w:t> </w:t>
      </w:r>
      <w:r>
        <w:rPr>
          <w:color w:val="0D0E0E"/>
        </w:rPr>
        <w:t>setembro.</w:t>
      </w:r>
      <w:r>
        <w:rPr>
          <w:color w:val="0D0E0E"/>
          <w:spacing w:val="-11"/>
        </w:rPr>
        <w:t> </w:t>
      </w:r>
      <w:r>
        <w:rPr>
          <w:color w:val="0D0E0E"/>
        </w:rPr>
        <w:t>O</w:t>
      </w:r>
      <w:r>
        <w:rPr>
          <w:color w:val="0D0E0E"/>
          <w:spacing w:val="-12"/>
        </w:rPr>
        <w:t> </w:t>
      </w:r>
      <w:r>
        <w:rPr>
          <w:color w:val="0D0E0E"/>
        </w:rPr>
        <w:t>índice</w:t>
      </w:r>
      <w:r>
        <w:rPr>
          <w:color w:val="0D0E0E"/>
          <w:spacing w:val="-13"/>
        </w:rPr>
        <w:t> </w:t>
      </w:r>
      <w:r>
        <w:rPr>
          <w:color w:val="0D0E0E"/>
        </w:rPr>
        <w:t>S&amp;P</w:t>
      </w:r>
      <w:r>
        <w:rPr>
          <w:color w:val="0D0E0E"/>
          <w:spacing w:val="-11"/>
        </w:rPr>
        <w:t> </w:t>
      </w:r>
      <w:r>
        <w:rPr>
          <w:color w:val="0D0E0E"/>
        </w:rPr>
        <w:t>500</w:t>
      </w:r>
      <w:r>
        <w:rPr>
          <w:color w:val="0D0E0E"/>
          <w:spacing w:val="-13"/>
        </w:rPr>
        <w:t> </w:t>
      </w:r>
      <w:r>
        <w:rPr>
          <w:color w:val="0D0E0E"/>
        </w:rPr>
        <w:t>fechou</w:t>
      </w:r>
      <w:r>
        <w:rPr>
          <w:color w:val="0D0E0E"/>
          <w:spacing w:val="-10"/>
        </w:rPr>
        <w:t> </w:t>
      </w:r>
      <w:r>
        <w:rPr>
          <w:color w:val="0D0E0E"/>
        </w:rPr>
        <w:t>o</w:t>
      </w:r>
      <w:r>
        <w:rPr>
          <w:color w:val="0D0E0E"/>
          <w:spacing w:val="-13"/>
        </w:rPr>
        <w:t> </w:t>
      </w:r>
      <w:r>
        <w:rPr>
          <w:color w:val="0D0E0E"/>
        </w:rPr>
        <w:t>mês</w:t>
      </w:r>
      <w:r>
        <w:rPr>
          <w:color w:val="0D0E0E"/>
          <w:spacing w:val="-13"/>
        </w:rPr>
        <w:t> </w:t>
      </w:r>
      <w:r>
        <w:rPr>
          <w:color w:val="0D0E0E"/>
        </w:rPr>
        <w:t>com</w:t>
      </w:r>
      <w:r>
        <w:rPr>
          <w:color w:val="0D0E0E"/>
          <w:spacing w:val="-11"/>
        </w:rPr>
        <w:t> </w:t>
      </w:r>
      <w:r>
        <w:rPr>
          <w:color w:val="0D0E0E"/>
        </w:rPr>
        <w:t>queda</w:t>
      </w:r>
      <w:r>
        <w:rPr>
          <w:color w:val="0D0E0E"/>
          <w:spacing w:val="-10"/>
        </w:rPr>
        <w:t> </w:t>
      </w:r>
      <w:r>
        <w:rPr>
          <w:color w:val="0D0E0E"/>
        </w:rPr>
        <w:t>em</w:t>
      </w:r>
      <w:r>
        <w:rPr>
          <w:color w:val="0D0E0E"/>
          <w:spacing w:val="-13"/>
        </w:rPr>
        <w:t> </w:t>
      </w:r>
      <w:r>
        <w:rPr>
          <w:color w:val="0D0E0E"/>
        </w:rPr>
        <w:t>torno</w:t>
      </w:r>
      <w:r>
        <w:rPr>
          <w:color w:val="0D0E0E"/>
          <w:spacing w:val="-13"/>
        </w:rPr>
        <w:t> </w:t>
      </w:r>
      <w:r>
        <w:rPr>
          <w:color w:val="0D0E0E"/>
        </w:rPr>
        <w:t>dos</w:t>
      </w:r>
      <w:r>
        <w:rPr>
          <w:color w:val="0D0E0E"/>
          <w:spacing w:val="-10"/>
        </w:rPr>
        <w:t> </w:t>
      </w:r>
      <w:r>
        <w:rPr>
          <w:color w:val="0D0E0E"/>
        </w:rPr>
        <w:t>-5%.</w:t>
      </w:r>
      <w:r>
        <w:rPr>
          <w:color w:val="0D0E0E"/>
          <w:spacing w:val="-12"/>
        </w:rPr>
        <w:t> </w:t>
      </w:r>
      <w:r>
        <w:rPr>
          <w:color w:val="0D0E0E"/>
        </w:rPr>
        <w:t>O</w:t>
      </w:r>
      <w:r>
        <w:rPr>
          <w:color w:val="0D0E0E"/>
          <w:spacing w:val="-12"/>
        </w:rPr>
        <w:t> </w:t>
      </w:r>
      <w:r>
        <w:rPr>
          <w:color w:val="0D0E0E"/>
        </w:rPr>
        <w:t>índice</w:t>
      </w:r>
      <w:r>
        <w:rPr>
          <w:color w:val="0D0E0E"/>
          <w:spacing w:val="-13"/>
        </w:rPr>
        <w:t> </w:t>
      </w:r>
      <w:r>
        <w:rPr>
          <w:color w:val="0D0E0E"/>
        </w:rPr>
        <w:t>Nasdaq seguiu o mesmo ritmo, com queda próxima aos -6% no mês.</w:t>
      </w:r>
    </w:p>
    <w:p>
      <w:pPr>
        <w:pStyle w:val="BodyText"/>
        <w:spacing w:before="242"/>
        <w:ind w:left="705" w:right="1211"/>
        <w:jc w:val="center"/>
      </w:pPr>
      <w:r>
        <w:rPr>
          <w:color w:val="0D0E0E"/>
        </w:rPr>
        <w:t>Índice</w:t>
      </w:r>
      <w:r>
        <w:rPr>
          <w:color w:val="0D0E0E"/>
          <w:spacing w:val="-3"/>
        </w:rPr>
        <w:t> </w:t>
      </w:r>
      <w:r>
        <w:rPr>
          <w:color w:val="0D0E0E"/>
        </w:rPr>
        <w:t>S&amp;P</w:t>
      </w:r>
      <w:r>
        <w:rPr>
          <w:color w:val="0D0E0E"/>
          <w:spacing w:val="-2"/>
        </w:rPr>
        <w:t> </w:t>
      </w:r>
      <w:r>
        <w:rPr>
          <w:color w:val="0D0E0E"/>
          <w:spacing w:val="-4"/>
        </w:rPr>
        <w:t>500:</w:t>
      </w:r>
    </w:p>
    <w:p>
      <w:pPr>
        <w:pStyle w:val="BodyText"/>
        <w:spacing w:before="110"/>
        <w:rPr>
          <w:sz w:val="20"/>
        </w:rPr>
      </w:pPr>
      <w:r>
        <w:rPr>
          <w:sz w:val="20"/>
        </w:rPr>
        <w:drawing>
          <wp:anchor distT="0" distB="0" distL="0" distR="0" allowOverlap="1" layoutInCell="1" locked="0" behindDoc="1" simplePos="0" relativeHeight="487594496">
            <wp:simplePos x="0" y="0"/>
            <wp:positionH relativeFrom="page">
              <wp:posOffset>1089660</wp:posOffset>
            </wp:positionH>
            <wp:positionV relativeFrom="paragraph">
              <wp:posOffset>240320</wp:posOffset>
            </wp:positionV>
            <wp:extent cx="5640317" cy="2195988"/>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8" cstate="print"/>
                    <a:stretch>
                      <a:fillRect/>
                    </a:stretch>
                  </pic:blipFill>
                  <pic:spPr>
                    <a:xfrm>
                      <a:off x="0" y="0"/>
                      <a:ext cx="5640317" cy="2195988"/>
                    </a:xfrm>
                    <a:prstGeom prst="rect">
                      <a:avLst/>
                    </a:prstGeom>
                  </pic:spPr>
                </pic:pic>
              </a:graphicData>
            </a:graphic>
          </wp:anchor>
        </w:drawing>
      </w:r>
    </w:p>
    <w:p>
      <w:pPr>
        <w:spacing w:before="25"/>
        <w:ind w:left="750" w:right="0" w:firstLine="0"/>
        <w:jc w:val="left"/>
        <w:rPr>
          <w:i/>
          <w:sz w:val="20"/>
        </w:rPr>
      </w:pPr>
      <w:r>
        <w:rPr>
          <w:i/>
          <w:color w:val="0D0E0E"/>
          <w:sz w:val="20"/>
        </w:rPr>
        <w:t>fonte:</w:t>
      </w:r>
      <w:r>
        <w:rPr>
          <w:i/>
          <w:color w:val="0D0E0E"/>
          <w:spacing w:val="-6"/>
          <w:sz w:val="20"/>
        </w:rPr>
        <w:t> </w:t>
      </w:r>
      <w:r>
        <w:rPr>
          <w:i/>
          <w:color w:val="0D0E0E"/>
          <w:spacing w:val="-2"/>
          <w:sz w:val="20"/>
        </w:rPr>
        <w:t>https://tradingeconomics.com/spx:ind</w:t>
      </w:r>
    </w:p>
    <w:p>
      <w:pPr>
        <w:spacing w:after="0"/>
        <w:jc w:val="left"/>
        <w:rPr>
          <w:i/>
          <w:sz w:val="20"/>
        </w:rPr>
        <w:sectPr>
          <w:pgSz w:w="11920" w:h="16850"/>
          <w:pgMar w:top="1320" w:bottom="280" w:left="1559" w:right="141"/>
        </w:sectPr>
      </w:pPr>
    </w:p>
    <w:p>
      <w:pPr>
        <w:pStyle w:val="Heading1"/>
      </w:pPr>
      <w:r>
        <w:rPr/>
        <w:t>Zona</w:t>
      </w:r>
      <w:r>
        <w:rPr>
          <w:spacing w:val="-2"/>
        </w:rPr>
        <w:t> </w:t>
      </w:r>
      <w:r>
        <w:rPr/>
        <w:t>do</w:t>
      </w:r>
      <w:r>
        <w:rPr>
          <w:spacing w:val="-2"/>
        </w:rPr>
        <w:t> </w:t>
      </w:r>
      <w:r>
        <w:rPr>
          <w:spacing w:val="-4"/>
        </w:rPr>
        <w:t>Euro</w:t>
      </w:r>
    </w:p>
    <w:p>
      <w:pPr>
        <w:pStyle w:val="Heading2"/>
      </w:pPr>
      <w:r>
        <w:rPr>
          <w:spacing w:val="-2"/>
        </w:rPr>
        <w:t>Inflação</w:t>
      </w:r>
    </w:p>
    <w:p>
      <w:pPr>
        <w:pStyle w:val="BodyText"/>
        <w:spacing w:before="239"/>
        <w:ind w:left="42" w:right="1255" w:firstLine="707"/>
        <w:jc w:val="both"/>
      </w:pPr>
      <w:r>
        <w:rPr>
          <w:color w:val="0D0E0E"/>
        </w:rPr>
        <w:t>E pela</w:t>
      </w:r>
      <w:r>
        <w:rPr>
          <w:color w:val="0D0E0E"/>
          <w:spacing w:val="-2"/>
        </w:rPr>
        <w:t> </w:t>
      </w:r>
      <w:r>
        <w:rPr>
          <w:color w:val="0D0E0E"/>
        </w:rPr>
        <w:t>primeira vez em</w:t>
      </w:r>
      <w:r>
        <w:rPr>
          <w:color w:val="0D0E0E"/>
          <w:spacing w:val="-1"/>
        </w:rPr>
        <w:t> </w:t>
      </w:r>
      <w:r>
        <w:rPr>
          <w:color w:val="0D0E0E"/>
        </w:rPr>
        <w:t>2023</w:t>
      </w:r>
      <w:r>
        <w:rPr>
          <w:color w:val="0D0E0E"/>
          <w:spacing w:val="-1"/>
        </w:rPr>
        <w:t> </w:t>
      </w:r>
      <w:r>
        <w:rPr>
          <w:color w:val="0D0E0E"/>
        </w:rPr>
        <w:t>a inflação</w:t>
      </w:r>
      <w:r>
        <w:rPr>
          <w:color w:val="0D0E0E"/>
          <w:spacing w:val="-4"/>
        </w:rPr>
        <w:t> </w:t>
      </w:r>
      <w:r>
        <w:rPr>
          <w:color w:val="0D0E0E"/>
        </w:rPr>
        <w:t>na Europa</w:t>
      </w:r>
      <w:r>
        <w:rPr>
          <w:color w:val="0D0E0E"/>
          <w:spacing w:val="-2"/>
        </w:rPr>
        <w:t> </w:t>
      </w:r>
      <w:r>
        <w:rPr>
          <w:color w:val="0D0E0E"/>
        </w:rPr>
        <w:t>entrou</w:t>
      </w:r>
      <w:r>
        <w:rPr>
          <w:color w:val="0D0E0E"/>
          <w:spacing w:val="-1"/>
        </w:rPr>
        <w:t> </w:t>
      </w:r>
      <w:r>
        <w:rPr>
          <w:color w:val="0D0E0E"/>
        </w:rPr>
        <w:t>na</w:t>
      </w:r>
      <w:r>
        <w:rPr>
          <w:color w:val="0D0E0E"/>
          <w:spacing w:val="-2"/>
        </w:rPr>
        <w:t> </w:t>
      </w:r>
      <w:r>
        <w:rPr>
          <w:color w:val="0D0E0E"/>
        </w:rPr>
        <w:t>casa dos 4%</w:t>
      </w:r>
      <w:r>
        <w:rPr>
          <w:color w:val="0D0E0E"/>
          <w:spacing w:val="-1"/>
        </w:rPr>
        <w:t> </w:t>
      </w:r>
      <w:r>
        <w:rPr>
          <w:color w:val="0D0E0E"/>
        </w:rPr>
        <w:t>ao ano. Em setembro,</w:t>
      </w:r>
      <w:r>
        <w:rPr>
          <w:color w:val="0D0E0E"/>
          <w:spacing w:val="-13"/>
        </w:rPr>
        <w:t> </w:t>
      </w:r>
      <w:r>
        <w:rPr>
          <w:color w:val="0D0E0E"/>
        </w:rPr>
        <w:t>foi</w:t>
      </w:r>
      <w:r>
        <w:rPr>
          <w:color w:val="0D0E0E"/>
          <w:spacing w:val="-13"/>
        </w:rPr>
        <w:t> </w:t>
      </w:r>
      <w:r>
        <w:rPr>
          <w:color w:val="0D0E0E"/>
        </w:rPr>
        <w:t>registrado</w:t>
      </w:r>
      <w:r>
        <w:rPr>
          <w:color w:val="0D0E0E"/>
          <w:spacing w:val="-13"/>
        </w:rPr>
        <w:t> </w:t>
      </w:r>
      <w:r>
        <w:rPr>
          <w:color w:val="0D0E0E"/>
        </w:rPr>
        <w:t>um</w:t>
      </w:r>
      <w:r>
        <w:rPr>
          <w:color w:val="0D0E0E"/>
          <w:spacing w:val="-11"/>
        </w:rPr>
        <w:t> </w:t>
      </w:r>
      <w:r>
        <w:rPr>
          <w:color w:val="0D0E0E"/>
        </w:rPr>
        <w:t>CPI</w:t>
      </w:r>
      <w:r>
        <w:rPr>
          <w:color w:val="0D0E0E"/>
          <w:spacing w:val="-13"/>
        </w:rPr>
        <w:t> </w:t>
      </w:r>
      <w:r>
        <w:rPr>
          <w:color w:val="0D0E0E"/>
        </w:rPr>
        <w:t>de</w:t>
      </w:r>
      <w:r>
        <w:rPr>
          <w:color w:val="0D0E0E"/>
          <w:spacing w:val="-13"/>
        </w:rPr>
        <w:t> </w:t>
      </w:r>
      <w:r>
        <w:rPr>
          <w:color w:val="0D0E0E"/>
        </w:rPr>
        <w:t>4,3%,</w:t>
      </w:r>
      <w:r>
        <w:rPr>
          <w:color w:val="0D0E0E"/>
          <w:spacing w:val="-13"/>
        </w:rPr>
        <w:t> </w:t>
      </w:r>
      <w:r>
        <w:rPr>
          <w:color w:val="0D0E0E"/>
        </w:rPr>
        <w:t>em</w:t>
      </w:r>
      <w:r>
        <w:rPr>
          <w:color w:val="0D0E0E"/>
          <w:spacing w:val="-13"/>
        </w:rPr>
        <w:t> </w:t>
      </w:r>
      <w:r>
        <w:rPr>
          <w:color w:val="0D0E0E"/>
        </w:rPr>
        <w:t>linha</w:t>
      </w:r>
      <w:r>
        <w:rPr>
          <w:color w:val="0D0E0E"/>
          <w:spacing w:val="-13"/>
        </w:rPr>
        <w:t> </w:t>
      </w:r>
      <w:r>
        <w:rPr>
          <w:color w:val="0D0E0E"/>
        </w:rPr>
        <w:t>com</w:t>
      </w:r>
      <w:r>
        <w:rPr>
          <w:color w:val="0D0E0E"/>
          <w:spacing w:val="-13"/>
        </w:rPr>
        <w:t> </w:t>
      </w:r>
      <w:r>
        <w:rPr>
          <w:color w:val="0D0E0E"/>
        </w:rPr>
        <w:t>as</w:t>
      </w:r>
      <w:r>
        <w:rPr>
          <w:color w:val="0D0E0E"/>
          <w:spacing w:val="-8"/>
        </w:rPr>
        <w:t> </w:t>
      </w:r>
      <w:r>
        <w:rPr>
          <w:color w:val="0D0E0E"/>
        </w:rPr>
        <w:t>expectativas</w:t>
      </w:r>
      <w:r>
        <w:rPr>
          <w:color w:val="0D0E0E"/>
          <w:spacing w:val="-14"/>
        </w:rPr>
        <w:t> </w:t>
      </w:r>
      <w:r>
        <w:rPr>
          <w:color w:val="0D0E0E"/>
        </w:rPr>
        <w:t>de</w:t>
      </w:r>
      <w:r>
        <w:rPr>
          <w:color w:val="0D0E0E"/>
          <w:spacing w:val="-14"/>
        </w:rPr>
        <w:t> </w:t>
      </w:r>
      <w:r>
        <w:rPr>
          <w:color w:val="0D0E0E"/>
        </w:rPr>
        <w:t>mercado,</w:t>
      </w:r>
      <w:r>
        <w:rPr>
          <w:color w:val="0D0E0E"/>
          <w:spacing w:val="-12"/>
        </w:rPr>
        <w:t> </w:t>
      </w:r>
      <w:r>
        <w:rPr>
          <w:color w:val="0D0E0E"/>
        </w:rPr>
        <w:t>e</w:t>
      </w:r>
      <w:r>
        <w:rPr>
          <w:color w:val="0D0E0E"/>
          <w:spacing w:val="-13"/>
        </w:rPr>
        <w:t> </w:t>
      </w:r>
      <w:r>
        <w:rPr>
          <w:color w:val="0D0E0E"/>
        </w:rPr>
        <w:t>o</w:t>
      </w:r>
      <w:r>
        <w:rPr>
          <w:color w:val="0D0E0E"/>
          <w:spacing w:val="-13"/>
        </w:rPr>
        <w:t> </w:t>
      </w:r>
      <w:r>
        <w:rPr>
          <w:color w:val="0D0E0E"/>
        </w:rPr>
        <w:t>dado capturado mais baixo desde outubro de 2021.</w:t>
      </w:r>
    </w:p>
    <w:p>
      <w:pPr>
        <w:pStyle w:val="BodyText"/>
        <w:spacing w:before="241"/>
        <w:ind w:left="705" w:right="1211"/>
        <w:jc w:val="center"/>
      </w:pPr>
      <w:r>
        <w:rPr/>
        <w:drawing>
          <wp:anchor distT="0" distB="0" distL="0" distR="0" allowOverlap="1" layoutInCell="1" locked="0" behindDoc="1" simplePos="0" relativeHeight="487595008">
            <wp:simplePos x="0" y="0"/>
            <wp:positionH relativeFrom="page">
              <wp:posOffset>1318260</wp:posOffset>
            </wp:positionH>
            <wp:positionV relativeFrom="paragraph">
              <wp:posOffset>371538</wp:posOffset>
            </wp:positionV>
            <wp:extent cx="5036819" cy="2331720"/>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9" cstate="print"/>
                    <a:stretch>
                      <a:fillRect/>
                    </a:stretch>
                  </pic:blipFill>
                  <pic:spPr>
                    <a:xfrm>
                      <a:off x="0" y="0"/>
                      <a:ext cx="5036819" cy="2331720"/>
                    </a:xfrm>
                    <a:prstGeom prst="rect">
                      <a:avLst/>
                    </a:prstGeom>
                  </pic:spPr>
                </pic:pic>
              </a:graphicData>
            </a:graphic>
          </wp:anchor>
        </w:drawing>
      </w:r>
      <w:r>
        <w:rPr>
          <w:color w:val="0D0E0E"/>
        </w:rPr>
        <w:t>CPI</w:t>
      </w:r>
      <w:r>
        <w:rPr>
          <w:color w:val="0D0E0E"/>
          <w:spacing w:val="-3"/>
        </w:rPr>
        <w:t> </w:t>
      </w:r>
      <w:r>
        <w:rPr>
          <w:color w:val="0D0E0E"/>
        </w:rPr>
        <w:t>– Zona</w:t>
      </w:r>
      <w:r>
        <w:rPr>
          <w:color w:val="0D0E0E"/>
          <w:spacing w:val="-2"/>
        </w:rPr>
        <w:t> </w:t>
      </w:r>
      <w:r>
        <w:rPr>
          <w:color w:val="0D0E0E"/>
        </w:rPr>
        <w:t>do </w:t>
      </w:r>
      <w:r>
        <w:rPr>
          <w:color w:val="0D0E0E"/>
          <w:spacing w:val="-4"/>
        </w:rPr>
        <w:t>Euro:</w:t>
      </w:r>
    </w:p>
    <w:p>
      <w:pPr>
        <w:spacing w:before="2"/>
        <w:ind w:left="750" w:right="0" w:firstLine="0"/>
        <w:jc w:val="left"/>
        <w:rPr>
          <w:i/>
          <w:sz w:val="20"/>
        </w:rPr>
      </w:pPr>
      <w:r>
        <w:rPr>
          <w:i/>
          <w:color w:val="0D0E0E"/>
          <w:spacing w:val="-2"/>
          <w:sz w:val="20"/>
        </w:rPr>
        <w:t>Fonte:</w:t>
      </w:r>
      <w:r>
        <w:rPr>
          <w:i/>
          <w:color w:val="0D0E0E"/>
          <w:spacing w:val="53"/>
          <w:sz w:val="20"/>
        </w:rPr>
        <w:t> </w:t>
      </w:r>
      <w:r>
        <w:rPr>
          <w:i/>
          <w:color w:val="0D0E0E"/>
          <w:spacing w:val="-2"/>
          <w:sz w:val="20"/>
        </w:rPr>
        <w:t>https://tradingeconomics.com/euro-area/inflation-</w:t>
      </w:r>
      <w:r>
        <w:rPr>
          <w:i/>
          <w:color w:val="0D0E0E"/>
          <w:spacing w:val="-5"/>
          <w:sz w:val="20"/>
        </w:rPr>
        <w:t>cpi</w:t>
      </w:r>
    </w:p>
    <w:p>
      <w:pPr>
        <w:pStyle w:val="BodyText"/>
        <w:spacing w:before="239"/>
        <w:ind w:left="42" w:right="1256" w:firstLine="707"/>
        <w:jc w:val="both"/>
      </w:pPr>
      <w:r>
        <w:rPr>
          <w:color w:val="0D0E0E"/>
        </w:rPr>
        <w:t>O grande responsável por essa queda finalmente foi o setor de energia, com uma queda do custo acima dos -4,5%. Ainda assim, o setor de serviços ainda contou com uma forte aceleração dos preços (4,7%), além do setor de alimentos com quase 9%.</w:t>
      </w:r>
    </w:p>
    <w:p>
      <w:pPr>
        <w:pStyle w:val="BodyText"/>
        <w:spacing w:before="240"/>
        <w:ind w:left="750"/>
      </w:pPr>
      <w:r>
        <w:rPr>
          <w:color w:val="0D0E0E"/>
        </w:rPr>
        <w:t>No</w:t>
      </w:r>
      <w:r>
        <w:rPr>
          <w:color w:val="0D0E0E"/>
          <w:spacing w:val="-3"/>
        </w:rPr>
        <w:t> </w:t>
      </w:r>
      <w:r>
        <w:rPr>
          <w:color w:val="0D0E0E"/>
        </w:rPr>
        <w:t>mês,</w:t>
      </w:r>
      <w:r>
        <w:rPr>
          <w:color w:val="0D0E0E"/>
          <w:spacing w:val="-4"/>
        </w:rPr>
        <w:t> </w:t>
      </w:r>
      <w:r>
        <w:rPr>
          <w:color w:val="0D0E0E"/>
        </w:rPr>
        <w:t>a</w:t>
      </w:r>
      <w:r>
        <w:rPr>
          <w:color w:val="0D0E0E"/>
          <w:spacing w:val="-1"/>
        </w:rPr>
        <w:t> </w:t>
      </w:r>
      <w:r>
        <w:rPr>
          <w:color w:val="0D0E0E"/>
        </w:rPr>
        <w:t>variação</w:t>
      </w:r>
      <w:r>
        <w:rPr>
          <w:color w:val="0D0E0E"/>
          <w:spacing w:val="-1"/>
        </w:rPr>
        <w:t> </w:t>
      </w:r>
      <w:r>
        <w:rPr>
          <w:color w:val="0D0E0E"/>
        </w:rPr>
        <w:t>foi</w:t>
      </w:r>
      <w:r>
        <w:rPr>
          <w:color w:val="0D0E0E"/>
          <w:spacing w:val="-3"/>
        </w:rPr>
        <w:t> </w:t>
      </w:r>
      <w:r>
        <w:rPr>
          <w:color w:val="0D0E0E"/>
        </w:rPr>
        <w:t>de</w:t>
      </w:r>
      <w:r>
        <w:rPr>
          <w:color w:val="0D0E0E"/>
          <w:spacing w:val="-3"/>
        </w:rPr>
        <w:t> </w:t>
      </w:r>
      <w:r>
        <w:rPr>
          <w:color w:val="0D0E0E"/>
        </w:rPr>
        <w:t>0,3%,</w:t>
      </w:r>
      <w:r>
        <w:rPr>
          <w:color w:val="0D0E0E"/>
          <w:spacing w:val="-2"/>
        </w:rPr>
        <w:t> </w:t>
      </w:r>
      <w:r>
        <w:rPr>
          <w:color w:val="0D0E0E"/>
        </w:rPr>
        <w:t>abaixo</w:t>
      </w:r>
      <w:r>
        <w:rPr>
          <w:color w:val="0D0E0E"/>
          <w:spacing w:val="-4"/>
        </w:rPr>
        <w:t> </w:t>
      </w:r>
      <w:r>
        <w:rPr>
          <w:color w:val="0D0E0E"/>
        </w:rPr>
        <w:t>da</w:t>
      </w:r>
      <w:r>
        <w:rPr>
          <w:color w:val="0D0E0E"/>
          <w:spacing w:val="-1"/>
        </w:rPr>
        <w:t> </w:t>
      </w:r>
      <w:r>
        <w:rPr>
          <w:color w:val="0D0E0E"/>
        </w:rPr>
        <w:t>medição</w:t>
      </w:r>
      <w:r>
        <w:rPr>
          <w:color w:val="0D0E0E"/>
          <w:spacing w:val="-1"/>
        </w:rPr>
        <w:t> </w:t>
      </w:r>
      <w:r>
        <w:rPr>
          <w:color w:val="0D0E0E"/>
        </w:rPr>
        <w:t>de</w:t>
      </w:r>
      <w:r>
        <w:rPr>
          <w:color w:val="0D0E0E"/>
          <w:spacing w:val="-3"/>
        </w:rPr>
        <w:t> </w:t>
      </w:r>
      <w:r>
        <w:rPr>
          <w:color w:val="0D0E0E"/>
          <w:spacing w:val="-2"/>
        </w:rPr>
        <w:t>agosto.</w:t>
      </w:r>
    </w:p>
    <w:p>
      <w:pPr>
        <w:pStyle w:val="BodyText"/>
        <w:spacing w:before="240"/>
        <w:ind w:left="708" w:right="1211"/>
        <w:jc w:val="center"/>
      </w:pPr>
      <w:r>
        <w:rPr>
          <w:color w:val="0D0E0E"/>
        </w:rPr>
        <w:t>CPI</w:t>
      </w:r>
      <w:r>
        <w:rPr>
          <w:color w:val="0D0E0E"/>
          <w:spacing w:val="-2"/>
        </w:rPr>
        <w:t> </w:t>
      </w:r>
      <w:r>
        <w:rPr>
          <w:color w:val="0D0E0E"/>
        </w:rPr>
        <w:t>mensal</w:t>
      </w:r>
      <w:r>
        <w:rPr>
          <w:color w:val="0D0E0E"/>
          <w:spacing w:val="-2"/>
        </w:rPr>
        <w:t> </w:t>
      </w:r>
      <w:r>
        <w:rPr>
          <w:color w:val="0D0E0E"/>
        </w:rPr>
        <w:t>– Zona</w:t>
      </w:r>
      <w:r>
        <w:rPr>
          <w:color w:val="0D0E0E"/>
          <w:spacing w:val="-3"/>
        </w:rPr>
        <w:t> </w:t>
      </w:r>
      <w:r>
        <w:rPr>
          <w:color w:val="0D0E0E"/>
        </w:rPr>
        <w:t>do</w:t>
      </w:r>
      <w:r>
        <w:rPr>
          <w:color w:val="0D0E0E"/>
          <w:spacing w:val="-2"/>
        </w:rPr>
        <w:t> Euro:</w:t>
      </w:r>
    </w:p>
    <w:p>
      <w:pPr>
        <w:pStyle w:val="BodyText"/>
        <w:spacing w:before="4"/>
        <w:rPr>
          <w:sz w:val="7"/>
        </w:rPr>
      </w:pPr>
      <w:r>
        <w:rPr>
          <w:sz w:val="7"/>
        </w:rPr>
        <w:drawing>
          <wp:anchor distT="0" distB="0" distL="0" distR="0" allowOverlap="1" layoutInCell="1" locked="0" behindDoc="1" simplePos="0" relativeHeight="487595520">
            <wp:simplePos x="0" y="0"/>
            <wp:positionH relativeFrom="page">
              <wp:posOffset>1120139</wp:posOffset>
            </wp:positionH>
            <wp:positionV relativeFrom="paragraph">
              <wp:posOffset>72526</wp:posOffset>
            </wp:positionV>
            <wp:extent cx="5021579" cy="2179320"/>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20" cstate="print"/>
                    <a:stretch>
                      <a:fillRect/>
                    </a:stretch>
                  </pic:blipFill>
                  <pic:spPr>
                    <a:xfrm>
                      <a:off x="0" y="0"/>
                      <a:ext cx="5021579" cy="2179320"/>
                    </a:xfrm>
                    <a:prstGeom prst="rect">
                      <a:avLst/>
                    </a:prstGeom>
                  </pic:spPr>
                </pic:pic>
              </a:graphicData>
            </a:graphic>
          </wp:anchor>
        </w:drawing>
      </w:r>
    </w:p>
    <w:p>
      <w:pPr>
        <w:spacing w:before="39"/>
        <w:ind w:left="750" w:right="0" w:firstLine="0"/>
        <w:jc w:val="left"/>
        <w:rPr>
          <w:i/>
          <w:sz w:val="20"/>
        </w:rPr>
      </w:pPr>
      <w:r>
        <w:rPr>
          <w:i/>
          <w:color w:val="0D0E0E"/>
          <w:spacing w:val="-2"/>
          <w:sz w:val="20"/>
        </w:rPr>
        <w:t>Fonte:</w:t>
      </w:r>
      <w:r>
        <w:rPr>
          <w:i/>
          <w:color w:val="0D0E0E"/>
          <w:spacing w:val="62"/>
          <w:sz w:val="20"/>
        </w:rPr>
        <w:t> </w:t>
      </w:r>
      <w:r>
        <w:rPr>
          <w:i/>
          <w:color w:val="0D0E0E"/>
          <w:spacing w:val="-2"/>
          <w:sz w:val="20"/>
        </w:rPr>
        <w:t>https://tradingeconomics.com/euro-area/inflation-rate-</w:t>
      </w:r>
      <w:r>
        <w:rPr>
          <w:i/>
          <w:color w:val="0D0E0E"/>
          <w:spacing w:val="-5"/>
          <w:sz w:val="20"/>
        </w:rPr>
        <w:t>mom</w:t>
      </w:r>
    </w:p>
    <w:p>
      <w:pPr>
        <w:pStyle w:val="BodyText"/>
        <w:spacing w:before="239"/>
        <w:ind w:left="42" w:right="1252" w:firstLine="707"/>
        <w:jc w:val="both"/>
      </w:pPr>
      <w:r>
        <w:rPr>
          <w:color w:val="0D0E0E"/>
        </w:rPr>
        <w:t>Já o núcleo, que elimina os itens mais voláteis, ainda que em patamar muito acima da</w:t>
      </w:r>
      <w:r>
        <w:rPr>
          <w:color w:val="0D0E0E"/>
          <w:spacing w:val="-9"/>
        </w:rPr>
        <w:t> </w:t>
      </w:r>
      <w:r>
        <w:rPr>
          <w:color w:val="0D0E0E"/>
        </w:rPr>
        <w:t>meta</w:t>
      </w:r>
      <w:r>
        <w:rPr>
          <w:color w:val="0D0E0E"/>
          <w:spacing w:val="-13"/>
        </w:rPr>
        <w:t> </w:t>
      </w:r>
      <w:r>
        <w:rPr>
          <w:color w:val="0D0E0E"/>
        </w:rPr>
        <w:t>de</w:t>
      </w:r>
      <w:r>
        <w:rPr>
          <w:color w:val="0D0E0E"/>
          <w:spacing w:val="-11"/>
        </w:rPr>
        <w:t> </w:t>
      </w:r>
      <w:r>
        <w:rPr>
          <w:color w:val="0D0E0E"/>
        </w:rPr>
        <w:t>2%</w:t>
      </w:r>
      <w:r>
        <w:rPr>
          <w:color w:val="0D0E0E"/>
          <w:spacing w:val="-12"/>
        </w:rPr>
        <w:t> </w:t>
      </w:r>
      <w:r>
        <w:rPr>
          <w:color w:val="0D0E0E"/>
        </w:rPr>
        <w:t>dos</w:t>
      </w:r>
      <w:r>
        <w:rPr>
          <w:color w:val="0D0E0E"/>
          <w:spacing w:val="-9"/>
        </w:rPr>
        <w:t> </w:t>
      </w:r>
      <w:r>
        <w:rPr>
          <w:color w:val="0D0E0E"/>
        </w:rPr>
        <w:t>lideres</w:t>
      </w:r>
      <w:r>
        <w:rPr>
          <w:color w:val="0D0E0E"/>
          <w:spacing w:val="-8"/>
        </w:rPr>
        <w:t> </w:t>
      </w:r>
      <w:r>
        <w:rPr>
          <w:color w:val="0D0E0E"/>
        </w:rPr>
        <w:t>de</w:t>
      </w:r>
      <w:r>
        <w:rPr>
          <w:color w:val="0D0E0E"/>
          <w:spacing w:val="-13"/>
        </w:rPr>
        <w:t> </w:t>
      </w:r>
      <w:r>
        <w:rPr>
          <w:color w:val="0D0E0E"/>
        </w:rPr>
        <w:t>política</w:t>
      </w:r>
      <w:r>
        <w:rPr>
          <w:color w:val="0D0E0E"/>
          <w:spacing w:val="-9"/>
        </w:rPr>
        <w:t> </w:t>
      </w:r>
      <w:r>
        <w:rPr>
          <w:color w:val="0D0E0E"/>
        </w:rPr>
        <w:t>monetária</w:t>
      </w:r>
      <w:r>
        <w:rPr>
          <w:color w:val="0D0E0E"/>
          <w:spacing w:val="-10"/>
        </w:rPr>
        <w:t> </w:t>
      </w:r>
      <w:r>
        <w:rPr>
          <w:color w:val="0D0E0E"/>
        </w:rPr>
        <w:t>da</w:t>
      </w:r>
      <w:r>
        <w:rPr>
          <w:color w:val="0D0E0E"/>
          <w:spacing w:val="-9"/>
        </w:rPr>
        <w:t> </w:t>
      </w:r>
      <w:r>
        <w:rPr>
          <w:color w:val="0D0E0E"/>
        </w:rPr>
        <w:t>Europa,</w:t>
      </w:r>
      <w:r>
        <w:rPr>
          <w:color w:val="0D0E0E"/>
          <w:spacing w:val="-11"/>
        </w:rPr>
        <w:t> </w:t>
      </w:r>
      <w:r>
        <w:rPr>
          <w:color w:val="0D0E0E"/>
        </w:rPr>
        <w:t>trouxe</w:t>
      </w:r>
      <w:r>
        <w:rPr>
          <w:color w:val="0D0E0E"/>
          <w:spacing w:val="-11"/>
        </w:rPr>
        <w:t> </w:t>
      </w:r>
      <w:r>
        <w:rPr>
          <w:color w:val="0D0E0E"/>
        </w:rPr>
        <w:t>um</w:t>
      </w:r>
      <w:r>
        <w:rPr>
          <w:color w:val="0D0E0E"/>
          <w:spacing w:val="-11"/>
        </w:rPr>
        <w:t> </w:t>
      </w:r>
      <w:r>
        <w:rPr>
          <w:color w:val="0D0E0E"/>
        </w:rPr>
        <w:t>dado</w:t>
      </w:r>
      <w:r>
        <w:rPr>
          <w:color w:val="0D0E0E"/>
          <w:spacing w:val="-11"/>
        </w:rPr>
        <w:t> </w:t>
      </w:r>
      <w:r>
        <w:rPr>
          <w:color w:val="0D0E0E"/>
        </w:rPr>
        <w:t>que</w:t>
      </w:r>
      <w:r>
        <w:rPr>
          <w:color w:val="0D0E0E"/>
          <w:spacing w:val="-11"/>
        </w:rPr>
        <w:t> </w:t>
      </w:r>
      <w:r>
        <w:rPr>
          <w:color w:val="0D0E0E"/>
        </w:rPr>
        <w:t>assim</w:t>
      </w:r>
      <w:r>
        <w:rPr>
          <w:color w:val="0D0E0E"/>
          <w:spacing w:val="-11"/>
        </w:rPr>
        <w:t> </w:t>
      </w:r>
      <w:r>
        <w:rPr>
          <w:color w:val="0D0E0E"/>
        </w:rPr>
        <w:t>como o CPI</w:t>
      </w:r>
      <w:r>
        <w:rPr>
          <w:color w:val="0D0E0E"/>
          <w:spacing w:val="-1"/>
        </w:rPr>
        <w:t> </w:t>
      </w:r>
      <w:r>
        <w:rPr>
          <w:color w:val="0D0E0E"/>
        </w:rPr>
        <w:t>cheio,</w:t>
      </w:r>
      <w:r>
        <w:rPr>
          <w:color w:val="0D0E0E"/>
          <w:spacing w:val="-1"/>
        </w:rPr>
        <w:t> </w:t>
      </w:r>
      <w:r>
        <w:rPr>
          <w:color w:val="0D0E0E"/>
        </w:rPr>
        <w:t>entrou pela</w:t>
      </w:r>
      <w:r>
        <w:rPr>
          <w:color w:val="0D0E0E"/>
          <w:spacing w:val="-2"/>
        </w:rPr>
        <w:t> </w:t>
      </w:r>
      <w:r>
        <w:rPr>
          <w:color w:val="0D0E0E"/>
        </w:rPr>
        <w:t>primeira</w:t>
      </w:r>
      <w:r>
        <w:rPr>
          <w:color w:val="0D0E0E"/>
          <w:spacing w:val="-1"/>
        </w:rPr>
        <w:t> </w:t>
      </w:r>
      <w:r>
        <w:rPr>
          <w:color w:val="0D0E0E"/>
        </w:rPr>
        <w:t>vez em 2023 na</w:t>
      </w:r>
      <w:r>
        <w:rPr>
          <w:color w:val="0D0E0E"/>
          <w:spacing w:val="-1"/>
        </w:rPr>
        <w:t> </w:t>
      </w:r>
      <w:r>
        <w:rPr>
          <w:color w:val="0D0E0E"/>
        </w:rPr>
        <w:t>casa</w:t>
      </w:r>
      <w:r>
        <w:rPr>
          <w:color w:val="0D0E0E"/>
          <w:spacing w:val="-1"/>
        </w:rPr>
        <w:t> </w:t>
      </w:r>
      <w:r>
        <w:rPr>
          <w:color w:val="0D0E0E"/>
        </w:rPr>
        <w:t>dos 4%, com o</w:t>
      </w:r>
      <w:r>
        <w:rPr>
          <w:color w:val="0D0E0E"/>
          <w:spacing w:val="-3"/>
        </w:rPr>
        <w:t> </w:t>
      </w:r>
      <w:r>
        <w:rPr>
          <w:color w:val="0D0E0E"/>
        </w:rPr>
        <w:t>dado de 4,5% ao ano, ante 5,3% de agosto.</w:t>
      </w:r>
    </w:p>
    <w:p>
      <w:pPr>
        <w:pStyle w:val="BodyText"/>
        <w:spacing w:after="0"/>
        <w:jc w:val="both"/>
        <w:sectPr>
          <w:pgSz w:w="11920" w:h="16850"/>
          <w:pgMar w:top="1340" w:bottom="280" w:left="1559" w:right="141"/>
        </w:sectPr>
      </w:pPr>
    </w:p>
    <w:p>
      <w:pPr>
        <w:pStyle w:val="BodyText"/>
        <w:spacing w:before="39"/>
        <w:ind w:left="3306"/>
      </w:pPr>
      <w:r>
        <w:rPr/>
        <w:drawing>
          <wp:anchor distT="0" distB="0" distL="0" distR="0" allowOverlap="1" layoutInCell="1" locked="0" behindDoc="1" simplePos="0" relativeHeight="487596032">
            <wp:simplePos x="0" y="0"/>
            <wp:positionH relativeFrom="page">
              <wp:posOffset>1173480</wp:posOffset>
            </wp:positionH>
            <wp:positionV relativeFrom="paragraph">
              <wp:posOffset>250952</wp:posOffset>
            </wp:positionV>
            <wp:extent cx="4998720" cy="2346959"/>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21" cstate="print"/>
                    <a:stretch>
                      <a:fillRect/>
                    </a:stretch>
                  </pic:blipFill>
                  <pic:spPr>
                    <a:xfrm>
                      <a:off x="0" y="0"/>
                      <a:ext cx="4998720" cy="2346959"/>
                    </a:xfrm>
                    <a:prstGeom prst="rect">
                      <a:avLst/>
                    </a:prstGeom>
                  </pic:spPr>
                </pic:pic>
              </a:graphicData>
            </a:graphic>
          </wp:anchor>
        </w:drawing>
      </w:r>
      <w:r>
        <w:rPr>
          <w:color w:val="0D0E0E"/>
        </w:rPr>
        <w:t>Núcleo</w:t>
      </w:r>
      <w:r>
        <w:rPr>
          <w:color w:val="0D0E0E"/>
          <w:spacing w:val="-4"/>
        </w:rPr>
        <w:t> </w:t>
      </w:r>
      <w:r>
        <w:rPr>
          <w:color w:val="0D0E0E"/>
        </w:rPr>
        <w:t>inflação</w:t>
      </w:r>
      <w:r>
        <w:rPr>
          <w:color w:val="0D0E0E"/>
          <w:spacing w:val="-1"/>
        </w:rPr>
        <w:t> </w:t>
      </w:r>
      <w:r>
        <w:rPr>
          <w:color w:val="0D0E0E"/>
        </w:rPr>
        <w:t>–</w:t>
      </w:r>
      <w:r>
        <w:rPr>
          <w:color w:val="0D0E0E"/>
          <w:spacing w:val="-4"/>
        </w:rPr>
        <w:t> </w:t>
      </w:r>
      <w:r>
        <w:rPr>
          <w:color w:val="0D0E0E"/>
        </w:rPr>
        <w:t>Zona</w:t>
      </w:r>
      <w:r>
        <w:rPr>
          <w:color w:val="0D0E0E"/>
          <w:spacing w:val="-4"/>
        </w:rPr>
        <w:t> </w:t>
      </w:r>
      <w:r>
        <w:rPr>
          <w:color w:val="0D0E0E"/>
        </w:rPr>
        <w:t>do</w:t>
      </w:r>
      <w:r>
        <w:rPr>
          <w:color w:val="0D0E0E"/>
          <w:spacing w:val="-2"/>
        </w:rPr>
        <w:t> </w:t>
      </w:r>
      <w:r>
        <w:rPr>
          <w:color w:val="0D0E0E"/>
          <w:spacing w:val="-4"/>
        </w:rPr>
        <w:t>Euro:</w:t>
      </w:r>
    </w:p>
    <w:p>
      <w:pPr>
        <w:spacing w:before="2"/>
        <w:ind w:left="750" w:right="0" w:firstLine="0"/>
        <w:jc w:val="left"/>
        <w:rPr>
          <w:i/>
          <w:sz w:val="20"/>
        </w:rPr>
      </w:pPr>
      <w:r>
        <w:rPr>
          <w:i/>
          <w:color w:val="0D0E0E"/>
          <w:spacing w:val="-2"/>
          <w:sz w:val="20"/>
        </w:rPr>
        <w:t>Fonte:</w:t>
      </w:r>
      <w:r>
        <w:rPr>
          <w:i/>
          <w:color w:val="0D0E0E"/>
          <w:spacing w:val="62"/>
          <w:sz w:val="20"/>
        </w:rPr>
        <w:t> </w:t>
      </w:r>
      <w:r>
        <w:rPr>
          <w:i/>
          <w:color w:val="0D0E0E"/>
          <w:spacing w:val="-2"/>
          <w:sz w:val="20"/>
        </w:rPr>
        <w:t>https://tradingeconomics.com/euro-area/core-inflation-</w:t>
      </w:r>
      <w:r>
        <w:rPr>
          <w:i/>
          <w:color w:val="0D0E0E"/>
          <w:spacing w:val="-4"/>
          <w:sz w:val="20"/>
        </w:rPr>
        <w:t>rate</w:t>
      </w:r>
    </w:p>
    <w:p>
      <w:pPr>
        <w:pStyle w:val="BodyText"/>
        <w:spacing w:before="239"/>
        <w:ind w:left="42" w:right="1252" w:firstLine="707"/>
        <w:jc w:val="both"/>
      </w:pPr>
      <w:r>
        <w:rPr>
          <w:color w:val="0D0E0E"/>
        </w:rPr>
        <w:t>Segundo</w:t>
      </w:r>
      <w:r>
        <w:rPr>
          <w:color w:val="0D0E0E"/>
          <w:spacing w:val="-3"/>
        </w:rPr>
        <w:t> </w:t>
      </w:r>
      <w:r>
        <w:rPr>
          <w:color w:val="0D0E0E"/>
        </w:rPr>
        <w:t>o</w:t>
      </w:r>
      <w:r>
        <w:rPr>
          <w:color w:val="0D0E0E"/>
          <w:spacing w:val="-3"/>
        </w:rPr>
        <w:t> </w:t>
      </w:r>
      <w:r>
        <w:rPr>
          <w:color w:val="0D0E0E"/>
        </w:rPr>
        <w:t>site</w:t>
      </w:r>
      <w:r>
        <w:rPr>
          <w:color w:val="0D0E0E"/>
          <w:vertAlign w:val="superscript"/>
        </w:rPr>
        <w:t>1</w:t>
      </w:r>
      <w:r>
        <w:rPr>
          <w:color w:val="0D0E0E"/>
          <w:vertAlign w:val="baseline"/>
        </w:rPr>
        <w:t>oficial</w:t>
      </w:r>
      <w:r>
        <w:rPr>
          <w:color w:val="0D0E0E"/>
          <w:spacing w:val="-4"/>
          <w:vertAlign w:val="baseline"/>
        </w:rPr>
        <w:t> </w:t>
      </w:r>
      <w:r>
        <w:rPr>
          <w:color w:val="0D0E0E"/>
          <w:vertAlign w:val="baseline"/>
        </w:rPr>
        <w:t>do</w:t>
      </w:r>
      <w:r>
        <w:rPr>
          <w:color w:val="0D0E0E"/>
          <w:spacing w:val="-6"/>
          <w:vertAlign w:val="baseline"/>
        </w:rPr>
        <w:t> </w:t>
      </w:r>
      <w:r>
        <w:rPr>
          <w:color w:val="0D0E0E"/>
          <w:vertAlign w:val="baseline"/>
        </w:rPr>
        <w:t>Banco</w:t>
      </w:r>
      <w:r>
        <w:rPr>
          <w:color w:val="0D0E0E"/>
          <w:spacing w:val="-3"/>
          <w:vertAlign w:val="baseline"/>
        </w:rPr>
        <w:t> </w:t>
      </w:r>
      <w:r>
        <w:rPr>
          <w:color w:val="0D0E0E"/>
          <w:vertAlign w:val="baseline"/>
        </w:rPr>
        <w:t>Central</w:t>
      </w:r>
      <w:r>
        <w:rPr>
          <w:color w:val="0D0E0E"/>
          <w:spacing w:val="-3"/>
          <w:vertAlign w:val="baseline"/>
        </w:rPr>
        <w:t> </w:t>
      </w:r>
      <w:r>
        <w:rPr>
          <w:color w:val="0D0E0E"/>
          <w:vertAlign w:val="baseline"/>
        </w:rPr>
        <w:t>Europeu</w:t>
      </w:r>
      <w:r>
        <w:rPr>
          <w:color w:val="0D0E0E"/>
          <w:spacing w:val="-3"/>
          <w:vertAlign w:val="baseline"/>
        </w:rPr>
        <w:t> </w:t>
      </w:r>
      <w:r>
        <w:rPr>
          <w:color w:val="0D0E0E"/>
          <w:vertAlign w:val="baseline"/>
        </w:rPr>
        <w:t>(ECB),</w:t>
      </w:r>
      <w:r>
        <w:rPr>
          <w:color w:val="0D0E0E"/>
          <w:spacing w:val="-4"/>
          <w:vertAlign w:val="baseline"/>
        </w:rPr>
        <w:t> </w:t>
      </w:r>
      <w:r>
        <w:rPr>
          <w:color w:val="0D0E0E"/>
          <w:vertAlign w:val="baseline"/>
        </w:rPr>
        <w:t>as</w:t>
      </w:r>
      <w:r>
        <w:rPr>
          <w:color w:val="0D0E0E"/>
          <w:spacing w:val="-4"/>
          <w:vertAlign w:val="baseline"/>
        </w:rPr>
        <w:t> </w:t>
      </w:r>
      <w:r>
        <w:rPr>
          <w:color w:val="0D0E0E"/>
          <w:vertAlign w:val="baseline"/>
        </w:rPr>
        <w:t>projeções</w:t>
      </w:r>
      <w:r>
        <w:rPr>
          <w:color w:val="0D0E0E"/>
          <w:spacing w:val="-4"/>
          <w:vertAlign w:val="baseline"/>
        </w:rPr>
        <w:t> </w:t>
      </w:r>
      <w:r>
        <w:rPr>
          <w:color w:val="0D0E0E"/>
          <w:vertAlign w:val="baseline"/>
        </w:rPr>
        <w:t>de</w:t>
      </w:r>
      <w:r>
        <w:rPr>
          <w:color w:val="0D0E0E"/>
          <w:spacing w:val="-3"/>
          <w:vertAlign w:val="baseline"/>
        </w:rPr>
        <w:t> </w:t>
      </w:r>
      <w:r>
        <w:rPr>
          <w:color w:val="0D0E0E"/>
          <w:vertAlign w:val="baseline"/>
        </w:rPr>
        <w:t>inflação</w:t>
      </w:r>
      <w:r>
        <w:rPr>
          <w:color w:val="0D0E0E"/>
          <w:spacing w:val="-1"/>
          <w:vertAlign w:val="baseline"/>
        </w:rPr>
        <w:t> </w:t>
      </w:r>
      <w:r>
        <w:rPr>
          <w:color w:val="0D0E0E"/>
          <w:vertAlign w:val="baseline"/>
        </w:rPr>
        <w:t>para 2023, 2024, e 2025 são em média de 5,6%, 3,2%, e 2,1% respectivamente.</w:t>
      </w:r>
    </w:p>
    <w:p>
      <w:pPr>
        <w:pStyle w:val="Heading2"/>
      </w:pPr>
      <w:r>
        <w:rPr>
          <w:spacing w:val="-2"/>
        </w:rPr>
        <w:t>Juros</w:t>
      </w:r>
    </w:p>
    <w:p>
      <w:pPr>
        <w:pStyle w:val="BodyText"/>
        <w:spacing w:before="239"/>
        <w:ind w:left="42" w:right="1262" w:firstLine="707"/>
        <w:jc w:val="both"/>
      </w:pPr>
      <w:r>
        <w:rPr>
          <w:color w:val="0D0E0E"/>
        </w:rPr>
        <w:t>A taxa de juros na Europa após reunião realizada na quarta feira 14 de setembro subiu 25 pontos base, permanecendo na janela entre 4,25% e 4,50%. O BCE sinalizou que essa seria a última elevação da mesma.</w:t>
      </w:r>
    </w:p>
    <w:p>
      <w:pPr>
        <w:pStyle w:val="BodyText"/>
        <w:spacing w:before="239"/>
        <w:ind w:left="3402"/>
      </w:pPr>
      <w:r>
        <w:rPr>
          <w:color w:val="0D0E0E"/>
        </w:rPr>
        <w:t>Taxa</w:t>
      </w:r>
      <w:r>
        <w:rPr>
          <w:color w:val="0D0E0E"/>
          <w:spacing w:val="-2"/>
        </w:rPr>
        <w:t> </w:t>
      </w:r>
      <w:r>
        <w:rPr>
          <w:color w:val="0D0E0E"/>
        </w:rPr>
        <w:t>de</w:t>
      </w:r>
      <w:r>
        <w:rPr>
          <w:color w:val="0D0E0E"/>
          <w:spacing w:val="-3"/>
        </w:rPr>
        <w:t> </w:t>
      </w:r>
      <w:r>
        <w:rPr>
          <w:color w:val="0D0E0E"/>
        </w:rPr>
        <w:t>Juros</w:t>
      </w:r>
      <w:r>
        <w:rPr>
          <w:color w:val="0D0E0E"/>
          <w:spacing w:val="1"/>
        </w:rPr>
        <w:t> </w:t>
      </w:r>
      <w:r>
        <w:rPr>
          <w:color w:val="0D0E0E"/>
        </w:rPr>
        <w:t>–</w:t>
      </w:r>
      <w:r>
        <w:rPr>
          <w:color w:val="0D0E0E"/>
          <w:spacing w:val="-2"/>
        </w:rPr>
        <w:t> </w:t>
      </w:r>
      <w:r>
        <w:rPr>
          <w:color w:val="0D0E0E"/>
        </w:rPr>
        <w:t>Zona</w:t>
      </w:r>
      <w:r>
        <w:rPr>
          <w:color w:val="0D0E0E"/>
          <w:spacing w:val="-3"/>
        </w:rPr>
        <w:t> </w:t>
      </w:r>
      <w:r>
        <w:rPr>
          <w:color w:val="0D0E0E"/>
        </w:rPr>
        <w:t>do</w:t>
      </w:r>
      <w:r>
        <w:rPr>
          <w:color w:val="0D0E0E"/>
          <w:spacing w:val="-2"/>
        </w:rPr>
        <w:t> Euro:</w:t>
      </w:r>
    </w:p>
    <w:p>
      <w:pPr>
        <w:pStyle w:val="BodyText"/>
        <w:spacing w:before="10"/>
        <w:rPr>
          <w:sz w:val="14"/>
        </w:rPr>
      </w:pPr>
      <w:r>
        <w:rPr>
          <w:sz w:val="14"/>
        </w:rPr>
        <w:drawing>
          <wp:anchor distT="0" distB="0" distL="0" distR="0" allowOverlap="1" layoutInCell="1" locked="0" behindDoc="1" simplePos="0" relativeHeight="487596544">
            <wp:simplePos x="0" y="0"/>
            <wp:positionH relativeFrom="page">
              <wp:posOffset>1016000</wp:posOffset>
            </wp:positionH>
            <wp:positionV relativeFrom="paragraph">
              <wp:posOffset>130206</wp:posOffset>
            </wp:positionV>
            <wp:extent cx="5382448" cy="2593752"/>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22" cstate="print"/>
                    <a:stretch>
                      <a:fillRect/>
                    </a:stretch>
                  </pic:blipFill>
                  <pic:spPr>
                    <a:xfrm>
                      <a:off x="0" y="0"/>
                      <a:ext cx="5382448" cy="2593752"/>
                    </a:xfrm>
                    <a:prstGeom prst="rect">
                      <a:avLst/>
                    </a:prstGeom>
                  </pic:spPr>
                </pic:pic>
              </a:graphicData>
            </a:graphic>
          </wp:anchor>
        </w:drawing>
      </w:r>
    </w:p>
    <w:p>
      <w:pPr>
        <w:spacing w:before="28"/>
        <w:ind w:left="750" w:right="0" w:firstLine="0"/>
        <w:jc w:val="left"/>
        <w:rPr>
          <w:i/>
          <w:sz w:val="20"/>
        </w:rPr>
      </w:pPr>
      <w:r>
        <w:rPr>
          <w:i/>
          <w:color w:val="0D0E0E"/>
          <w:spacing w:val="-2"/>
          <w:sz w:val="20"/>
        </w:rPr>
        <w:t>Fonte:</w:t>
      </w:r>
      <w:r>
        <w:rPr>
          <w:i/>
          <w:color w:val="0D0E0E"/>
          <w:spacing w:val="53"/>
          <w:sz w:val="20"/>
        </w:rPr>
        <w:t> </w:t>
      </w:r>
      <w:r>
        <w:rPr>
          <w:i/>
          <w:color w:val="0D0E0E"/>
          <w:spacing w:val="-2"/>
          <w:sz w:val="20"/>
        </w:rPr>
        <w:t>https://tradingeconomics.com/euro-area/interest-</w:t>
      </w:r>
      <w:r>
        <w:rPr>
          <w:i/>
          <w:color w:val="0D0E0E"/>
          <w:spacing w:val="-4"/>
          <w:sz w:val="20"/>
        </w:rPr>
        <w:t>rate</w:t>
      </w:r>
    </w:p>
    <w:p>
      <w:pPr>
        <w:pStyle w:val="BodyText"/>
        <w:spacing w:before="239"/>
        <w:ind w:left="42" w:right="1258" w:firstLine="707"/>
        <w:jc w:val="both"/>
      </w:pPr>
      <w:r>
        <w:rPr>
          <w:color w:val="0D0E0E"/>
        </w:rPr>
        <w:t>Vale reforçar que a ata trouxe um discurso comprometido em preservar o poder de compra da moeda, e trazer as taxas de inflação para dentro da meta.</w:t>
      </w:r>
    </w:p>
    <w:p>
      <w:pPr>
        <w:pStyle w:val="BodyText"/>
        <w:spacing w:before="240"/>
        <w:ind w:left="42" w:right="1255" w:firstLine="707"/>
        <w:jc w:val="both"/>
      </w:pPr>
      <w:r>
        <w:rPr>
          <w:color w:val="0D0E0E"/>
        </w:rPr>
        <w:t>Como resultado, as projeções de crescimento econômico para a Europa não são animadoras. A expectativa para 2023, rondam entre 0,5% e 0,8%, para 2024 de 1% e 2025</w:t>
      </w:r>
    </w:p>
    <w:p>
      <w:pPr>
        <w:pStyle w:val="BodyText"/>
        <w:rPr>
          <w:sz w:val="20"/>
        </w:rPr>
      </w:pPr>
    </w:p>
    <w:p>
      <w:pPr>
        <w:pStyle w:val="BodyText"/>
        <w:rPr>
          <w:sz w:val="20"/>
        </w:rPr>
      </w:pPr>
    </w:p>
    <w:p>
      <w:pPr>
        <w:pStyle w:val="BodyText"/>
        <w:spacing w:before="62"/>
        <w:rPr>
          <w:sz w:val="20"/>
        </w:rPr>
      </w:pPr>
      <w:r>
        <w:rPr>
          <w:sz w:val="20"/>
        </w:rPr>
        <mc:AlternateContent>
          <mc:Choice Requires="wps">
            <w:drawing>
              <wp:anchor distT="0" distB="0" distL="0" distR="0" allowOverlap="1" layoutInCell="1" locked="0" behindDoc="1" simplePos="0" relativeHeight="487597056">
                <wp:simplePos x="0" y="0"/>
                <wp:positionH relativeFrom="page">
                  <wp:posOffset>1466341</wp:posOffset>
                </wp:positionH>
                <wp:positionV relativeFrom="paragraph">
                  <wp:posOffset>209660</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D0E0E"/>
                        </a:solidFill>
                      </wps:spPr>
                      <wps:bodyPr wrap="square" lIns="0" tIns="0" rIns="0" bIns="0" rtlCol="0">
                        <a:prstTxWarp prst="textNoShape">
                          <a:avLst/>
                        </a:prstTxWarp>
                        <a:noAutofit/>
                      </wps:bodyPr>
                    </wps:wsp>
                  </a:graphicData>
                </a:graphic>
              </wp:anchor>
            </w:drawing>
          </mc:Choice>
          <mc:Fallback>
            <w:pict>
              <v:rect style="position:absolute;margin-left:115.459999pt;margin-top:16.508677pt;width:144.020pt;height:.599980pt;mso-position-horizontal-relative:page;mso-position-vertical-relative:paragraph;z-index:-15719424;mso-wrap-distance-left:0;mso-wrap-distance-right:0" id="docshape1" filled="true" fillcolor="#0d0e0e" stroked="false">
                <v:fill type="solid"/>
                <w10:wrap type="topAndBottom"/>
              </v:rect>
            </w:pict>
          </mc:Fallback>
        </mc:AlternateContent>
      </w:r>
    </w:p>
    <w:p>
      <w:pPr>
        <w:spacing w:before="117"/>
        <w:ind w:left="750" w:right="0" w:firstLine="0"/>
        <w:jc w:val="left"/>
        <w:rPr>
          <w:rFonts w:ascii="Cambria"/>
          <w:sz w:val="13"/>
        </w:rPr>
      </w:pPr>
      <w:r>
        <w:rPr>
          <w:rFonts w:ascii="Cambria"/>
          <w:color w:val="0D0E0E"/>
          <w:spacing w:val="-10"/>
          <w:sz w:val="13"/>
        </w:rPr>
        <w:t>1</w:t>
      </w:r>
    </w:p>
    <w:p>
      <w:pPr>
        <w:spacing w:before="64"/>
        <w:ind w:left="42" w:right="0" w:firstLine="0"/>
        <w:jc w:val="left"/>
        <w:rPr>
          <w:rFonts w:ascii="Cambria"/>
          <w:sz w:val="20"/>
        </w:rPr>
      </w:pPr>
      <w:r>
        <w:rPr>
          <w:rFonts w:ascii="Cambria"/>
          <w:color w:val="0D0E0E"/>
          <w:spacing w:val="-2"/>
          <w:sz w:val="20"/>
        </w:rPr>
        <w:t>https://</w:t>
      </w:r>
      <w:hyperlink r:id="rId23">
        <w:r>
          <w:rPr>
            <w:rFonts w:ascii="Cambria"/>
            <w:color w:val="0D0E0E"/>
            <w:spacing w:val="-2"/>
            <w:sz w:val="20"/>
          </w:rPr>
          <w:t>www.ecb.europa.eu/pub/projections/html/index.pt.html#:~:text=S%C3%ADntese&amp;text=A%2</w:t>
        </w:r>
      </w:hyperlink>
      <w:r>
        <w:rPr>
          <w:rFonts w:ascii="Cambria"/>
          <w:color w:val="0D0E0E"/>
          <w:spacing w:val="-2"/>
          <w:sz w:val="20"/>
        </w:rPr>
        <w:t> 0infla%C3%A7%C3%A3o%20dever%C3%A1%20continuar%20a,2%2C1%25%20em%202025.</w:t>
      </w:r>
    </w:p>
    <w:p>
      <w:pPr>
        <w:spacing w:after="0"/>
        <w:jc w:val="left"/>
        <w:rPr>
          <w:rFonts w:ascii="Cambria"/>
          <w:sz w:val="20"/>
        </w:rPr>
        <w:sectPr>
          <w:pgSz w:w="11920" w:h="16850"/>
          <w:pgMar w:top="1320" w:bottom="0" w:left="1559" w:right="141"/>
        </w:sectPr>
      </w:pPr>
    </w:p>
    <w:p>
      <w:pPr>
        <w:pStyle w:val="BodyText"/>
        <w:spacing w:before="39"/>
        <w:ind w:left="42" w:right="1210"/>
      </w:pPr>
      <w:r>
        <w:rPr>
          <w:color w:val="0D0E0E"/>
        </w:rPr>
        <w:t>em</w:t>
      </w:r>
      <w:r>
        <w:rPr>
          <w:color w:val="0D0E0E"/>
          <w:spacing w:val="25"/>
        </w:rPr>
        <w:t> </w:t>
      </w:r>
      <w:r>
        <w:rPr>
          <w:color w:val="0D0E0E"/>
        </w:rPr>
        <w:t>1,5%.</w:t>
      </w:r>
      <w:r>
        <w:rPr>
          <w:color w:val="0D0E0E"/>
          <w:spacing w:val="25"/>
        </w:rPr>
        <w:t> </w:t>
      </w:r>
      <w:r>
        <w:rPr>
          <w:color w:val="0D0E0E"/>
        </w:rPr>
        <w:t>O principal</w:t>
      </w:r>
      <w:r>
        <w:rPr>
          <w:color w:val="0D0E0E"/>
          <w:spacing w:val="25"/>
        </w:rPr>
        <w:t> </w:t>
      </w:r>
      <w:r>
        <w:rPr>
          <w:color w:val="0D0E0E"/>
        </w:rPr>
        <w:t>país</w:t>
      </w:r>
      <w:r>
        <w:rPr>
          <w:color w:val="0D0E0E"/>
          <w:spacing w:val="26"/>
        </w:rPr>
        <w:t> </w:t>
      </w:r>
      <w:r>
        <w:rPr>
          <w:color w:val="0D0E0E"/>
        </w:rPr>
        <w:t>motor</w:t>
      </w:r>
      <w:r>
        <w:rPr>
          <w:color w:val="0D0E0E"/>
          <w:spacing w:val="25"/>
        </w:rPr>
        <w:t> </w:t>
      </w:r>
      <w:r>
        <w:rPr>
          <w:color w:val="0D0E0E"/>
        </w:rPr>
        <w:t>da</w:t>
      </w:r>
      <w:r>
        <w:rPr>
          <w:color w:val="0D0E0E"/>
          <w:spacing w:val="25"/>
        </w:rPr>
        <w:t> </w:t>
      </w:r>
      <w:r>
        <w:rPr>
          <w:color w:val="0D0E0E"/>
        </w:rPr>
        <w:t>indústria</w:t>
      </w:r>
      <w:r>
        <w:rPr>
          <w:color w:val="0D0E0E"/>
          <w:spacing w:val="25"/>
        </w:rPr>
        <w:t> </w:t>
      </w:r>
      <w:r>
        <w:rPr>
          <w:color w:val="0D0E0E"/>
        </w:rPr>
        <w:t>europeia, a</w:t>
      </w:r>
      <w:r>
        <w:rPr>
          <w:color w:val="0D0E0E"/>
          <w:spacing w:val="25"/>
        </w:rPr>
        <w:t> </w:t>
      </w:r>
      <w:r>
        <w:rPr>
          <w:color w:val="0D0E0E"/>
        </w:rPr>
        <w:t>Alemanha,</w:t>
      </w:r>
      <w:r>
        <w:rPr>
          <w:color w:val="0D0E0E"/>
          <w:spacing w:val="25"/>
        </w:rPr>
        <w:t> </w:t>
      </w:r>
      <w:r>
        <w:rPr>
          <w:color w:val="0D0E0E"/>
        </w:rPr>
        <w:t>segue</w:t>
      </w:r>
      <w:r>
        <w:rPr>
          <w:color w:val="0D0E0E"/>
          <w:spacing w:val="25"/>
        </w:rPr>
        <w:t> </w:t>
      </w:r>
      <w:r>
        <w:rPr>
          <w:color w:val="0D0E0E"/>
        </w:rPr>
        <w:t>com</w:t>
      </w:r>
      <w:r>
        <w:rPr>
          <w:color w:val="0D0E0E"/>
          <w:spacing w:val="34"/>
        </w:rPr>
        <w:t> </w:t>
      </w:r>
      <w:r>
        <w:rPr>
          <w:color w:val="0D0E0E"/>
        </w:rPr>
        <w:t>algumas projeções de retração de PIB para 2023.</w:t>
      </w:r>
    </w:p>
    <w:p>
      <w:pPr>
        <w:pStyle w:val="BodyText"/>
      </w:pPr>
    </w:p>
    <w:p>
      <w:pPr>
        <w:pStyle w:val="BodyText"/>
        <w:spacing w:before="235"/>
      </w:pPr>
    </w:p>
    <w:p>
      <w:pPr>
        <w:spacing w:before="0"/>
        <w:ind w:left="42" w:right="0" w:firstLine="0"/>
        <w:jc w:val="left"/>
        <w:rPr>
          <w:sz w:val="28"/>
        </w:rPr>
      </w:pPr>
      <w:r>
        <w:rPr>
          <w:spacing w:val="-5"/>
          <w:sz w:val="28"/>
        </w:rPr>
        <w:t>PMI</w:t>
      </w:r>
    </w:p>
    <w:p>
      <w:pPr>
        <w:pStyle w:val="BodyText"/>
        <w:spacing w:before="242"/>
        <w:ind w:left="42" w:right="1256" w:firstLine="707"/>
        <w:jc w:val="both"/>
      </w:pPr>
      <w:r>
        <w:rPr>
          <w:color w:val="0D0E0E"/>
        </w:rPr>
        <w:t>Em linha com a baixa projeção de crescimento, o PMI composto na Europa trouxe cenário de contração pelo quarto mês seguido, nos 47,20 pontos ante 46,70 de agosto. A projeção para setembro era de 47,10.</w:t>
      </w:r>
    </w:p>
    <w:p>
      <w:pPr>
        <w:pStyle w:val="BodyText"/>
        <w:spacing w:before="239"/>
        <w:ind w:left="3350"/>
      </w:pPr>
      <w:r>
        <w:rPr>
          <w:color w:val="0D0E0E"/>
        </w:rPr>
        <w:t>PMI</w:t>
      </w:r>
      <w:r>
        <w:rPr>
          <w:color w:val="0D0E0E"/>
          <w:spacing w:val="-1"/>
        </w:rPr>
        <w:t> </w:t>
      </w:r>
      <w:r>
        <w:rPr>
          <w:color w:val="0D0E0E"/>
        </w:rPr>
        <w:t>composto</w:t>
      </w:r>
      <w:r>
        <w:rPr>
          <w:color w:val="0D0E0E"/>
          <w:spacing w:val="-1"/>
        </w:rPr>
        <w:t> </w:t>
      </w:r>
      <w:r>
        <w:rPr>
          <w:color w:val="0D0E0E"/>
        </w:rPr>
        <w:t>–</w:t>
      </w:r>
      <w:r>
        <w:rPr>
          <w:color w:val="0D0E0E"/>
          <w:spacing w:val="-1"/>
        </w:rPr>
        <w:t> </w:t>
      </w:r>
      <w:r>
        <w:rPr>
          <w:color w:val="0D0E0E"/>
        </w:rPr>
        <w:t>Zona</w:t>
      </w:r>
      <w:r>
        <w:rPr>
          <w:color w:val="0D0E0E"/>
          <w:spacing w:val="-3"/>
        </w:rPr>
        <w:t> </w:t>
      </w:r>
      <w:r>
        <w:rPr>
          <w:color w:val="0D0E0E"/>
        </w:rPr>
        <w:t>do</w:t>
      </w:r>
      <w:r>
        <w:rPr>
          <w:color w:val="0D0E0E"/>
          <w:spacing w:val="-2"/>
        </w:rPr>
        <w:t> </w:t>
      </w:r>
      <w:r>
        <w:rPr>
          <w:color w:val="0D0E0E"/>
          <w:spacing w:val="-4"/>
        </w:rPr>
        <w:t>Euro:</w:t>
      </w:r>
    </w:p>
    <w:p>
      <w:pPr>
        <w:pStyle w:val="BodyText"/>
        <w:spacing w:before="11"/>
        <w:rPr>
          <w:sz w:val="17"/>
        </w:rPr>
      </w:pPr>
      <w:r>
        <w:rPr>
          <w:sz w:val="17"/>
        </w:rPr>
        <w:drawing>
          <wp:anchor distT="0" distB="0" distL="0" distR="0" allowOverlap="1" layoutInCell="1" locked="0" behindDoc="1" simplePos="0" relativeHeight="487597568">
            <wp:simplePos x="0" y="0"/>
            <wp:positionH relativeFrom="page">
              <wp:posOffset>1325880</wp:posOffset>
            </wp:positionH>
            <wp:positionV relativeFrom="paragraph">
              <wp:posOffset>154338</wp:posOffset>
            </wp:positionV>
            <wp:extent cx="4953000" cy="2346960"/>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24" cstate="print"/>
                    <a:stretch>
                      <a:fillRect/>
                    </a:stretch>
                  </pic:blipFill>
                  <pic:spPr>
                    <a:xfrm>
                      <a:off x="0" y="0"/>
                      <a:ext cx="4953000" cy="2346960"/>
                    </a:xfrm>
                    <a:prstGeom prst="rect">
                      <a:avLst/>
                    </a:prstGeom>
                  </pic:spPr>
                </pic:pic>
              </a:graphicData>
            </a:graphic>
          </wp:anchor>
        </w:drawing>
      </w:r>
    </w:p>
    <w:p>
      <w:pPr>
        <w:spacing w:before="14"/>
        <w:ind w:left="750" w:right="0" w:firstLine="0"/>
        <w:jc w:val="left"/>
        <w:rPr>
          <w:i/>
          <w:sz w:val="20"/>
        </w:rPr>
      </w:pPr>
      <w:r>
        <w:rPr>
          <w:i/>
          <w:color w:val="0D0E0E"/>
          <w:spacing w:val="-2"/>
          <w:sz w:val="20"/>
        </w:rPr>
        <w:t>Fonte:</w:t>
      </w:r>
      <w:r>
        <w:rPr>
          <w:i/>
          <w:color w:val="0D0E0E"/>
          <w:spacing w:val="54"/>
          <w:sz w:val="20"/>
        </w:rPr>
        <w:t> </w:t>
      </w:r>
      <w:r>
        <w:rPr>
          <w:i/>
          <w:color w:val="0D0E0E"/>
          <w:spacing w:val="-2"/>
          <w:sz w:val="20"/>
        </w:rPr>
        <w:t>https://tradingeconomics.com/euro-area/composite-</w:t>
      </w:r>
      <w:r>
        <w:rPr>
          <w:i/>
          <w:color w:val="0D0E0E"/>
          <w:spacing w:val="-5"/>
          <w:sz w:val="20"/>
        </w:rPr>
        <w:t>pmi</w:t>
      </w:r>
    </w:p>
    <w:p>
      <w:pPr>
        <w:pStyle w:val="BodyText"/>
        <w:spacing w:before="239"/>
        <w:ind w:left="42" w:right="1254" w:firstLine="707"/>
        <w:jc w:val="both"/>
      </w:pPr>
      <w:r>
        <w:rPr>
          <w:color w:val="0D0E0E"/>
        </w:rPr>
        <w:t>Para a indústria, o dado que já não era dos melhores, teve uma singela queda. Enquanto agosto marcou 43,50, o mês de setembro caiu para 43,40. Este foi o 15º registro de contração para o setor industrial no velho continente.</w:t>
      </w:r>
    </w:p>
    <w:p>
      <w:pPr>
        <w:pStyle w:val="BodyText"/>
        <w:spacing w:before="239"/>
        <w:ind w:left="3378"/>
      </w:pPr>
      <w:r>
        <w:rPr>
          <w:color w:val="0D0E0E"/>
        </w:rPr>
        <w:t>PMI</w:t>
      </w:r>
      <w:r>
        <w:rPr>
          <w:color w:val="0D0E0E"/>
          <w:spacing w:val="-2"/>
        </w:rPr>
        <w:t> </w:t>
      </w:r>
      <w:r>
        <w:rPr>
          <w:color w:val="0D0E0E"/>
        </w:rPr>
        <w:t>industrial</w:t>
      </w:r>
      <w:r>
        <w:rPr>
          <w:color w:val="0D0E0E"/>
          <w:spacing w:val="-1"/>
        </w:rPr>
        <w:t> </w:t>
      </w:r>
      <w:r>
        <w:rPr>
          <w:color w:val="0D0E0E"/>
        </w:rPr>
        <w:t>– Zona</w:t>
      </w:r>
      <w:r>
        <w:rPr>
          <w:color w:val="0D0E0E"/>
          <w:spacing w:val="-3"/>
        </w:rPr>
        <w:t> </w:t>
      </w:r>
      <w:r>
        <w:rPr>
          <w:color w:val="0D0E0E"/>
        </w:rPr>
        <w:t>do</w:t>
      </w:r>
      <w:r>
        <w:rPr>
          <w:color w:val="0D0E0E"/>
          <w:spacing w:val="-5"/>
        </w:rPr>
        <w:t> </w:t>
      </w:r>
      <w:r>
        <w:rPr>
          <w:color w:val="0D0E0E"/>
          <w:spacing w:val="-4"/>
        </w:rPr>
        <w:t>Euro:</w:t>
      </w:r>
    </w:p>
    <w:p>
      <w:pPr>
        <w:pStyle w:val="BodyText"/>
        <w:spacing w:before="4"/>
        <w:rPr>
          <w:sz w:val="10"/>
        </w:rPr>
      </w:pPr>
      <w:r>
        <w:rPr>
          <w:sz w:val="10"/>
        </w:rPr>
        <w:drawing>
          <wp:anchor distT="0" distB="0" distL="0" distR="0" allowOverlap="1" layoutInCell="1" locked="0" behindDoc="1" simplePos="0" relativeHeight="487598080">
            <wp:simplePos x="0" y="0"/>
            <wp:positionH relativeFrom="page">
              <wp:posOffset>1363980</wp:posOffset>
            </wp:positionH>
            <wp:positionV relativeFrom="paragraph">
              <wp:posOffset>95875</wp:posOffset>
            </wp:positionV>
            <wp:extent cx="4968240" cy="2346960"/>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25" cstate="print"/>
                    <a:stretch>
                      <a:fillRect/>
                    </a:stretch>
                  </pic:blipFill>
                  <pic:spPr>
                    <a:xfrm>
                      <a:off x="0" y="0"/>
                      <a:ext cx="4968240" cy="2346960"/>
                    </a:xfrm>
                    <a:prstGeom prst="rect">
                      <a:avLst/>
                    </a:prstGeom>
                  </pic:spPr>
                </pic:pic>
              </a:graphicData>
            </a:graphic>
          </wp:anchor>
        </w:drawing>
      </w:r>
    </w:p>
    <w:p>
      <w:pPr>
        <w:spacing w:before="27"/>
        <w:ind w:left="750" w:right="0" w:firstLine="0"/>
        <w:jc w:val="left"/>
        <w:rPr>
          <w:i/>
          <w:sz w:val="20"/>
        </w:rPr>
      </w:pPr>
      <w:r>
        <w:rPr>
          <w:i/>
          <w:color w:val="0D0E0E"/>
          <w:spacing w:val="-2"/>
          <w:sz w:val="20"/>
        </w:rPr>
        <w:t>Fonte:</w:t>
      </w:r>
      <w:r>
        <w:rPr>
          <w:i/>
          <w:color w:val="0D0E0E"/>
          <w:spacing w:val="52"/>
          <w:sz w:val="20"/>
        </w:rPr>
        <w:t> </w:t>
      </w:r>
      <w:r>
        <w:rPr>
          <w:i/>
          <w:color w:val="0D0E0E"/>
          <w:spacing w:val="-2"/>
          <w:sz w:val="20"/>
        </w:rPr>
        <w:t>https://tradingeconomics.com/euro-area/manufacturing-</w:t>
      </w:r>
      <w:r>
        <w:rPr>
          <w:i/>
          <w:color w:val="0D0E0E"/>
          <w:spacing w:val="-5"/>
          <w:sz w:val="20"/>
        </w:rPr>
        <w:t>pmi</w:t>
      </w:r>
    </w:p>
    <w:p>
      <w:pPr>
        <w:pStyle w:val="BodyText"/>
        <w:spacing w:before="239"/>
        <w:ind w:left="42" w:right="1255" w:firstLine="707"/>
        <w:jc w:val="both"/>
      </w:pPr>
      <w:r>
        <w:rPr>
          <w:color w:val="0D0E0E"/>
        </w:rPr>
        <w:t>Já o dado de serviços da mesma região, após bater no fundo de 47,90 em agosto, menor patamar na janela anual, subiu para 48,70 em setembro, porém ainda em campo contracionista pelo segundo mês consecutivo.</w:t>
      </w:r>
    </w:p>
    <w:p>
      <w:pPr>
        <w:pStyle w:val="BodyText"/>
        <w:spacing w:after="0"/>
        <w:jc w:val="both"/>
        <w:sectPr>
          <w:pgSz w:w="11920" w:h="16850"/>
          <w:pgMar w:top="1320" w:bottom="280" w:left="1559" w:right="141"/>
        </w:sectPr>
      </w:pPr>
    </w:p>
    <w:p>
      <w:pPr>
        <w:pStyle w:val="BodyText"/>
        <w:spacing w:before="39"/>
        <w:ind w:left="707" w:right="1211"/>
        <w:jc w:val="center"/>
      </w:pPr>
      <w:r>
        <w:rPr>
          <w:color w:val="0D0E0E"/>
        </w:rPr>
        <w:t>PMI</w:t>
      </w:r>
      <w:r>
        <w:rPr>
          <w:color w:val="0D0E0E"/>
          <w:spacing w:val="-1"/>
        </w:rPr>
        <w:t> </w:t>
      </w:r>
      <w:r>
        <w:rPr>
          <w:color w:val="0D0E0E"/>
        </w:rPr>
        <w:t>serviços</w:t>
      </w:r>
      <w:r>
        <w:rPr>
          <w:color w:val="0D0E0E"/>
          <w:spacing w:val="-2"/>
        </w:rPr>
        <w:t> </w:t>
      </w:r>
      <w:r>
        <w:rPr>
          <w:color w:val="0D0E0E"/>
        </w:rPr>
        <w:t>– Zona</w:t>
      </w:r>
      <w:r>
        <w:rPr>
          <w:color w:val="0D0E0E"/>
          <w:spacing w:val="-3"/>
        </w:rPr>
        <w:t> </w:t>
      </w:r>
      <w:r>
        <w:rPr>
          <w:color w:val="0D0E0E"/>
        </w:rPr>
        <w:t>do</w:t>
      </w:r>
      <w:r>
        <w:rPr>
          <w:color w:val="0D0E0E"/>
          <w:spacing w:val="-1"/>
        </w:rPr>
        <w:t> </w:t>
      </w:r>
      <w:r>
        <w:rPr>
          <w:color w:val="0D0E0E"/>
          <w:spacing w:val="-2"/>
        </w:rPr>
        <w:t>Euro:</w:t>
      </w:r>
    </w:p>
    <w:p>
      <w:pPr>
        <w:pStyle w:val="BodyText"/>
        <w:spacing w:before="56"/>
        <w:rPr>
          <w:sz w:val="20"/>
        </w:rPr>
      </w:pPr>
      <w:r>
        <w:rPr>
          <w:sz w:val="20"/>
        </w:rPr>
        <w:drawing>
          <wp:anchor distT="0" distB="0" distL="0" distR="0" allowOverlap="1" layoutInCell="1" locked="0" behindDoc="1" simplePos="0" relativeHeight="487598592">
            <wp:simplePos x="0" y="0"/>
            <wp:positionH relativeFrom="page">
              <wp:posOffset>1348739</wp:posOffset>
            </wp:positionH>
            <wp:positionV relativeFrom="paragraph">
              <wp:posOffset>205886</wp:posOffset>
            </wp:positionV>
            <wp:extent cx="4953000" cy="2346960"/>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26" cstate="print"/>
                    <a:stretch>
                      <a:fillRect/>
                    </a:stretch>
                  </pic:blipFill>
                  <pic:spPr>
                    <a:xfrm>
                      <a:off x="0" y="0"/>
                      <a:ext cx="4953000" cy="2346960"/>
                    </a:xfrm>
                    <a:prstGeom prst="rect">
                      <a:avLst/>
                    </a:prstGeom>
                  </pic:spPr>
                </pic:pic>
              </a:graphicData>
            </a:graphic>
          </wp:anchor>
        </w:drawing>
      </w:r>
    </w:p>
    <w:p>
      <w:pPr>
        <w:spacing w:before="63"/>
        <w:ind w:left="750" w:right="0" w:firstLine="0"/>
        <w:jc w:val="left"/>
        <w:rPr>
          <w:i/>
          <w:sz w:val="20"/>
        </w:rPr>
      </w:pPr>
      <w:r>
        <w:rPr>
          <w:i/>
          <w:color w:val="0D0E0E"/>
          <w:spacing w:val="-2"/>
          <w:sz w:val="20"/>
        </w:rPr>
        <w:t>Fonte:</w:t>
      </w:r>
      <w:r>
        <w:rPr>
          <w:i/>
          <w:color w:val="0D0E0E"/>
          <w:spacing w:val="49"/>
          <w:sz w:val="20"/>
        </w:rPr>
        <w:t> </w:t>
      </w:r>
      <w:r>
        <w:rPr>
          <w:i/>
          <w:color w:val="0D0E0E"/>
          <w:spacing w:val="-2"/>
          <w:sz w:val="20"/>
        </w:rPr>
        <w:t>https://tradingeconomics.com/euro-area/services-</w:t>
      </w:r>
      <w:r>
        <w:rPr>
          <w:i/>
          <w:color w:val="0D0E0E"/>
          <w:spacing w:val="-5"/>
          <w:sz w:val="20"/>
        </w:rPr>
        <w:t>pmi</w:t>
      </w:r>
    </w:p>
    <w:p>
      <w:pPr>
        <w:spacing w:after="0"/>
        <w:jc w:val="left"/>
        <w:rPr>
          <w:i/>
          <w:sz w:val="20"/>
        </w:rPr>
        <w:sectPr>
          <w:pgSz w:w="11920" w:h="16850"/>
          <w:pgMar w:top="1320" w:bottom="280" w:left="1559" w:right="141"/>
        </w:sectPr>
      </w:pPr>
    </w:p>
    <w:p>
      <w:pPr>
        <w:pStyle w:val="Heading1"/>
      </w:pPr>
      <w:r>
        <w:rPr>
          <w:spacing w:val="-4"/>
        </w:rPr>
        <w:t>Ásia</w:t>
      </w:r>
    </w:p>
    <w:p>
      <w:pPr>
        <w:pStyle w:val="Heading2"/>
      </w:pPr>
      <w:r>
        <w:rPr>
          <w:spacing w:val="-2"/>
        </w:rPr>
        <w:t>Inflação</w:t>
      </w:r>
    </w:p>
    <w:p>
      <w:pPr>
        <w:pStyle w:val="BodyText"/>
        <w:spacing w:before="239"/>
        <w:ind w:left="42" w:right="1261" w:firstLine="707"/>
        <w:jc w:val="both"/>
      </w:pPr>
      <w:r>
        <w:rPr>
          <w:color w:val="0D0E0E"/>
        </w:rPr>
        <w:t>Na China, de acordo com os dados divulgados, a inflação permanece em patamares bem</w:t>
      </w:r>
      <w:r>
        <w:rPr>
          <w:color w:val="0D0E0E"/>
          <w:spacing w:val="-10"/>
        </w:rPr>
        <w:t> </w:t>
      </w:r>
      <w:r>
        <w:rPr>
          <w:color w:val="0D0E0E"/>
        </w:rPr>
        <w:t>baixos</w:t>
      </w:r>
      <w:r>
        <w:rPr>
          <w:color w:val="0D0E0E"/>
          <w:spacing w:val="-14"/>
        </w:rPr>
        <w:t> </w:t>
      </w:r>
      <w:r>
        <w:rPr>
          <w:color w:val="0D0E0E"/>
        </w:rPr>
        <w:t>e</w:t>
      </w:r>
      <w:r>
        <w:rPr>
          <w:color w:val="0D0E0E"/>
          <w:spacing w:val="-11"/>
        </w:rPr>
        <w:t> </w:t>
      </w:r>
      <w:r>
        <w:rPr>
          <w:color w:val="0D0E0E"/>
        </w:rPr>
        <w:t>controlados,</w:t>
      </w:r>
      <w:r>
        <w:rPr>
          <w:color w:val="0D0E0E"/>
          <w:spacing w:val="-11"/>
        </w:rPr>
        <w:t> </w:t>
      </w:r>
      <w:r>
        <w:rPr>
          <w:color w:val="0D0E0E"/>
        </w:rPr>
        <w:t>e</w:t>
      </w:r>
      <w:r>
        <w:rPr>
          <w:color w:val="0D0E0E"/>
          <w:spacing w:val="-11"/>
        </w:rPr>
        <w:t> </w:t>
      </w:r>
      <w:r>
        <w:rPr>
          <w:color w:val="0D0E0E"/>
        </w:rPr>
        <w:t>diferente</w:t>
      </w:r>
      <w:r>
        <w:rPr>
          <w:color w:val="0D0E0E"/>
          <w:spacing w:val="-13"/>
        </w:rPr>
        <w:t> </w:t>
      </w:r>
      <w:r>
        <w:rPr>
          <w:color w:val="0D0E0E"/>
        </w:rPr>
        <w:t>da</w:t>
      </w:r>
      <w:r>
        <w:rPr>
          <w:color w:val="0D0E0E"/>
          <w:spacing w:val="-11"/>
        </w:rPr>
        <w:t> </w:t>
      </w:r>
      <w:r>
        <w:rPr>
          <w:color w:val="0D0E0E"/>
        </w:rPr>
        <w:t>projeção</w:t>
      </w:r>
      <w:r>
        <w:rPr>
          <w:color w:val="0D0E0E"/>
          <w:spacing w:val="-13"/>
        </w:rPr>
        <w:t> </w:t>
      </w:r>
      <w:r>
        <w:rPr>
          <w:color w:val="0D0E0E"/>
        </w:rPr>
        <w:t>de</w:t>
      </w:r>
      <w:r>
        <w:rPr>
          <w:color w:val="0D0E0E"/>
          <w:spacing w:val="-11"/>
        </w:rPr>
        <w:t> </w:t>
      </w:r>
      <w:r>
        <w:rPr>
          <w:color w:val="0D0E0E"/>
        </w:rPr>
        <w:t>0,2%</w:t>
      </w:r>
      <w:r>
        <w:rPr>
          <w:color w:val="0D0E0E"/>
          <w:spacing w:val="-12"/>
        </w:rPr>
        <w:t> </w:t>
      </w:r>
      <w:r>
        <w:rPr>
          <w:color w:val="0D0E0E"/>
        </w:rPr>
        <w:t>de</w:t>
      </w:r>
      <w:r>
        <w:rPr>
          <w:color w:val="0D0E0E"/>
          <w:spacing w:val="-11"/>
        </w:rPr>
        <w:t> </w:t>
      </w:r>
      <w:r>
        <w:rPr>
          <w:color w:val="0D0E0E"/>
        </w:rPr>
        <w:t>inflação</w:t>
      </w:r>
      <w:r>
        <w:rPr>
          <w:color w:val="0D0E0E"/>
          <w:spacing w:val="-11"/>
        </w:rPr>
        <w:t> </w:t>
      </w:r>
      <w:r>
        <w:rPr>
          <w:color w:val="0D0E0E"/>
        </w:rPr>
        <w:t>ao</w:t>
      </w:r>
      <w:r>
        <w:rPr>
          <w:color w:val="0D0E0E"/>
          <w:spacing w:val="-11"/>
        </w:rPr>
        <w:t> </w:t>
      </w:r>
      <w:r>
        <w:rPr>
          <w:color w:val="0D0E0E"/>
        </w:rPr>
        <w:t>ano,</w:t>
      </w:r>
      <w:r>
        <w:rPr>
          <w:color w:val="0D0E0E"/>
          <w:spacing w:val="-10"/>
        </w:rPr>
        <w:t> </w:t>
      </w:r>
      <w:r>
        <w:rPr>
          <w:color w:val="0D0E0E"/>
        </w:rPr>
        <w:t>setembro</w:t>
      </w:r>
      <w:r>
        <w:rPr>
          <w:color w:val="0D0E0E"/>
          <w:spacing w:val="-11"/>
        </w:rPr>
        <w:t> </w:t>
      </w:r>
      <w:r>
        <w:rPr>
          <w:color w:val="0D0E0E"/>
        </w:rPr>
        <w:t>não contou com nenhuma variação dos preços, conforme vemos abaixo:</w:t>
      </w:r>
    </w:p>
    <w:p>
      <w:pPr>
        <w:pStyle w:val="BodyText"/>
        <w:spacing w:before="241"/>
        <w:ind w:left="706" w:right="1211"/>
        <w:jc w:val="center"/>
      </w:pPr>
      <w:r>
        <w:rPr>
          <w:color w:val="0D0E0E"/>
        </w:rPr>
        <w:t>CPI</w:t>
      </w:r>
      <w:r>
        <w:rPr>
          <w:color w:val="0D0E0E"/>
          <w:spacing w:val="-2"/>
        </w:rPr>
        <w:t> </w:t>
      </w:r>
      <w:r>
        <w:rPr>
          <w:color w:val="0D0E0E"/>
        </w:rPr>
        <w:t>–</w:t>
      </w:r>
      <w:r>
        <w:rPr>
          <w:color w:val="0D0E0E"/>
          <w:spacing w:val="1"/>
        </w:rPr>
        <w:t> </w:t>
      </w:r>
      <w:r>
        <w:rPr>
          <w:color w:val="0D0E0E"/>
          <w:spacing w:val="-2"/>
        </w:rPr>
        <w:t>China:</w:t>
      </w:r>
    </w:p>
    <w:p>
      <w:pPr>
        <w:pStyle w:val="BodyText"/>
        <w:spacing w:before="59"/>
        <w:rPr>
          <w:sz w:val="20"/>
        </w:rPr>
      </w:pPr>
      <w:r>
        <w:rPr>
          <w:sz w:val="20"/>
        </w:rPr>
        <w:drawing>
          <wp:anchor distT="0" distB="0" distL="0" distR="0" allowOverlap="1" layoutInCell="1" locked="0" behindDoc="1" simplePos="0" relativeHeight="487599104">
            <wp:simplePos x="0" y="0"/>
            <wp:positionH relativeFrom="page">
              <wp:posOffset>1341119</wp:posOffset>
            </wp:positionH>
            <wp:positionV relativeFrom="paragraph">
              <wp:posOffset>207728</wp:posOffset>
            </wp:positionV>
            <wp:extent cx="4975859" cy="2179320"/>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27" cstate="print"/>
                    <a:stretch>
                      <a:fillRect/>
                    </a:stretch>
                  </pic:blipFill>
                  <pic:spPr>
                    <a:xfrm>
                      <a:off x="0" y="0"/>
                      <a:ext cx="4975859" cy="2179320"/>
                    </a:xfrm>
                    <a:prstGeom prst="rect">
                      <a:avLst/>
                    </a:prstGeom>
                  </pic:spPr>
                </pic:pic>
              </a:graphicData>
            </a:graphic>
          </wp:anchor>
        </w:drawing>
      </w:r>
    </w:p>
    <w:p>
      <w:pPr>
        <w:spacing w:before="50"/>
        <w:ind w:left="750" w:right="0" w:firstLine="0"/>
        <w:jc w:val="left"/>
        <w:rPr>
          <w:i/>
          <w:sz w:val="20"/>
        </w:rPr>
      </w:pPr>
      <w:r>
        <w:rPr>
          <w:i/>
          <w:color w:val="0D0E0E"/>
          <w:spacing w:val="-2"/>
          <w:sz w:val="20"/>
        </w:rPr>
        <w:t>Fonte:</w:t>
      </w:r>
      <w:r>
        <w:rPr>
          <w:i/>
          <w:color w:val="0D0E0E"/>
          <w:spacing w:val="52"/>
          <w:sz w:val="20"/>
        </w:rPr>
        <w:t> </w:t>
      </w:r>
      <w:r>
        <w:rPr>
          <w:i/>
          <w:color w:val="0D0E0E"/>
          <w:spacing w:val="-2"/>
          <w:sz w:val="20"/>
        </w:rPr>
        <w:t>https://tradingeconomics.com/china/inflation-</w:t>
      </w:r>
      <w:r>
        <w:rPr>
          <w:i/>
          <w:color w:val="0D0E0E"/>
          <w:spacing w:val="-5"/>
          <w:sz w:val="20"/>
        </w:rPr>
        <w:t>cpi</w:t>
      </w:r>
    </w:p>
    <w:p>
      <w:pPr>
        <w:pStyle w:val="BodyText"/>
        <w:spacing w:before="239"/>
        <w:ind w:left="750"/>
      </w:pPr>
      <w:r>
        <w:rPr>
          <w:color w:val="0D0E0E"/>
        </w:rPr>
        <w:t>Pelo</w:t>
      </w:r>
      <w:r>
        <w:rPr>
          <w:color w:val="0D0E0E"/>
          <w:spacing w:val="-5"/>
        </w:rPr>
        <w:t> </w:t>
      </w:r>
      <w:r>
        <w:rPr>
          <w:color w:val="0D0E0E"/>
        </w:rPr>
        <w:t>terceiro</w:t>
      </w:r>
      <w:r>
        <w:rPr>
          <w:color w:val="0D0E0E"/>
          <w:spacing w:val="-1"/>
        </w:rPr>
        <w:t> </w:t>
      </w:r>
      <w:r>
        <w:rPr>
          <w:color w:val="0D0E0E"/>
        </w:rPr>
        <w:t>mês</w:t>
      </w:r>
      <w:r>
        <w:rPr>
          <w:color w:val="0D0E0E"/>
          <w:spacing w:val="-3"/>
        </w:rPr>
        <w:t> </w:t>
      </w:r>
      <w:r>
        <w:rPr>
          <w:color w:val="0D0E0E"/>
        </w:rPr>
        <w:t>consecutivo,</w:t>
      </w:r>
      <w:r>
        <w:rPr>
          <w:color w:val="0D0E0E"/>
          <w:spacing w:val="-4"/>
        </w:rPr>
        <w:t> </w:t>
      </w:r>
      <w:r>
        <w:rPr>
          <w:color w:val="0D0E0E"/>
        </w:rPr>
        <w:t>o núcleo</w:t>
      </w:r>
      <w:r>
        <w:rPr>
          <w:color w:val="0D0E0E"/>
          <w:spacing w:val="-2"/>
        </w:rPr>
        <w:t> </w:t>
      </w:r>
      <w:r>
        <w:rPr>
          <w:color w:val="0D0E0E"/>
        </w:rPr>
        <w:t>registrou</w:t>
      </w:r>
      <w:r>
        <w:rPr>
          <w:color w:val="0D0E0E"/>
          <w:spacing w:val="-5"/>
        </w:rPr>
        <w:t> </w:t>
      </w:r>
      <w:r>
        <w:rPr>
          <w:color w:val="0D0E0E"/>
        </w:rPr>
        <w:t>0,8%</w:t>
      </w:r>
      <w:r>
        <w:rPr>
          <w:color w:val="0D0E0E"/>
          <w:spacing w:val="-2"/>
        </w:rPr>
        <w:t> </w:t>
      </w:r>
      <w:r>
        <w:rPr>
          <w:color w:val="0D0E0E"/>
        </w:rPr>
        <w:t>ao</w:t>
      </w:r>
      <w:r>
        <w:rPr>
          <w:color w:val="0D0E0E"/>
          <w:spacing w:val="-1"/>
        </w:rPr>
        <w:t> </w:t>
      </w:r>
      <w:r>
        <w:rPr>
          <w:color w:val="0D0E0E"/>
        </w:rPr>
        <w:t>ano</w:t>
      </w:r>
      <w:r>
        <w:rPr>
          <w:color w:val="0D0E0E"/>
          <w:spacing w:val="1"/>
        </w:rPr>
        <w:t> </w:t>
      </w:r>
      <w:r>
        <w:rPr>
          <w:color w:val="0D0E0E"/>
        </w:rPr>
        <w:t>em </w:t>
      </w:r>
      <w:r>
        <w:rPr>
          <w:color w:val="0D0E0E"/>
          <w:spacing w:val="-2"/>
        </w:rPr>
        <w:t>setembro.</w:t>
      </w:r>
    </w:p>
    <w:p>
      <w:pPr>
        <w:pStyle w:val="Heading2"/>
      </w:pPr>
      <w:r>
        <w:rPr>
          <w:spacing w:val="-2"/>
        </w:rPr>
        <w:t>Juros</w:t>
      </w:r>
    </w:p>
    <w:p>
      <w:pPr>
        <w:pStyle w:val="BodyText"/>
        <w:spacing w:before="239"/>
        <w:ind w:left="42" w:right="1253" w:firstLine="707"/>
        <w:jc w:val="both"/>
      </w:pPr>
      <w:r>
        <w:rPr>
          <w:color w:val="0D0E0E"/>
        </w:rPr>
        <w:t>Desde 21 de agosto, em que o banco central chinês (PBoC) realizou um corte de 10 pontos base em sua taxa de 1 ano ao patamar de 3,45% ao ano, não tivemos alterações. O mesmo é</w:t>
      </w:r>
      <w:r>
        <w:rPr>
          <w:color w:val="0D0E0E"/>
          <w:spacing w:val="-3"/>
        </w:rPr>
        <w:t> </w:t>
      </w:r>
      <w:r>
        <w:rPr>
          <w:color w:val="0D0E0E"/>
        </w:rPr>
        <w:t>válido</w:t>
      </w:r>
      <w:r>
        <w:rPr>
          <w:color w:val="0D0E0E"/>
          <w:spacing w:val="-2"/>
        </w:rPr>
        <w:t> </w:t>
      </w:r>
      <w:r>
        <w:rPr>
          <w:color w:val="0D0E0E"/>
        </w:rPr>
        <w:t>para</w:t>
      </w:r>
      <w:r>
        <w:rPr>
          <w:color w:val="0D0E0E"/>
          <w:spacing w:val="-2"/>
        </w:rPr>
        <w:t> </w:t>
      </w:r>
      <w:r>
        <w:rPr>
          <w:color w:val="0D0E0E"/>
        </w:rPr>
        <w:t>a</w:t>
      </w:r>
      <w:r>
        <w:rPr>
          <w:color w:val="0D0E0E"/>
          <w:spacing w:val="-3"/>
        </w:rPr>
        <w:t> </w:t>
      </w:r>
      <w:r>
        <w:rPr>
          <w:color w:val="0D0E0E"/>
        </w:rPr>
        <w:t>taxa</w:t>
      </w:r>
      <w:r>
        <w:rPr>
          <w:color w:val="0D0E0E"/>
          <w:spacing w:val="-1"/>
        </w:rPr>
        <w:t> </w:t>
      </w:r>
      <w:r>
        <w:rPr>
          <w:color w:val="0D0E0E"/>
        </w:rPr>
        <w:t>de</w:t>
      </w:r>
      <w:r>
        <w:rPr>
          <w:color w:val="0D0E0E"/>
          <w:spacing w:val="-3"/>
        </w:rPr>
        <w:t> </w:t>
      </w:r>
      <w:r>
        <w:rPr>
          <w:color w:val="0D0E0E"/>
        </w:rPr>
        <w:t>juros de</w:t>
      </w:r>
      <w:r>
        <w:rPr>
          <w:color w:val="0D0E0E"/>
          <w:spacing w:val="-2"/>
        </w:rPr>
        <w:t> </w:t>
      </w:r>
      <w:r>
        <w:rPr>
          <w:color w:val="0D0E0E"/>
        </w:rPr>
        <w:t>empréstimo de vencimento</w:t>
      </w:r>
      <w:r>
        <w:rPr>
          <w:color w:val="0D0E0E"/>
          <w:spacing w:val="-2"/>
        </w:rPr>
        <w:t> </w:t>
      </w:r>
      <w:r>
        <w:rPr>
          <w:color w:val="0D0E0E"/>
        </w:rPr>
        <w:t>de</w:t>
      </w:r>
      <w:r>
        <w:rPr>
          <w:color w:val="0D0E0E"/>
          <w:spacing w:val="-3"/>
        </w:rPr>
        <w:t> </w:t>
      </w:r>
      <w:r>
        <w:rPr>
          <w:color w:val="0D0E0E"/>
        </w:rPr>
        <w:t>5</w:t>
      </w:r>
      <w:r>
        <w:rPr>
          <w:color w:val="0D0E0E"/>
          <w:spacing w:val="-5"/>
        </w:rPr>
        <w:t> </w:t>
      </w:r>
      <w:r>
        <w:rPr>
          <w:color w:val="0D0E0E"/>
        </w:rPr>
        <w:t>anos,</w:t>
      </w:r>
      <w:r>
        <w:rPr>
          <w:color w:val="0D0E0E"/>
          <w:spacing w:val="-2"/>
        </w:rPr>
        <w:t> </w:t>
      </w:r>
      <w:r>
        <w:rPr>
          <w:color w:val="0D0E0E"/>
        </w:rPr>
        <w:t>que</w:t>
      </w:r>
      <w:r>
        <w:rPr>
          <w:color w:val="0D0E0E"/>
          <w:spacing w:val="-5"/>
        </w:rPr>
        <w:t> </w:t>
      </w:r>
      <w:r>
        <w:rPr>
          <w:color w:val="0D0E0E"/>
        </w:rPr>
        <w:t>também permanece no patamar de 4,2% (LPR) ao ano.</w:t>
      </w:r>
    </w:p>
    <w:p>
      <w:pPr>
        <w:pStyle w:val="BodyText"/>
        <w:spacing w:before="242"/>
        <w:ind w:left="708" w:right="1211"/>
        <w:jc w:val="center"/>
      </w:pPr>
      <w:r>
        <w:rPr>
          <w:color w:val="0D0E0E"/>
        </w:rPr>
        <w:t>Taxa</w:t>
      </w:r>
      <w:r>
        <w:rPr>
          <w:color w:val="0D0E0E"/>
          <w:spacing w:val="-2"/>
        </w:rPr>
        <w:t> </w:t>
      </w:r>
      <w:r>
        <w:rPr>
          <w:color w:val="0D0E0E"/>
        </w:rPr>
        <w:t>de</w:t>
      </w:r>
      <w:r>
        <w:rPr>
          <w:color w:val="0D0E0E"/>
          <w:spacing w:val="-3"/>
        </w:rPr>
        <w:t> </w:t>
      </w:r>
      <w:r>
        <w:rPr>
          <w:color w:val="0D0E0E"/>
        </w:rPr>
        <w:t>Juros</w:t>
      </w:r>
      <w:r>
        <w:rPr>
          <w:color w:val="0D0E0E"/>
          <w:spacing w:val="-1"/>
        </w:rPr>
        <w:t> </w:t>
      </w:r>
      <w:r>
        <w:rPr>
          <w:color w:val="0D0E0E"/>
        </w:rPr>
        <w:t>(1</w:t>
      </w:r>
      <w:r>
        <w:rPr>
          <w:color w:val="0D0E0E"/>
          <w:spacing w:val="-1"/>
        </w:rPr>
        <w:t> </w:t>
      </w:r>
      <w:r>
        <w:rPr>
          <w:color w:val="0D0E0E"/>
        </w:rPr>
        <w:t>ano)</w:t>
      </w:r>
      <w:r>
        <w:rPr>
          <w:color w:val="0D0E0E"/>
          <w:spacing w:val="1"/>
        </w:rPr>
        <w:t> </w:t>
      </w:r>
      <w:r>
        <w:rPr>
          <w:color w:val="0D0E0E"/>
        </w:rPr>
        <w:t>–</w:t>
      </w:r>
      <w:r>
        <w:rPr>
          <w:color w:val="0D0E0E"/>
          <w:spacing w:val="-2"/>
        </w:rPr>
        <w:t> China:</w:t>
      </w:r>
    </w:p>
    <w:p>
      <w:pPr>
        <w:pStyle w:val="BodyText"/>
        <w:spacing w:before="8"/>
        <w:rPr>
          <w:sz w:val="8"/>
        </w:rPr>
      </w:pPr>
      <w:r>
        <w:rPr>
          <w:sz w:val="8"/>
        </w:rPr>
        <w:drawing>
          <wp:anchor distT="0" distB="0" distL="0" distR="0" allowOverlap="1" layoutInCell="1" locked="0" behindDoc="1" simplePos="0" relativeHeight="487599616">
            <wp:simplePos x="0" y="0"/>
            <wp:positionH relativeFrom="page">
              <wp:posOffset>1311275</wp:posOffset>
            </wp:positionH>
            <wp:positionV relativeFrom="paragraph">
              <wp:posOffset>82607</wp:posOffset>
            </wp:positionV>
            <wp:extent cx="5082540" cy="2392680"/>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28" cstate="print"/>
                    <a:stretch>
                      <a:fillRect/>
                    </a:stretch>
                  </pic:blipFill>
                  <pic:spPr>
                    <a:xfrm>
                      <a:off x="0" y="0"/>
                      <a:ext cx="5082540" cy="2392680"/>
                    </a:xfrm>
                    <a:prstGeom prst="rect">
                      <a:avLst/>
                    </a:prstGeom>
                  </pic:spPr>
                </pic:pic>
              </a:graphicData>
            </a:graphic>
          </wp:anchor>
        </w:drawing>
      </w:r>
    </w:p>
    <w:p>
      <w:pPr>
        <w:pStyle w:val="BodyText"/>
        <w:spacing w:before="23"/>
      </w:pPr>
    </w:p>
    <w:p>
      <w:pPr>
        <w:spacing w:before="0"/>
        <w:ind w:left="750" w:right="0" w:firstLine="0"/>
        <w:jc w:val="left"/>
        <w:rPr>
          <w:i/>
          <w:sz w:val="20"/>
        </w:rPr>
      </w:pPr>
      <w:r>
        <w:rPr>
          <w:i/>
          <w:color w:val="0D0E0E"/>
          <w:spacing w:val="-2"/>
          <w:sz w:val="20"/>
        </w:rPr>
        <w:t>Fonte:</w:t>
      </w:r>
      <w:r>
        <w:rPr>
          <w:i/>
          <w:color w:val="0D0E0E"/>
          <w:spacing w:val="51"/>
          <w:sz w:val="20"/>
        </w:rPr>
        <w:t> </w:t>
      </w:r>
      <w:r>
        <w:rPr>
          <w:i/>
          <w:color w:val="0D0E0E"/>
          <w:spacing w:val="-2"/>
          <w:sz w:val="20"/>
        </w:rPr>
        <w:t>https://tradingeconomics.com/china/interest-</w:t>
      </w:r>
      <w:r>
        <w:rPr>
          <w:i/>
          <w:color w:val="0D0E0E"/>
          <w:spacing w:val="-4"/>
          <w:sz w:val="20"/>
        </w:rPr>
        <w:t>rate</w:t>
      </w:r>
    </w:p>
    <w:p>
      <w:pPr>
        <w:spacing w:after="0"/>
        <w:jc w:val="left"/>
        <w:rPr>
          <w:i/>
          <w:sz w:val="20"/>
        </w:rPr>
        <w:sectPr>
          <w:pgSz w:w="11920" w:h="16850"/>
          <w:pgMar w:top="1340" w:bottom="280" w:left="1559" w:right="141"/>
        </w:sectPr>
      </w:pPr>
    </w:p>
    <w:p>
      <w:pPr>
        <w:pStyle w:val="BodyText"/>
        <w:spacing w:before="39"/>
        <w:ind w:left="42" w:right="1262" w:firstLine="707"/>
        <w:jc w:val="both"/>
      </w:pPr>
      <w:r>
        <w:rPr>
          <w:color w:val="0D0E0E"/>
        </w:rPr>
        <w:t>Como já citado, ao longo do mês de setembro, o PBoC trabalhou com a venda de treasuries do governo americano, com a finalidade de minimizar a depreciação do Yuan, e por sua vez, o potencial de impactar a inflação local.</w:t>
      </w:r>
    </w:p>
    <w:p>
      <w:pPr>
        <w:pStyle w:val="BodyText"/>
      </w:pPr>
    </w:p>
    <w:p>
      <w:pPr>
        <w:pStyle w:val="BodyText"/>
        <w:spacing w:before="235"/>
      </w:pPr>
    </w:p>
    <w:p>
      <w:pPr>
        <w:spacing w:before="0"/>
        <w:ind w:left="42" w:right="0" w:firstLine="0"/>
        <w:jc w:val="left"/>
        <w:rPr>
          <w:sz w:val="28"/>
        </w:rPr>
      </w:pPr>
      <w:r>
        <w:rPr>
          <w:spacing w:val="-5"/>
          <w:sz w:val="28"/>
        </w:rPr>
        <w:t>PMI</w:t>
      </w:r>
    </w:p>
    <w:p>
      <w:pPr>
        <w:pStyle w:val="BodyText"/>
        <w:spacing w:before="241"/>
        <w:ind w:left="42" w:right="1252" w:firstLine="707"/>
        <w:jc w:val="both"/>
      </w:pPr>
      <w:r>
        <w:rPr>
          <w:color w:val="0D0E0E"/>
        </w:rPr>
        <w:t>Os</w:t>
      </w:r>
      <w:r>
        <w:rPr>
          <w:color w:val="0D0E0E"/>
          <w:spacing w:val="-14"/>
        </w:rPr>
        <w:t> </w:t>
      </w:r>
      <w:r>
        <w:rPr>
          <w:color w:val="0D0E0E"/>
        </w:rPr>
        <w:t>efeitos</w:t>
      </w:r>
      <w:r>
        <w:rPr>
          <w:color w:val="0D0E0E"/>
          <w:spacing w:val="-14"/>
        </w:rPr>
        <w:t> </w:t>
      </w:r>
      <w:r>
        <w:rPr>
          <w:color w:val="0D0E0E"/>
        </w:rPr>
        <w:t>do</w:t>
      </w:r>
      <w:r>
        <w:rPr>
          <w:color w:val="0D0E0E"/>
          <w:spacing w:val="-13"/>
        </w:rPr>
        <w:t> </w:t>
      </w:r>
      <w:r>
        <w:rPr>
          <w:color w:val="0D0E0E"/>
        </w:rPr>
        <w:t>aperto</w:t>
      </w:r>
      <w:r>
        <w:rPr>
          <w:color w:val="0D0E0E"/>
          <w:spacing w:val="-14"/>
        </w:rPr>
        <w:t> </w:t>
      </w:r>
      <w:r>
        <w:rPr>
          <w:color w:val="0D0E0E"/>
        </w:rPr>
        <w:t>monetário</w:t>
      </w:r>
      <w:r>
        <w:rPr>
          <w:color w:val="0D0E0E"/>
          <w:spacing w:val="-13"/>
        </w:rPr>
        <w:t> </w:t>
      </w:r>
      <w:r>
        <w:rPr>
          <w:color w:val="0D0E0E"/>
        </w:rPr>
        <w:t>global,</w:t>
      </w:r>
      <w:r>
        <w:rPr>
          <w:color w:val="0D0E0E"/>
          <w:spacing w:val="-12"/>
        </w:rPr>
        <w:t> </w:t>
      </w:r>
      <w:r>
        <w:rPr>
          <w:color w:val="0D0E0E"/>
        </w:rPr>
        <w:t>além</w:t>
      </w:r>
      <w:r>
        <w:rPr>
          <w:color w:val="0D0E0E"/>
          <w:spacing w:val="-13"/>
        </w:rPr>
        <w:t> </w:t>
      </w:r>
      <w:r>
        <w:rPr>
          <w:color w:val="0D0E0E"/>
        </w:rPr>
        <w:t>dos</w:t>
      </w:r>
      <w:r>
        <w:rPr>
          <w:color w:val="0D0E0E"/>
          <w:spacing w:val="-14"/>
        </w:rPr>
        <w:t> </w:t>
      </w:r>
      <w:r>
        <w:rPr>
          <w:color w:val="0D0E0E"/>
        </w:rPr>
        <w:t>efeitos</w:t>
      </w:r>
      <w:r>
        <w:rPr>
          <w:color w:val="0D0E0E"/>
          <w:spacing w:val="-14"/>
        </w:rPr>
        <w:t> </w:t>
      </w:r>
      <w:r>
        <w:rPr>
          <w:color w:val="0D0E0E"/>
        </w:rPr>
        <w:t>dos</w:t>
      </w:r>
      <w:r>
        <w:rPr>
          <w:color w:val="0D0E0E"/>
          <w:spacing w:val="-13"/>
        </w:rPr>
        <w:t> </w:t>
      </w:r>
      <w:r>
        <w:rPr>
          <w:color w:val="0D0E0E"/>
        </w:rPr>
        <w:t>patamares</w:t>
      </w:r>
      <w:r>
        <w:rPr>
          <w:color w:val="0D0E0E"/>
          <w:spacing w:val="-13"/>
        </w:rPr>
        <w:t> </w:t>
      </w:r>
      <w:r>
        <w:rPr>
          <w:color w:val="0D0E0E"/>
        </w:rPr>
        <w:t>de</w:t>
      </w:r>
      <w:r>
        <w:rPr>
          <w:color w:val="0D0E0E"/>
          <w:spacing w:val="-14"/>
        </w:rPr>
        <w:t> </w:t>
      </w:r>
      <w:r>
        <w:rPr>
          <w:color w:val="0D0E0E"/>
        </w:rPr>
        <w:t>juro</w:t>
      </w:r>
      <w:r>
        <w:rPr>
          <w:color w:val="0D0E0E"/>
          <w:spacing w:val="-10"/>
        </w:rPr>
        <w:t> </w:t>
      </w:r>
      <w:r>
        <w:rPr>
          <w:color w:val="0D0E0E"/>
        </w:rPr>
        <w:t>chinês foram sentidos nos indicadores PMIs da gigante asiática. Timidamente no campo expansionista, o PMI de serviços de setembro caiu pelo quarto mês consecutivo atingindo 50,20 pontos ante 51,80 de agosto.</w:t>
      </w:r>
    </w:p>
    <w:p>
      <w:pPr>
        <w:pStyle w:val="BodyText"/>
        <w:spacing w:before="240"/>
        <w:ind w:left="708" w:right="1211"/>
        <w:jc w:val="center"/>
      </w:pPr>
      <w:r>
        <w:rPr>
          <w:color w:val="0D0E0E"/>
        </w:rPr>
        <w:t>PMI</w:t>
      </w:r>
      <w:r>
        <w:rPr>
          <w:color w:val="0D0E0E"/>
          <w:spacing w:val="-1"/>
        </w:rPr>
        <w:t> </w:t>
      </w:r>
      <w:r>
        <w:rPr>
          <w:color w:val="0D0E0E"/>
        </w:rPr>
        <w:t>serviços</w:t>
      </w:r>
      <w:r>
        <w:rPr>
          <w:color w:val="0D0E0E"/>
          <w:spacing w:val="-1"/>
        </w:rPr>
        <w:t> </w:t>
      </w:r>
      <w:r>
        <w:rPr>
          <w:color w:val="0D0E0E"/>
        </w:rPr>
        <w:t>–</w:t>
      </w:r>
      <w:r>
        <w:rPr>
          <w:color w:val="0D0E0E"/>
          <w:spacing w:val="1"/>
        </w:rPr>
        <w:t> </w:t>
      </w:r>
      <w:r>
        <w:rPr>
          <w:color w:val="0D0E0E"/>
          <w:spacing w:val="-2"/>
        </w:rPr>
        <w:t>China:</w:t>
      </w:r>
    </w:p>
    <w:p>
      <w:pPr>
        <w:pStyle w:val="BodyText"/>
        <w:spacing w:before="10"/>
        <w:rPr>
          <w:sz w:val="20"/>
        </w:rPr>
      </w:pPr>
      <w:r>
        <w:rPr>
          <w:sz w:val="20"/>
        </w:rPr>
        <w:drawing>
          <wp:anchor distT="0" distB="0" distL="0" distR="0" allowOverlap="1" layoutInCell="1" locked="0" behindDoc="1" simplePos="0" relativeHeight="487600128">
            <wp:simplePos x="0" y="0"/>
            <wp:positionH relativeFrom="page">
              <wp:posOffset>1409700</wp:posOffset>
            </wp:positionH>
            <wp:positionV relativeFrom="paragraph">
              <wp:posOffset>177238</wp:posOffset>
            </wp:positionV>
            <wp:extent cx="4953000" cy="2346960"/>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29" cstate="print"/>
                    <a:stretch>
                      <a:fillRect/>
                    </a:stretch>
                  </pic:blipFill>
                  <pic:spPr>
                    <a:xfrm>
                      <a:off x="0" y="0"/>
                      <a:ext cx="4953000" cy="2346960"/>
                    </a:xfrm>
                    <a:prstGeom prst="rect">
                      <a:avLst/>
                    </a:prstGeom>
                  </pic:spPr>
                </pic:pic>
              </a:graphicData>
            </a:graphic>
          </wp:anchor>
        </w:drawing>
      </w:r>
    </w:p>
    <w:p>
      <w:pPr>
        <w:spacing w:before="62"/>
        <w:ind w:left="750" w:right="0" w:firstLine="0"/>
        <w:jc w:val="left"/>
        <w:rPr>
          <w:i/>
          <w:sz w:val="20"/>
        </w:rPr>
      </w:pPr>
      <w:r>
        <w:rPr>
          <w:i/>
          <w:color w:val="0D0E0E"/>
          <w:spacing w:val="-2"/>
          <w:sz w:val="20"/>
        </w:rPr>
        <w:t>Fonte:</w:t>
      </w:r>
      <w:r>
        <w:rPr>
          <w:i/>
          <w:color w:val="0D0E0E"/>
          <w:spacing w:val="48"/>
          <w:sz w:val="20"/>
        </w:rPr>
        <w:t> </w:t>
      </w:r>
      <w:r>
        <w:rPr>
          <w:i/>
          <w:color w:val="0D0E0E"/>
          <w:spacing w:val="-2"/>
          <w:sz w:val="20"/>
        </w:rPr>
        <w:t>https://tradingeconomics.com/china/services-</w:t>
      </w:r>
      <w:r>
        <w:rPr>
          <w:i/>
          <w:color w:val="0D0E0E"/>
          <w:spacing w:val="-5"/>
          <w:sz w:val="20"/>
        </w:rPr>
        <w:t>pmi</w:t>
      </w:r>
    </w:p>
    <w:p>
      <w:pPr>
        <w:pStyle w:val="BodyText"/>
        <w:spacing w:before="238"/>
        <w:ind w:left="42" w:right="1251" w:firstLine="707"/>
        <w:jc w:val="both"/>
      </w:pPr>
      <w:r>
        <w:rPr>
          <w:color w:val="0D0E0E"/>
        </w:rPr>
        <w:t>O</w:t>
      </w:r>
      <w:r>
        <w:rPr>
          <w:color w:val="0D0E0E"/>
          <w:spacing w:val="-4"/>
        </w:rPr>
        <w:t> </w:t>
      </w:r>
      <w:r>
        <w:rPr>
          <w:color w:val="0D0E0E"/>
        </w:rPr>
        <w:t>PMI</w:t>
      </w:r>
      <w:r>
        <w:rPr>
          <w:color w:val="0D0E0E"/>
          <w:spacing w:val="-7"/>
        </w:rPr>
        <w:t> </w:t>
      </w:r>
      <w:r>
        <w:rPr>
          <w:color w:val="0D0E0E"/>
        </w:rPr>
        <w:t>industrial</w:t>
      </w:r>
      <w:r>
        <w:rPr>
          <w:color w:val="0D0E0E"/>
          <w:spacing w:val="-2"/>
        </w:rPr>
        <w:t> </w:t>
      </w:r>
      <w:r>
        <w:rPr>
          <w:color w:val="0D0E0E"/>
        </w:rPr>
        <w:t>recuou</w:t>
      </w:r>
      <w:r>
        <w:rPr>
          <w:color w:val="0D0E0E"/>
          <w:spacing w:val="-5"/>
        </w:rPr>
        <w:t> </w:t>
      </w:r>
      <w:r>
        <w:rPr>
          <w:color w:val="0D0E0E"/>
        </w:rPr>
        <w:t>frente</w:t>
      </w:r>
      <w:r>
        <w:rPr>
          <w:color w:val="0D0E0E"/>
          <w:spacing w:val="-3"/>
        </w:rPr>
        <w:t> </w:t>
      </w:r>
      <w:r>
        <w:rPr>
          <w:color w:val="0D0E0E"/>
        </w:rPr>
        <w:t>a</w:t>
      </w:r>
      <w:r>
        <w:rPr>
          <w:color w:val="0D0E0E"/>
          <w:spacing w:val="-5"/>
        </w:rPr>
        <w:t> </w:t>
      </w:r>
      <w:r>
        <w:rPr>
          <w:color w:val="0D0E0E"/>
        </w:rPr>
        <w:t>recuperação</w:t>
      </w:r>
      <w:r>
        <w:rPr>
          <w:color w:val="0D0E0E"/>
          <w:spacing w:val="-5"/>
        </w:rPr>
        <w:t> </w:t>
      </w:r>
      <w:r>
        <w:rPr>
          <w:color w:val="0D0E0E"/>
        </w:rPr>
        <w:t>de</w:t>
      </w:r>
      <w:r>
        <w:rPr>
          <w:color w:val="0D0E0E"/>
          <w:spacing w:val="-3"/>
        </w:rPr>
        <w:t> </w:t>
      </w:r>
      <w:r>
        <w:rPr>
          <w:color w:val="0D0E0E"/>
        </w:rPr>
        <w:t>agosto.</w:t>
      </w:r>
      <w:r>
        <w:rPr>
          <w:color w:val="0D0E0E"/>
          <w:spacing w:val="-5"/>
        </w:rPr>
        <w:t> </w:t>
      </w:r>
      <w:r>
        <w:rPr>
          <w:color w:val="0D0E0E"/>
        </w:rPr>
        <w:t>O</w:t>
      </w:r>
      <w:r>
        <w:rPr>
          <w:color w:val="0D0E0E"/>
          <w:spacing w:val="-7"/>
        </w:rPr>
        <w:t> </w:t>
      </w:r>
      <w:r>
        <w:rPr>
          <w:color w:val="0D0E0E"/>
        </w:rPr>
        <w:t>índice</w:t>
      </w:r>
      <w:r>
        <w:rPr>
          <w:color w:val="0D0E0E"/>
          <w:spacing w:val="-2"/>
        </w:rPr>
        <w:t> </w:t>
      </w:r>
      <w:r>
        <w:rPr>
          <w:color w:val="0D0E0E"/>
        </w:rPr>
        <w:t>caiu</w:t>
      </w:r>
      <w:r>
        <w:rPr>
          <w:color w:val="0D0E0E"/>
          <w:spacing w:val="-5"/>
        </w:rPr>
        <w:t> </w:t>
      </w:r>
      <w:r>
        <w:rPr>
          <w:color w:val="0D0E0E"/>
        </w:rPr>
        <w:t>para</w:t>
      </w:r>
      <w:r>
        <w:rPr>
          <w:color w:val="0D0E0E"/>
          <w:spacing w:val="-6"/>
        </w:rPr>
        <w:t> </w:t>
      </w:r>
      <w:r>
        <w:rPr>
          <w:color w:val="0D0E0E"/>
        </w:rPr>
        <w:t>50,60</w:t>
      </w:r>
      <w:r>
        <w:rPr>
          <w:color w:val="0D0E0E"/>
          <w:spacing w:val="-5"/>
        </w:rPr>
        <w:t> </w:t>
      </w:r>
      <w:r>
        <w:rPr>
          <w:color w:val="0D0E0E"/>
        </w:rPr>
        <w:t>em setembro frente a 51 pontos em agosto, e abaixo das expectativas de mercado que estimavam 51,2.</w:t>
      </w:r>
    </w:p>
    <w:p>
      <w:pPr>
        <w:pStyle w:val="BodyText"/>
        <w:spacing w:before="240"/>
        <w:ind w:left="708" w:right="1211"/>
        <w:jc w:val="center"/>
      </w:pPr>
      <w:r>
        <w:rPr>
          <w:color w:val="0D0E0E"/>
        </w:rPr>
        <w:t>PMI</w:t>
      </w:r>
      <w:r>
        <w:rPr>
          <w:color w:val="0D0E0E"/>
          <w:spacing w:val="-2"/>
        </w:rPr>
        <w:t> </w:t>
      </w:r>
      <w:r>
        <w:rPr>
          <w:color w:val="0D0E0E"/>
        </w:rPr>
        <w:t>industrial</w:t>
      </w:r>
      <w:r>
        <w:rPr>
          <w:color w:val="0D0E0E"/>
          <w:spacing w:val="-1"/>
        </w:rPr>
        <w:t> </w:t>
      </w:r>
      <w:r>
        <w:rPr>
          <w:color w:val="0D0E0E"/>
        </w:rPr>
        <w:t>– </w:t>
      </w:r>
      <w:r>
        <w:rPr>
          <w:color w:val="0D0E0E"/>
          <w:spacing w:val="-2"/>
        </w:rPr>
        <w:t>China:</w:t>
      </w:r>
    </w:p>
    <w:p>
      <w:pPr>
        <w:pStyle w:val="BodyText"/>
        <w:spacing w:before="86"/>
        <w:rPr>
          <w:sz w:val="20"/>
        </w:rPr>
      </w:pPr>
      <w:r>
        <w:rPr>
          <w:sz w:val="20"/>
        </w:rPr>
        <w:drawing>
          <wp:anchor distT="0" distB="0" distL="0" distR="0" allowOverlap="1" layoutInCell="1" locked="0" behindDoc="1" simplePos="0" relativeHeight="487600640">
            <wp:simplePos x="0" y="0"/>
            <wp:positionH relativeFrom="page">
              <wp:posOffset>1325880</wp:posOffset>
            </wp:positionH>
            <wp:positionV relativeFrom="paragraph">
              <wp:posOffset>225427</wp:posOffset>
            </wp:positionV>
            <wp:extent cx="5013959" cy="2346960"/>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30" cstate="print"/>
                    <a:stretch>
                      <a:fillRect/>
                    </a:stretch>
                  </pic:blipFill>
                  <pic:spPr>
                    <a:xfrm>
                      <a:off x="0" y="0"/>
                      <a:ext cx="5013959" cy="2346960"/>
                    </a:xfrm>
                    <a:prstGeom prst="rect">
                      <a:avLst/>
                    </a:prstGeom>
                  </pic:spPr>
                </pic:pic>
              </a:graphicData>
            </a:graphic>
          </wp:anchor>
        </w:drawing>
      </w:r>
    </w:p>
    <w:p>
      <w:pPr>
        <w:spacing w:before="27"/>
        <w:ind w:left="750" w:right="0" w:firstLine="0"/>
        <w:jc w:val="left"/>
        <w:rPr>
          <w:i/>
          <w:sz w:val="20"/>
        </w:rPr>
      </w:pPr>
      <w:r>
        <w:rPr>
          <w:i/>
          <w:color w:val="0D0E0E"/>
          <w:spacing w:val="-2"/>
          <w:sz w:val="20"/>
        </w:rPr>
        <w:t>Fonte:</w:t>
      </w:r>
      <w:r>
        <w:rPr>
          <w:i/>
          <w:color w:val="0D0E0E"/>
          <w:spacing w:val="49"/>
          <w:sz w:val="20"/>
        </w:rPr>
        <w:t> </w:t>
      </w:r>
      <w:r>
        <w:rPr>
          <w:i/>
          <w:color w:val="0D0E0E"/>
          <w:spacing w:val="-2"/>
          <w:sz w:val="20"/>
        </w:rPr>
        <w:t>https://tradingeconomics.com/china/manufacturing-</w:t>
      </w:r>
      <w:r>
        <w:rPr>
          <w:i/>
          <w:color w:val="0D0E0E"/>
          <w:spacing w:val="-5"/>
          <w:sz w:val="20"/>
        </w:rPr>
        <w:t>pmi</w:t>
      </w:r>
    </w:p>
    <w:p>
      <w:pPr>
        <w:spacing w:after="0"/>
        <w:jc w:val="left"/>
        <w:rPr>
          <w:i/>
          <w:sz w:val="20"/>
        </w:rPr>
        <w:sectPr>
          <w:pgSz w:w="11920" w:h="16850"/>
          <w:pgMar w:top="1320" w:bottom="280" w:left="1559" w:right="141"/>
        </w:sectPr>
      </w:pPr>
    </w:p>
    <w:p>
      <w:pPr>
        <w:pStyle w:val="BodyText"/>
        <w:spacing w:before="39"/>
        <w:ind w:left="42" w:right="1254" w:firstLine="707"/>
        <w:jc w:val="both"/>
      </w:pPr>
      <w:r>
        <w:rPr>
          <w:color w:val="0D0E0E"/>
        </w:rPr>
        <w:t>O índice composto, assim como o de serviços, marcou queda pelo quarto mês consecutivo</w:t>
      </w:r>
      <w:r>
        <w:rPr>
          <w:color w:val="0D0E0E"/>
          <w:spacing w:val="-9"/>
        </w:rPr>
        <w:t> </w:t>
      </w:r>
      <w:r>
        <w:rPr>
          <w:color w:val="0D0E0E"/>
        </w:rPr>
        <w:t>e</w:t>
      </w:r>
      <w:r>
        <w:rPr>
          <w:color w:val="0D0E0E"/>
          <w:spacing w:val="-8"/>
        </w:rPr>
        <w:t> </w:t>
      </w:r>
      <w:r>
        <w:rPr>
          <w:color w:val="0D0E0E"/>
        </w:rPr>
        <w:t>em</w:t>
      </w:r>
      <w:r>
        <w:rPr>
          <w:color w:val="0D0E0E"/>
          <w:spacing w:val="-6"/>
        </w:rPr>
        <w:t> </w:t>
      </w:r>
      <w:r>
        <w:rPr>
          <w:color w:val="0D0E0E"/>
        </w:rPr>
        <w:t>menor</w:t>
      </w:r>
      <w:r>
        <w:rPr>
          <w:color w:val="0D0E0E"/>
          <w:spacing w:val="-8"/>
        </w:rPr>
        <w:t> </w:t>
      </w:r>
      <w:r>
        <w:rPr>
          <w:color w:val="0D0E0E"/>
        </w:rPr>
        <w:t>patamar</w:t>
      </w:r>
      <w:r>
        <w:rPr>
          <w:color w:val="0D0E0E"/>
          <w:spacing w:val="-8"/>
        </w:rPr>
        <w:t> </w:t>
      </w:r>
      <w:r>
        <w:rPr>
          <w:color w:val="0D0E0E"/>
        </w:rPr>
        <w:t>do</w:t>
      </w:r>
      <w:r>
        <w:rPr>
          <w:color w:val="0D0E0E"/>
          <w:spacing w:val="-6"/>
        </w:rPr>
        <w:t> </w:t>
      </w:r>
      <w:r>
        <w:rPr>
          <w:color w:val="0D0E0E"/>
        </w:rPr>
        <w:t>ano,</w:t>
      </w:r>
      <w:r>
        <w:rPr>
          <w:color w:val="0D0E0E"/>
          <w:spacing w:val="-8"/>
        </w:rPr>
        <w:t> </w:t>
      </w:r>
      <w:r>
        <w:rPr>
          <w:color w:val="0D0E0E"/>
        </w:rPr>
        <w:t>porém</w:t>
      </w:r>
      <w:r>
        <w:rPr>
          <w:color w:val="0D0E0E"/>
          <w:spacing w:val="-8"/>
        </w:rPr>
        <w:t> </w:t>
      </w:r>
      <w:r>
        <w:rPr>
          <w:color w:val="0D0E0E"/>
        </w:rPr>
        <w:t>ainda</w:t>
      </w:r>
      <w:r>
        <w:rPr>
          <w:color w:val="0D0E0E"/>
          <w:spacing w:val="-9"/>
        </w:rPr>
        <w:t> </w:t>
      </w:r>
      <w:r>
        <w:rPr>
          <w:color w:val="0D0E0E"/>
        </w:rPr>
        <w:t>em</w:t>
      </w:r>
      <w:r>
        <w:rPr>
          <w:color w:val="0D0E0E"/>
          <w:spacing w:val="-6"/>
        </w:rPr>
        <w:t> </w:t>
      </w:r>
      <w:r>
        <w:rPr>
          <w:color w:val="0D0E0E"/>
        </w:rPr>
        <w:t>campo</w:t>
      </w:r>
      <w:r>
        <w:rPr>
          <w:color w:val="0D0E0E"/>
          <w:spacing w:val="-3"/>
        </w:rPr>
        <w:t> </w:t>
      </w:r>
      <w:r>
        <w:rPr>
          <w:color w:val="0D0E0E"/>
        </w:rPr>
        <w:t>expansionista,</w:t>
      </w:r>
      <w:r>
        <w:rPr>
          <w:color w:val="0D0E0E"/>
          <w:spacing w:val="-8"/>
        </w:rPr>
        <w:t> </w:t>
      </w:r>
      <w:r>
        <w:rPr>
          <w:color w:val="0D0E0E"/>
        </w:rPr>
        <w:t>com</w:t>
      </w:r>
      <w:r>
        <w:rPr>
          <w:color w:val="0D0E0E"/>
          <w:spacing w:val="-8"/>
        </w:rPr>
        <w:t> </w:t>
      </w:r>
      <w:r>
        <w:rPr>
          <w:color w:val="0D0E0E"/>
        </w:rPr>
        <w:t>50,90 pontos em setembro ante 51,70 em agosto.</w:t>
      </w:r>
    </w:p>
    <w:p>
      <w:pPr>
        <w:pStyle w:val="BodyText"/>
        <w:spacing w:before="240"/>
        <w:ind w:left="708" w:right="1211"/>
        <w:jc w:val="center"/>
      </w:pPr>
      <w:r>
        <w:rPr>
          <w:color w:val="0D0E0E"/>
        </w:rPr>
        <w:t>PMI composto</w:t>
      </w:r>
      <w:r>
        <w:rPr>
          <w:color w:val="0D0E0E"/>
          <w:spacing w:val="-1"/>
        </w:rPr>
        <w:t> </w:t>
      </w:r>
      <w:r>
        <w:rPr>
          <w:color w:val="0D0E0E"/>
        </w:rPr>
        <w:t>–</w:t>
      </w:r>
      <w:r>
        <w:rPr>
          <w:color w:val="0D0E0E"/>
          <w:spacing w:val="1"/>
        </w:rPr>
        <w:t> </w:t>
      </w:r>
      <w:r>
        <w:rPr>
          <w:color w:val="0D0E0E"/>
          <w:spacing w:val="-2"/>
        </w:rPr>
        <w:t>China:</w:t>
      </w:r>
    </w:p>
    <w:p>
      <w:pPr>
        <w:pStyle w:val="BodyText"/>
        <w:spacing w:before="11"/>
        <w:rPr>
          <w:sz w:val="20"/>
        </w:rPr>
      </w:pPr>
      <w:r>
        <w:rPr>
          <w:sz w:val="20"/>
        </w:rPr>
        <w:drawing>
          <wp:anchor distT="0" distB="0" distL="0" distR="0" allowOverlap="1" layoutInCell="1" locked="0" behindDoc="1" simplePos="0" relativeHeight="487601152">
            <wp:simplePos x="0" y="0"/>
            <wp:positionH relativeFrom="page">
              <wp:posOffset>1386839</wp:posOffset>
            </wp:positionH>
            <wp:positionV relativeFrom="paragraph">
              <wp:posOffset>177371</wp:posOffset>
            </wp:positionV>
            <wp:extent cx="4968240" cy="2346960"/>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31" cstate="print"/>
                    <a:stretch>
                      <a:fillRect/>
                    </a:stretch>
                  </pic:blipFill>
                  <pic:spPr>
                    <a:xfrm>
                      <a:off x="0" y="0"/>
                      <a:ext cx="4968240" cy="2346960"/>
                    </a:xfrm>
                    <a:prstGeom prst="rect">
                      <a:avLst/>
                    </a:prstGeom>
                  </pic:spPr>
                </pic:pic>
              </a:graphicData>
            </a:graphic>
          </wp:anchor>
        </w:drawing>
      </w:r>
    </w:p>
    <w:p>
      <w:pPr>
        <w:spacing w:before="26"/>
        <w:ind w:left="750" w:right="0" w:firstLine="0"/>
        <w:jc w:val="left"/>
        <w:rPr>
          <w:i/>
          <w:sz w:val="20"/>
        </w:rPr>
      </w:pPr>
      <w:r>
        <w:rPr>
          <w:i/>
          <w:color w:val="0D0E0E"/>
          <w:spacing w:val="-2"/>
          <w:sz w:val="20"/>
        </w:rPr>
        <w:t>Fonte:</w:t>
      </w:r>
      <w:r>
        <w:rPr>
          <w:i/>
          <w:color w:val="0D0E0E"/>
          <w:spacing w:val="54"/>
          <w:sz w:val="20"/>
        </w:rPr>
        <w:t> </w:t>
      </w:r>
      <w:r>
        <w:rPr>
          <w:i/>
          <w:color w:val="0D0E0E"/>
          <w:spacing w:val="-2"/>
          <w:sz w:val="20"/>
        </w:rPr>
        <w:t>https://tradingeconomics.com/china/composite-</w:t>
      </w:r>
      <w:r>
        <w:rPr>
          <w:i/>
          <w:color w:val="0D0E0E"/>
          <w:spacing w:val="-5"/>
          <w:sz w:val="20"/>
        </w:rPr>
        <w:t>pmi</w:t>
      </w:r>
    </w:p>
    <w:p>
      <w:pPr>
        <w:pStyle w:val="BodyText"/>
        <w:rPr>
          <w:i/>
          <w:sz w:val="20"/>
        </w:rPr>
      </w:pPr>
    </w:p>
    <w:p>
      <w:pPr>
        <w:pStyle w:val="BodyText"/>
        <w:rPr>
          <w:i/>
          <w:sz w:val="20"/>
        </w:rPr>
      </w:pPr>
    </w:p>
    <w:p>
      <w:pPr>
        <w:pStyle w:val="BodyText"/>
        <w:spacing w:before="87"/>
        <w:rPr>
          <w:i/>
          <w:sz w:val="20"/>
        </w:rPr>
      </w:pPr>
    </w:p>
    <w:p>
      <w:pPr>
        <w:pStyle w:val="Heading1"/>
        <w:spacing w:before="0"/>
      </w:pPr>
      <w:r>
        <w:rPr>
          <w:spacing w:val="-2"/>
        </w:rPr>
        <w:t>Brasil</w:t>
      </w:r>
    </w:p>
    <w:p>
      <w:pPr>
        <w:pStyle w:val="Heading2"/>
        <w:spacing w:before="241"/>
      </w:pPr>
      <w:r>
        <w:rPr>
          <w:spacing w:val="-2"/>
        </w:rPr>
        <w:t>Juros</w:t>
      </w:r>
    </w:p>
    <w:p>
      <w:pPr>
        <w:pStyle w:val="BodyText"/>
        <w:spacing w:before="239"/>
        <w:ind w:left="42" w:right="1260" w:firstLine="707"/>
        <w:jc w:val="both"/>
      </w:pPr>
      <w:r>
        <w:rPr>
          <w:color w:val="0D0E0E"/>
        </w:rPr>
        <w:t>No</w:t>
      </w:r>
      <w:r>
        <w:rPr>
          <w:color w:val="0D0E0E"/>
          <w:spacing w:val="-3"/>
        </w:rPr>
        <w:t> </w:t>
      </w:r>
      <w:r>
        <w:rPr>
          <w:color w:val="0D0E0E"/>
        </w:rPr>
        <w:t>Brasil,</w:t>
      </w:r>
      <w:r>
        <w:rPr>
          <w:color w:val="0D0E0E"/>
          <w:spacing w:val="-6"/>
        </w:rPr>
        <w:t> </w:t>
      </w:r>
      <w:r>
        <w:rPr>
          <w:color w:val="0D0E0E"/>
        </w:rPr>
        <w:t>no</w:t>
      </w:r>
      <w:r>
        <w:rPr>
          <w:color w:val="0D0E0E"/>
          <w:spacing w:val="-6"/>
        </w:rPr>
        <w:t> </w:t>
      </w:r>
      <w:r>
        <w:rPr>
          <w:color w:val="0D0E0E"/>
        </w:rPr>
        <w:t>dia</w:t>
      </w:r>
      <w:r>
        <w:rPr>
          <w:color w:val="0D0E0E"/>
          <w:spacing w:val="-4"/>
        </w:rPr>
        <w:t> </w:t>
      </w:r>
      <w:r>
        <w:rPr>
          <w:color w:val="0D0E0E"/>
        </w:rPr>
        <w:t>20</w:t>
      </w:r>
      <w:r>
        <w:rPr>
          <w:color w:val="0D0E0E"/>
          <w:spacing w:val="-3"/>
        </w:rPr>
        <w:t> </w:t>
      </w:r>
      <w:r>
        <w:rPr>
          <w:color w:val="0D0E0E"/>
        </w:rPr>
        <w:t>de</w:t>
      </w:r>
      <w:r>
        <w:rPr>
          <w:color w:val="0D0E0E"/>
          <w:spacing w:val="-3"/>
        </w:rPr>
        <w:t> </w:t>
      </w:r>
      <w:r>
        <w:rPr>
          <w:color w:val="0D0E0E"/>
        </w:rPr>
        <w:t>setembro,</w:t>
      </w:r>
      <w:r>
        <w:rPr>
          <w:color w:val="0D0E0E"/>
          <w:spacing w:val="-3"/>
        </w:rPr>
        <w:t> </w:t>
      </w:r>
      <w:r>
        <w:rPr>
          <w:color w:val="0D0E0E"/>
        </w:rPr>
        <w:t>o</w:t>
      </w:r>
      <w:r>
        <w:rPr>
          <w:color w:val="0D0E0E"/>
          <w:spacing w:val="-6"/>
        </w:rPr>
        <w:t> </w:t>
      </w:r>
      <w:r>
        <w:rPr>
          <w:color w:val="0D0E0E"/>
        </w:rPr>
        <w:t>Bacen</w:t>
      </w:r>
      <w:r>
        <w:rPr>
          <w:color w:val="0D0E0E"/>
          <w:spacing w:val="-3"/>
        </w:rPr>
        <w:t> </w:t>
      </w:r>
      <w:r>
        <w:rPr>
          <w:color w:val="0D0E0E"/>
        </w:rPr>
        <w:t>(Banco</w:t>
      </w:r>
      <w:r>
        <w:rPr>
          <w:color w:val="0D0E0E"/>
          <w:spacing w:val="-6"/>
        </w:rPr>
        <w:t> </w:t>
      </w:r>
      <w:r>
        <w:rPr>
          <w:color w:val="0D0E0E"/>
        </w:rPr>
        <w:t>Central</w:t>
      </w:r>
      <w:r>
        <w:rPr>
          <w:color w:val="0D0E0E"/>
          <w:spacing w:val="-6"/>
        </w:rPr>
        <w:t> </w:t>
      </w:r>
      <w:r>
        <w:rPr>
          <w:color w:val="0D0E0E"/>
        </w:rPr>
        <w:t>do</w:t>
      </w:r>
      <w:r>
        <w:rPr>
          <w:color w:val="0D0E0E"/>
          <w:spacing w:val="-3"/>
        </w:rPr>
        <w:t> </w:t>
      </w:r>
      <w:r>
        <w:rPr>
          <w:color w:val="0D0E0E"/>
        </w:rPr>
        <w:t>Brasil)</w:t>
      </w:r>
      <w:r>
        <w:rPr>
          <w:color w:val="0D0E0E"/>
          <w:spacing w:val="-4"/>
        </w:rPr>
        <w:t> </w:t>
      </w:r>
      <w:r>
        <w:rPr>
          <w:color w:val="0D0E0E"/>
        </w:rPr>
        <w:t>realizou</w:t>
      </w:r>
      <w:r>
        <w:rPr>
          <w:color w:val="0D0E0E"/>
          <w:spacing w:val="-3"/>
        </w:rPr>
        <w:t> </w:t>
      </w:r>
      <w:r>
        <w:rPr>
          <w:color w:val="0D0E0E"/>
        </w:rPr>
        <w:t>mais</w:t>
      </w:r>
      <w:r>
        <w:rPr>
          <w:color w:val="0D0E0E"/>
          <w:spacing w:val="-6"/>
        </w:rPr>
        <w:t> </w:t>
      </w:r>
      <w:r>
        <w:rPr>
          <w:color w:val="0D0E0E"/>
        </w:rPr>
        <w:t>um corte da magnitude de 50 pontos base, chegando em 12,75% ao ano. Além do corte esperado, as informações divulgadas posteriormente foram que cortes de mesma magnitude são esperadas até o fim de 2023, ou seja, 11,75% ao ano.</w:t>
      </w:r>
    </w:p>
    <w:p>
      <w:pPr>
        <w:pStyle w:val="BodyText"/>
        <w:spacing w:before="240"/>
        <w:ind w:left="42" w:right="1252" w:firstLine="707"/>
        <w:jc w:val="both"/>
      </w:pPr>
      <w:r>
        <w:rPr>
          <w:color w:val="0D0E0E"/>
        </w:rPr>
        <w:t>Por outro lado, ao longo do mês de setembro por conta principalmente de uma influência vinda do exterior, tivemos uma elevação da curva de juros, a chamada abertura da curva, que impactou principalmente o mercado de renda variável.</w:t>
      </w:r>
    </w:p>
    <w:p>
      <w:pPr>
        <w:pStyle w:val="BodyText"/>
        <w:spacing w:before="242"/>
        <w:ind w:left="42" w:right="1255" w:firstLine="707"/>
        <w:jc w:val="both"/>
      </w:pPr>
      <w:r>
        <w:rPr>
          <w:color w:val="0D0E0E"/>
        </w:rPr>
        <w:t>Além dos ruídos e incertezas do mercado global, outros fatores que contribuíram para a abertura da curva de juros se deram também pela estagnação da discussão da reforma tributária, somado as incertezas fiscais.</w:t>
      </w:r>
    </w:p>
    <w:p>
      <w:pPr>
        <w:pStyle w:val="Heading2"/>
      </w:pPr>
      <w:r>
        <w:rPr>
          <w:spacing w:val="-2"/>
        </w:rPr>
        <w:t>Inflação</w:t>
      </w:r>
    </w:p>
    <w:p>
      <w:pPr>
        <w:pStyle w:val="BodyText"/>
        <w:spacing w:before="239"/>
        <w:ind w:left="42" w:right="1253" w:firstLine="707"/>
        <w:jc w:val="both"/>
      </w:pPr>
      <w:r>
        <w:rPr>
          <w:color w:val="0D0E0E"/>
        </w:rPr>
        <w:t>Sobre o IPCA, o mês de setembro registrou alta de 0,26%, abaixo do consenso de mercado de 0,33%. O principal grupo que mostrou queda foi o de serviços, além de alimentos</w:t>
      </w:r>
      <w:r>
        <w:rPr>
          <w:color w:val="0D0E0E"/>
          <w:spacing w:val="-9"/>
        </w:rPr>
        <w:t> </w:t>
      </w:r>
      <w:r>
        <w:rPr>
          <w:color w:val="0D0E0E"/>
        </w:rPr>
        <w:t>e</w:t>
      </w:r>
      <w:r>
        <w:rPr>
          <w:color w:val="0D0E0E"/>
          <w:spacing w:val="-9"/>
        </w:rPr>
        <w:t> </w:t>
      </w:r>
      <w:r>
        <w:rPr>
          <w:color w:val="0D0E0E"/>
        </w:rPr>
        <w:t>bens</w:t>
      </w:r>
      <w:r>
        <w:rPr>
          <w:color w:val="0D0E0E"/>
          <w:spacing w:val="-8"/>
        </w:rPr>
        <w:t> </w:t>
      </w:r>
      <w:r>
        <w:rPr>
          <w:color w:val="0D0E0E"/>
        </w:rPr>
        <w:t>industriais</w:t>
      </w:r>
      <w:r>
        <w:rPr>
          <w:color w:val="0D0E0E"/>
          <w:spacing w:val="-7"/>
        </w:rPr>
        <w:t> </w:t>
      </w:r>
      <w:r>
        <w:rPr>
          <w:color w:val="0D0E0E"/>
        </w:rPr>
        <w:t>que</w:t>
      </w:r>
      <w:r>
        <w:rPr>
          <w:color w:val="0D0E0E"/>
          <w:spacing w:val="-9"/>
        </w:rPr>
        <w:t> </w:t>
      </w:r>
      <w:r>
        <w:rPr>
          <w:color w:val="0D0E0E"/>
        </w:rPr>
        <w:t>registraram</w:t>
      </w:r>
      <w:r>
        <w:rPr>
          <w:color w:val="0D0E0E"/>
          <w:spacing w:val="-9"/>
        </w:rPr>
        <w:t> </w:t>
      </w:r>
      <w:r>
        <w:rPr>
          <w:color w:val="0D0E0E"/>
        </w:rPr>
        <w:t>inclusive</w:t>
      </w:r>
      <w:r>
        <w:rPr>
          <w:color w:val="0D0E0E"/>
          <w:spacing w:val="-7"/>
        </w:rPr>
        <w:t> </w:t>
      </w:r>
      <w:r>
        <w:rPr>
          <w:color w:val="0D0E0E"/>
        </w:rPr>
        <w:t>deflação.</w:t>
      </w:r>
      <w:r>
        <w:rPr>
          <w:color w:val="0D0E0E"/>
          <w:spacing w:val="-5"/>
        </w:rPr>
        <w:t> </w:t>
      </w:r>
      <w:r>
        <w:rPr>
          <w:color w:val="0D0E0E"/>
        </w:rPr>
        <w:t>No</w:t>
      </w:r>
      <w:r>
        <w:rPr>
          <w:color w:val="0D0E0E"/>
          <w:spacing w:val="-9"/>
        </w:rPr>
        <w:t> </w:t>
      </w:r>
      <w:r>
        <w:rPr>
          <w:color w:val="0D0E0E"/>
        </w:rPr>
        <w:t>acumulado</w:t>
      </w:r>
      <w:r>
        <w:rPr>
          <w:color w:val="0D0E0E"/>
          <w:spacing w:val="-9"/>
        </w:rPr>
        <w:t> </w:t>
      </w:r>
      <w:r>
        <w:rPr>
          <w:color w:val="0D0E0E"/>
        </w:rPr>
        <w:t>de</w:t>
      </w:r>
      <w:r>
        <w:rPr>
          <w:color w:val="0D0E0E"/>
          <w:spacing w:val="-9"/>
        </w:rPr>
        <w:t> </w:t>
      </w:r>
      <w:r>
        <w:rPr>
          <w:color w:val="0D0E0E"/>
        </w:rPr>
        <w:t>12</w:t>
      </w:r>
      <w:r>
        <w:rPr>
          <w:color w:val="0D0E0E"/>
          <w:spacing w:val="-9"/>
        </w:rPr>
        <w:t> </w:t>
      </w:r>
      <w:r>
        <w:rPr>
          <w:color w:val="0D0E0E"/>
        </w:rPr>
        <w:t>meses, o número acelerou para 5,19% em relação ao mesmo período do ano anterior.</w:t>
      </w:r>
    </w:p>
    <w:p>
      <w:pPr>
        <w:pStyle w:val="BodyText"/>
        <w:spacing w:after="0"/>
        <w:jc w:val="both"/>
        <w:sectPr>
          <w:pgSz w:w="11920" w:h="16850"/>
          <w:pgMar w:top="1320" w:bottom="280" w:left="1559" w:right="141"/>
        </w:sectPr>
      </w:pPr>
    </w:p>
    <w:p>
      <w:pPr>
        <w:pStyle w:val="BodyText"/>
        <w:spacing w:before="39"/>
        <w:ind w:left="706" w:right="1211"/>
        <w:jc w:val="center"/>
      </w:pPr>
      <w:r>
        <w:rPr>
          <w:color w:val="0D0E0E"/>
        </w:rPr>
        <w:t>IPCA mensal</w:t>
      </w:r>
      <w:r>
        <w:rPr>
          <w:color w:val="0D0E0E"/>
          <w:spacing w:val="-1"/>
        </w:rPr>
        <w:t> </w:t>
      </w:r>
      <w:r>
        <w:rPr>
          <w:color w:val="0D0E0E"/>
        </w:rPr>
        <w:t>–</w:t>
      </w:r>
      <w:r>
        <w:rPr>
          <w:color w:val="0D0E0E"/>
          <w:spacing w:val="1"/>
        </w:rPr>
        <w:t> </w:t>
      </w:r>
      <w:r>
        <w:rPr>
          <w:color w:val="0D0E0E"/>
          <w:spacing w:val="-2"/>
        </w:rPr>
        <w:t>Brasil:</w:t>
      </w:r>
    </w:p>
    <w:p>
      <w:pPr>
        <w:pStyle w:val="BodyText"/>
        <w:rPr>
          <w:sz w:val="14"/>
        </w:rPr>
      </w:pPr>
      <w:r>
        <w:rPr>
          <w:sz w:val="14"/>
        </w:rPr>
        <w:drawing>
          <wp:anchor distT="0" distB="0" distL="0" distR="0" allowOverlap="1" layoutInCell="1" locked="0" behindDoc="1" simplePos="0" relativeHeight="487601664">
            <wp:simplePos x="0" y="0"/>
            <wp:positionH relativeFrom="page">
              <wp:posOffset>1211580</wp:posOffset>
            </wp:positionH>
            <wp:positionV relativeFrom="paragraph">
              <wp:posOffset>123971</wp:posOffset>
            </wp:positionV>
            <wp:extent cx="4975860" cy="2179320"/>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32" cstate="print"/>
                    <a:stretch>
                      <a:fillRect/>
                    </a:stretch>
                  </pic:blipFill>
                  <pic:spPr>
                    <a:xfrm>
                      <a:off x="0" y="0"/>
                      <a:ext cx="4975860" cy="2179320"/>
                    </a:xfrm>
                    <a:prstGeom prst="rect">
                      <a:avLst/>
                    </a:prstGeom>
                  </pic:spPr>
                </pic:pic>
              </a:graphicData>
            </a:graphic>
          </wp:anchor>
        </w:drawing>
      </w:r>
    </w:p>
    <w:p>
      <w:pPr>
        <w:spacing w:before="86"/>
        <w:ind w:left="750" w:right="0" w:firstLine="0"/>
        <w:jc w:val="left"/>
        <w:rPr>
          <w:i/>
          <w:sz w:val="20"/>
        </w:rPr>
      </w:pPr>
      <w:r>
        <w:rPr>
          <w:i/>
          <w:color w:val="0D0E0E"/>
          <w:spacing w:val="-2"/>
          <w:sz w:val="20"/>
        </w:rPr>
        <w:t>Fonte:</w:t>
      </w:r>
      <w:r>
        <w:rPr>
          <w:i/>
          <w:color w:val="0D0E0E"/>
          <w:spacing w:val="61"/>
          <w:sz w:val="20"/>
        </w:rPr>
        <w:t> </w:t>
      </w:r>
      <w:r>
        <w:rPr>
          <w:i/>
          <w:color w:val="0D0E0E"/>
          <w:spacing w:val="-2"/>
          <w:sz w:val="20"/>
        </w:rPr>
        <w:t>https://tradingeconomics.com/brazil/inflation-rate-</w:t>
      </w:r>
      <w:r>
        <w:rPr>
          <w:i/>
          <w:color w:val="0D0E0E"/>
          <w:spacing w:val="-5"/>
          <w:sz w:val="20"/>
        </w:rPr>
        <w:t>mom</w:t>
      </w:r>
    </w:p>
    <w:p>
      <w:pPr>
        <w:pStyle w:val="BodyText"/>
        <w:spacing w:before="239"/>
        <w:ind w:left="709" w:right="1211"/>
        <w:jc w:val="center"/>
      </w:pPr>
      <w:r>
        <w:rPr>
          <w:color w:val="0D0E0E"/>
        </w:rPr>
        <w:t>IPCA anual</w:t>
      </w:r>
      <w:r>
        <w:rPr>
          <w:color w:val="0D0E0E"/>
          <w:spacing w:val="-1"/>
        </w:rPr>
        <w:t> </w:t>
      </w:r>
      <w:r>
        <w:rPr>
          <w:color w:val="0D0E0E"/>
        </w:rPr>
        <w:t>–</w:t>
      </w:r>
      <w:r>
        <w:rPr>
          <w:color w:val="0D0E0E"/>
          <w:spacing w:val="1"/>
        </w:rPr>
        <w:t> </w:t>
      </w:r>
      <w:r>
        <w:rPr>
          <w:color w:val="0D0E0E"/>
          <w:spacing w:val="-2"/>
        </w:rPr>
        <w:t>Brasil:</w:t>
      </w:r>
    </w:p>
    <w:p>
      <w:pPr>
        <w:pStyle w:val="BodyText"/>
        <w:spacing w:before="117"/>
        <w:rPr>
          <w:sz w:val="20"/>
        </w:rPr>
      </w:pPr>
      <w:r>
        <w:rPr>
          <w:sz w:val="20"/>
        </w:rPr>
        <w:drawing>
          <wp:anchor distT="0" distB="0" distL="0" distR="0" allowOverlap="1" layoutInCell="1" locked="0" behindDoc="1" simplePos="0" relativeHeight="487602176">
            <wp:simplePos x="0" y="0"/>
            <wp:positionH relativeFrom="page">
              <wp:posOffset>1310639</wp:posOffset>
            </wp:positionH>
            <wp:positionV relativeFrom="paragraph">
              <wp:posOffset>245167</wp:posOffset>
            </wp:positionV>
            <wp:extent cx="5006339" cy="2179320"/>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33" cstate="print"/>
                    <a:stretch>
                      <a:fillRect/>
                    </a:stretch>
                  </pic:blipFill>
                  <pic:spPr>
                    <a:xfrm>
                      <a:off x="0" y="0"/>
                      <a:ext cx="5006339" cy="2179320"/>
                    </a:xfrm>
                    <a:prstGeom prst="rect">
                      <a:avLst/>
                    </a:prstGeom>
                  </pic:spPr>
                </pic:pic>
              </a:graphicData>
            </a:graphic>
          </wp:anchor>
        </w:drawing>
      </w:r>
    </w:p>
    <w:p>
      <w:pPr>
        <w:spacing w:before="26"/>
        <w:ind w:left="750" w:right="0" w:firstLine="0"/>
        <w:jc w:val="left"/>
        <w:rPr>
          <w:i/>
          <w:sz w:val="20"/>
        </w:rPr>
      </w:pPr>
      <w:r>
        <w:rPr>
          <w:i/>
          <w:color w:val="0D0E0E"/>
          <w:spacing w:val="-2"/>
          <w:sz w:val="20"/>
        </w:rPr>
        <w:t>Fonte:</w:t>
      </w:r>
      <w:r>
        <w:rPr>
          <w:i/>
          <w:color w:val="0D0E0E"/>
          <w:spacing w:val="53"/>
          <w:sz w:val="20"/>
        </w:rPr>
        <w:t> </w:t>
      </w:r>
      <w:r>
        <w:rPr>
          <w:i/>
          <w:color w:val="0D0E0E"/>
          <w:spacing w:val="-2"/>
          <w:sz w:val="20"/>
        </w:rPr>
        <w:t>https://tradingeconomics.com/brazil/inflation-</w:t>
      </w:r>
      <w:r>
        <w:rPr>
          <w:i/>
          <w:color w:val="0D0E0E"/>
          <w:spacing w:val="-5"/>
          <w:sz w:val="20"/>
        </w:rPr>
        <w:t>cpi</w:t>
      </w:r>
    </w:p>
    <w:p>
      <w:pPr>
        <w:pStyle w:val="BodyText"/>
        <w:spacing w:before="239"/>
        <w:ind w:left="42" w:right="1255" w:firstLine="707"/>
        <w:jc w:val="both"/>
      </w:pPr>
      <w:r>
        <w:rPr>
          <w:color w:val="0D0E0E"/>
        </w:rPr>
        <w:t>O</w:t>
      </w:r>
      <w:r>
        <w:rPr>
          <w:color w:val="0D0E0E"/>
          <w:spacing w:val="-12"/>
        </w:rPr>
        <w:t> </w:t>
      </w:r>
      <w:r>
        <w:rPr>
          <w:color w:val="0D0E0E"/>
        </w:rPr>
        <w:t>dado</w:t>
      </w:r>
      <w:r>
        <w:rPr>
          <w:color w:val="0D0E0E"/>
          <w:spacing w:val="-10"/>
        </w:rPr>
        <w:t> </w:t>
      </w:r>
      <w:r>
        <w:rPr>
          <w:color w:val="0D0E0E"/>
        </w:rPr>
        <w:t>anual</w:t>
      </w:r>
      <w:r>
        <w:rPr>
          <w:color w:val="0D0E0E"/>
          <w:spacing w:val="-13"/>
        </w:rPr>
        <w:t> </w:t>
      </w:r>
      <w:r>
        <w:rPr>
          <w:color w:val="0D0E0E"/>
        </w:rPr>
        <w:t>foi</w:t>
      </w:r>
      <w:r>
        <w:rPr>
          <w:color w:val="0D0E0E"/>
          <w:spacing w:val="-13"/>
        </w:rPr>
        <w:t> </w:t>
      </w:r>
      <w:r>
        <w:rPr>
          <w:color w:val="0D0E0E"/>
        </w:rPr>
        <w:t>o</w:t>
      </w:r>
      <w:r>
        <w:rPr>
          <w:color w:val="0D0E0E"/>
          <w:spacing w:val="-13"/>
        </w:rPr>
        <w:t> </w:t>
      </w:r>
      <w:r>
        <w:rPr>
          <w:color w:val="0D0E0E"/>
        </w:rPr>
        <w:t>mais</w:t>
      </w:r>
      <w:r>
        <w:rPr>
          <w:color w:val="0D0E0E"/>
          <w:spacing w:val="-13"/>
        </w:rPr>
        <w:t> </w:t>
      </w:r>
      <w:r>
        <w:rPr>
          <w:color w:val="0D0E0E"/>
        </w:rPr>
        <w:t>elevado</w:t>
      </w:r>
      <w:r>
        <w:rPr>
          <w:color w:val="0D0E0E"/>
          <w:spacing w:val="-13"/>
        </w:rPr>
        <w:t> </w:t>
      </w:r>
      <w:r>
        <w:rPr>
          <w:color w:val="0D0E0E"/>
        </w:rPr>
        <w:t>em</w:t>
      </w:r>
      <w:r>
        <w:rPr>
          <w:color w:val="0D0E0E"/>
          <w:spacing w:val="-8"/>
        </w:rPr>
        <w:t> </w:t>
      </w:r>
      <w:r>
        <w:rPr>
          <w:color w:val="0D0E0E"/>
        </w:rPr>
        <w:t>sete</w:t>
      </w:r>
      <w:r>
        <w:rPr>
          <w:color w:val="0D0E0E"/>
          <w:spacing w:val="-13"/>
        </w:rPr>
        <w:t> </w:t>
      </w:r>
      <w:r>
        <w:rPr>
          <w:color w:val="0D0E0E"/>
        </w:rPr>
        <w:t>meses,</w:t>
      </w:r>
      <w:r>
        <w:rPr>
          <w:color w:val="0D0E0E"/>
          <w:spacing w:val="-13"/>
        </w:rPr>
        <w:t> </w:t>
      </w:r>
      <w:r>
        <w:rPr>
          <w:color w:val="0D0E0E"/>
        </w:rPr>
        <w:t>porém</w:t>
      </w:r>
      <w:r>
        <w:rPr>
          <w:color w:val="0D0E0E"/>
          <w:spacing w:val="-10"/>
        </w:rPr>
        <w:t> </w:t>
      </w:r>
      <w:r>
        <w:rPr>
          <w:color w:val="0D0E0E"/>
        </w:rPr>
        <w:t>ainda</w:t>
      </w:r>
      <w:r>
        <w:rPr>
          <w:color w:val="0D0E0E"/>
          <w:spacing w:val="-13"/>
        </w:rPr>
        <w:t> </w:t>
      </w:r>
      <w:r>
        <w:rPr>
          <w:color w:val="0D0E0E"/>
        </w:rPr>
        <w:t>abaixo</w:t>
      </w:r>
      <w:r>
        <w:rPr>
          <w:color w:val="0D0E0E"/>
          <w:spacing w:val="-11"/>
        </w:rPr>
        <w:t> </w:t>
      </w:r>
      <w:r>
        <w:rPr>
          <w:color w:val="0D0E0E"/>
        </w:rPr>
        <w:t>das</w:t>
      </w:r>
      <w:r>
        <w:rPr>
          <w:color w:val="0D0E0E"/>
          <w:spacing w:val="-11"/>
        </w:rPr>
        <w:t> </w:t>
      </w:r>
      <w:r>
        <w:rPr>
          <w:color w:val="0D0E0E"/>
        </w:rPr>
        <w:t>expectativas de mercado que projetavam 5,3%.</w:t>
      </w:r>
    </w:p>
    <w:p>
      <w:pPr>
        <w:pStyle w:val="BodyText"/>
        <w:spacing w:before="240"/>
        <w:ind w:left="42" w:right="1255" w:firstLine="707"/>
        <w:jc w:val="both"/>
      </w:pPr>
      <w:r>
        <w:rPr>
          <w:color w:val="0D0E0E"/>
        </w:rPr>
        <w:t>Os</w:t>
      </w:r>
      <w:r>
        <w:rPr>
          <w:color w:val="0D0E0E"/>
          <w:spacing w:val="-3"/>
        </w:rPr>
        <w:t> </w:t>
      </w:r>
      <w:r>
        <w:rPr>
          <w:color w:val="0D0E0E"/>
        </w:rPr>
        <w:t>principais</w:t>
      </w:r>
      <w:r>
        <w:rPr>
          <w:color w:val="0D0E0E"/>
          <w:spacing w:val="-4"/>
        </w:rPr>
        <w:t> </w:t>
      </w:r>
      <w:r>
        <w:rPr>
          <w:color w:val="0D0E0E"/>
        </w:rPr>
        <w:t>itens</w:t>
      </w:r>
      <w:r>
        <w:rPr>
          <w:color w:val="0D0E0E"/>
          <w:spacing w:val="-2"/>
        </w:rPr>
        <w:t> </w:t>
      </w:r>
      <w:r>
        <w:rPr>
          <w:color w:val="0D0E0E"/>
        </w:rPr>
        <w:t>que</w:t>
      </w:r>
      <w:r>
        <w:rPr>
          <w:color w:val="0D0E0E"/>
          <w:spacing w:val="-1"/>
        </w:rPr>
        <w:t> </w:t>
      </w:r>
      <w:r>
        <w:rPr>
          <w:color w:val="0D0E0E"/>
        </w:rPr>
        <w:t>contribuíram, além</w:t>
      </w:r>
      <w:r>
        <w:rPr>
          <w:color w:val="0D0E0E"/>
          <w:spacing w:val="-4"/>
        </w:rPr>
        <w:t> </w:t>
      </w:r>
      <w:r>
        <w:rPr>
          <w:color w:val="0D0E0E"/>
        </w:rPr>
        <w:t>de</w:t>
      </w:r>
      <w:r>
        <w:rPr>
          <w:color w:val="0D0E0E"/>
          <w:spacing w:val="-4"/>
        </w:rPr>
        <w:t> </w:t>
      </w:r>
      <w:r>
        <w:rPr>
          <w:color w:val="0D0E0E"/>
        </w:rPr>
        <w:t>serviços conforme</w:t>
      </w:r>
      <w:r>
        <w:rPr>
          <w:color w:val="0D0E0E"/>
          <w:spacing w:val="-1"/>
        </w:rPr>
        <w:t> </w:t>
      </w:r>
      <w:r>
        <w:rPr>
          <w:color w:val="0D0E0E"/>
        </w:rPr>
        <w:t>citado,</w:t>
      </w:r>
      <w:r>
        <w:rPr>
          <w:color w:val="0D0E0E"/>
          <w:spacing w:val="-4"/>
        </w:rPr>
        <w:t> </w:t>
      </w:r>
      <w:r>
        <w:rPr>
          <w:color w:val="0D0E0E"/>
        </w:rPr>
        <w:t>foram</w:t>
      </w:r>
      <w:r>
        <w:rPr>
          <w:color w:val="0D0E0E"/>
          <w:spacing w:val="-1"/>
        </w:rPr>
        <w:t> </w:t>
      </w:r>
      <w:r>
        <w:rPr>
          <w:color w:val="0D0E0E"/>
        </w:rPr>
        <w:t>os</w:t>
      </w:r>
      <w:r>
        <w:rPr>
          <w:color w:val="0D0E0E"/>
          <w:spacing w:val="-3"/>
        </w:rPr>
        <w:t> </w:t>
      </w:r>
      <w:r>
        <w:rPr>
          <w:color w:val="0D0E0E"/>
        </w:rPr>
        <w:t>de transportes (1,40%) e combustíveis, em especial gasolina (2,8%) e diesel (10,11%).</w:t>
      </w:r>
    </w:p>
    <w:p>
      <w:pPr>
        <w:pStyle w:val="BodyText"/>
        <w:spacing w:before="240"/>
        <w:ind w:left="42" w:right="1255" w:firstLine="707"/>
        <w:jc w:val="both"/>
      </w:pPr>
      <w:r>
        <w:rPr>
          <w:color w:val="0D0E0E"/>
        </w:rPr>
        <w:t>No grupo deflacionário de alimentação, o item que ganhou destaque nessa jogou a favor dessa deflação foi a batata-inglesa (-10,41%), cebola (-8,08%), além do ovo, leite, e carne, com quedas de -4,96%, -4,06%, e -2,10% respectivamente.</w:t>
      </w:r>
    </w:p>
    <w:p>
      <w:pPr>
        <w:pStyle w:val="BodyText"/>
        <w:spacing w:after="0"/>
        <w:jc w:val="both"/>
        <w:sectPr>
          <w:pgSz w:w="11920" w:h="16850"/>
          <w:pgMar w:top="1320" w:bottom="280" w:left="1559" w:right="141"/>
        </w:sectPr>
      </w:pPr>
    </w:p>
    <w:p>
      <w:pPr>
        <w:spacing w:before="19"/>
        <w:ind w:left="42" w:right="0" w:firstLine="0"/>
        <w:jc w:val="left"/>
        <w:rPr>
          <w:sz w:val="28"/>
        </w:rPr>
      </w:pPr>
      <w:r>
        <w:rPr>
          <w:spacing w:val="-5"/>
          <w:sz w:val="28"/>
        </w:rPr>
        <w:t>PMI</w:t>
      </w:r>
    </w:p>
    <w:p>
      <w:pPr>
        <w:pStyle w:val="BodyText"/>
        <w:spacing w:before="240"/>
        <w:ind w:left="42" w:right="1261" w:firstLine="707"/>
        <w:jc w:val="both"/>
      </w:pPr>
      <w:r>
        <w:rPr>
          <w:color w:val="0D0E0E"/>
        </w:rPr>
        <w:t>Contudo,</w:t>
      </w:r>
      <w:r>
        <w:rPr>
          <w:color w:val="0D0E0E"/>
          <w:spacing w:val="-4"/>
        </w:rPr>
        <w:t> </w:t>
      </w:r>
      <w:r>
        <w:rPr>
          <w:color w:val="0D0E0E"/>
        </w:rPr>
        <w:t>as</w:t>
      </w:r>
      <w:r>
        <w:rPr>
          <w:color w:val="0D0E0E"/>
          <w:spacing w:val="-5"/>
        </w:rPr>
        <w:t> </w:t>
      </w:r>
      <w:r>
        <w:rPr>
          <w:color w:val="0D0E0E"/>
        </w:rPr>
        <w:t>expectativas</w:t>
      </w:r>
      <w:r>
        <w:rPr>
          <w:color w:val="0D0E0E"/>
          <w:spacing w:val="-7"/>
        </w:rPr>
        <w:t> </w:t>
      </w:r>
      <w:r>
        <w:rPr>
          <w:color w:val="0D0E0E"/>
        </w:rPr>
        <w:t>futuras</w:t>
      </w:r>
      <w:r>
        <w:rPr>
          <w:color w:val="0D0E0E"/>
          <w:spacing w:val="-5"/>
        </w:rPr>
        <w:t> </w:t>
      </w:r>
      <w:r>
        <w:rPr>
          <w:color w:val="0D0E0E"/>
        </w:rPr>
        <w:t>representadas</w:t>
      </w:r>
      <w:r>
        <w:rPr>
          <w:color w:val="0D0E0E"/>
          <w:spacing w:val="-5"/>
        </w:rPr>
        <w:t> </w:t>
      </w:r>
      <w:r>
        <w:rPr>
          <w:color w:val="0D0E0E"/>
        </w:rPr>
        <w:t>através</w:t>
      </w:r>
      <w:r>
        <w:rPr>
          <w:color w:val="0D0E0E"/>
          <w:spacing w:val="-5"/>
        </w:rPr>
        <w:t> </w:t>
      </w:r>
      <w:r>
        <w:rPr>
          <w:color w:val="0D0E0E"/>
        </w:rPr>
        <w:t>do</w:t>
      </w:r>
      <w:r>
        <w:rPr>
          <w:color w:val="0D0E0E"/>
          <w:spacing w:val="-4"/>
        </w:rPr>
        <w:t> </w:t>
      </w:r>
      <w:r>
        <w:rPr>
          <w:color w:val="0D0E0E"/>
        </w:rPr>
        <w:t>PMI</w:t>
      </w:r>
      <w:r>
        <w:rPr>
          <w:color w:val="0D0E0E"/>
          <w:spacing w:val="-5"/>
        </w:rPr>
        <w:t> </w:t>
      </w:r>
      <w:r>
        <w:rPr>
          <w:color w:val="0D0E0E"/>
        </w:rPr>
        <w:t>trouxeram</w:t>
      </w:r>
      <w:r>
        <w:rPr>
          <w:color w:val="0D0E0E"/>
          <w:spacing w:val="-6"/>
        </w:rPr>
        <w:t> </w:t>
      </w:r>
      <w:r>
        <w:rPr>
          <w:color w:val="0D0E0E"/>
        </w:rPr>
        <w:t>um</w:t>
      </w:r>
      <w:r>
        <w:rPr>
          <w:color w:val="0D0E0E"/>
          <w:spacing w:val="-5"/>
        </w:rPr>
        <w:t> </w:t>
      </w:r>
      <w:r>
        <w:rPr>
          <w:color w:val="0D0E0E"/>
        </w:rPr>
        <w:t>abalo nas análises. O PMI de serviços registrou o menor desempenho desde maio de 2021, entrando em campo contracionista aos 48,70 pontos em setembro, ante 50,60 do mês </w:t>
      </w:r>
      <w:r>
        <w:rPr>
          <w:color w:val="0D0E0E"/>
          <w:spacing w:val="-2"/>
        </w:rPr>
        <w:t>anterior.</w:t>
      </w:r>
    </w:p>
    <w:p>
      <w:pPr>
        <w:pStyle w:val="BodyText"/>
        <w:spacing w:before="239"/>
        <w:ind w:left="706" w:right="1211"/>
        <w:jc w:val="center"/>
      </w:pPr>
      <w:r>
        <w:rPr>
          <w:color w:val="0D0E0E"/>
        </w:rPr>
        <w:t>PMI</w:t>
      </w:r>
      <w:r>
        <w:rPr>
          <w:color w:val="0D0E0E"/>
          <w:spacing w:val="-1"/>
        </w:rPr>
        <w:t> </w:t>
      </w:r>
      <w:r>
        <w:rPr>
          <w:color w:val="0D0E0E"/>
        </w:rPr>
        <w:t>serviços</w:t>
      </w:r>
      <w:r>
        <w:rPr>
          <w:color w:val="0D0E0E"/>
          <w:spacing w:val="-1"/>
        </w:rPr>
        <w:t> </w:t>
      </w:r>
      <w:r>
        <w:rPr>
          <w:color w:val="0D0E0E"/>
        </w:rPr>
        <w:t>–</w:t>
      </w:r>
      <w:r>
        <w:rPr>
          <w:color w:val="0D0E0E"/>
          <w:spacing w:val="1"/>
        </w:rPr>
        <w:t> </w:t>
      </w:r>
      <w:r>
        <w:rPr>
          <w:color w:val="0D0E0E"/>
          <w:spacing w:val="-2"/>
        </w:rPr>
        <w:t>Brasil:</w:t>
      </w:r>
    </w:p>
    <w:p>
      <w:pPr>
        <w:pStyle w:val="BodyText"/>
        <w:spacing w:before="36"/>
        <w:rPr>
          <w:sz w:val="20"/>
        </w:rPr>
      </w:pPr>
      <w:r>
        <w:rPr>
          <w:sz w:val="20"/>
        </w:rPr>
        <w:drawing>
          <wp:anchor distT="0" distB="0" distL="0" distR="0" allowOverlap="1" layoutInCell="1" locked="0" behindDoc="1" simplePos="0" relativeHeight="487602688">
            <wp:simplePos x="0" y="0"/>
            <wp:positionH relativeFrom="page">
              <wp:posOffset>1242060</wp:posOffset>
            </wp:positionH>
            <wp:positionV relativeFrom="paragraph">
              <wp:posOffset>193141</wp:posOffset>
            </wp:positionV>
            <wp:extent cx="4983480" cy="2346960"/>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34" cstate="print"/>
                    <a:stretch>
                      <a:fillRect/>
                    </a:stretch>
                  </pic:blipFill>
                  <pic:spPr>
                    <a:xfrm>
                      <a:off x="0" y="0"/>
                      <a:ext cx="4983480" cy="2346960"/>
                    </a:xfrm>
                    <a:prstGeom prst="rect">
                      <a:avLst/>
                    </a:prstGeom>
                  </pic:spPr>
                </pic:pic>
              </a:graphicData>
            </a:graphic>
          </wp:anchor>
        </w:drawing>
      </w:r>
    </w:p>
    <w:p>
      <w:pPr>
        <w:spacing w:before="44"/>
        <w:ind w:left="750" w:right="0" w:firstLine="0"/>
        <w:jc w:val="left"/>
        <w:rPr>
          <w:i/>
          <w:sz w:val="20"/>
        </w:rPr>
      </w:pPr>
      <w:r>
        <w:rPr>
          <w:i/>
          <w:color w:val="0D0E0E"/>
          <w:spacing w:val="-2"/>
          <w:sz w:val="20"/>
        </w:rPr>
        <w:t>Fonte:</w:t>
      </w:r>
      <w:r>
        <w:rPr>
          <w:i/>
          <w:color w:val="0D0E0E"/>
          <w:spacing w:val="49"/>
          <w:sz w:val="20"/>
        </w:rPr>
        <w:t> </w:t>
      </w:r>
      <w:r>
        <w:rPr>
          <w:i/>
          <w:color w:val="0D0E0E"/>
          <w:spacing w:val="-2"/>
          <w:sz w:val="20"/>
        </w:rPr>
        <w:t>https://tradingeconomics.com/brazil/services-</w:t>
      </w:r>
      <w:r>
        <w:rPr>
          <w:i/>
          <w:color w:val="0D0E0E"/>
          <w:spacing w:val="-5"/>
          <w:sz w:val="20"/>
        </w:rPr>
        <w:t>pmi</w:t>
      </w:r>
    </w:p>
    <w:p>
      <w:pPr>
        <w:pStyle w:val="BodyText"/>
        <w:spacing w:before="238"/>
        <w:ind w:left="42" w:right="1258" w:firstLine="707"/>
        <w:jc w:val="both"/>
      </w:pPr>
      <w:r>
        <w:rPr>
          <w:color w:val="0D0E0E"/>
        </w:rPr>
        <w:t>Na contramão da recuperação do mês anterior, o setor industrial voltou a registrar contração</w:t>
      </w:r>
      <w:r>
        <w:rPr>
          <w:color w:val="0D0E0E"/>
          <w:spacing w:val="-8"/>
        </w:rPr>
        <w:t> </w:t>
      </w:r>
      <w:r>
        <w:rPr>
          <w:color w:val="0D0E0E"/>
        </w:rPr>
        <w:t>aos</w:t>
      </w:r>
      <w:r>
        <w:rPr>
          <w:color w:val="0D0E0E"/>
          <w:spacing w:val="-9"/>
        </w:rPr>
        <w:t> </w:t>
      </w:r>
      <w:r>
        <w:rPr>
          <w:color w:val="0D0E0E"/>
        </w:rPr>
        <w:t>49</w:t>
      </w:r>
      <w:r>
        <w:rPr>
          <w:color w:val="0D0E0E"/>
          <w:spacing w:val="-7"/>
        </w:rPr>
        <w:t> </w:t>
      </w:r>
      <w:r>
        <w:rPr>
          <w:color w:val="0D0E0E"/>
        </w:rPr>
        <w:t>pontos,</w:t>
      </w:r>
      <w:r>
        <w:rPr>
          <w:color w:val="0D0E0E"/>
          <w:spacing w:val="-9"/>
        </w:rPr>
        <w:t> </w:t>
      </w:r>
      <w:r>
        <w:rPr>
          <w:color w:val="0D0E0E"/>
        </w:rPr>
        <w:t>após</w:t>
      </w:r>
      <w:r>
        <w:rPr>
          <w:color w:val="0D0E0E"/>
          <w:spacing w:val="-8"/>
        </w:rPr>
        <w:t> </w:t>
      </w:r>
      <w:r>
        <w:rPr>
          <w:color w:val="0D0E0E"/>
        </w:rPr>
        <w:t>uma</w:t>
      </w:r>
      <w:r>
        <w:rPr>
          <w:color w:val="0D0E0E"/>
          <w:spacing w:val="-8"/>
        </w:rPr>
        <w:t> </w:t>
      </w:r>
      <w:r>
        <w:rPr>
          <w:color w:val="0D0E0E"/>
        </w:rPr>
        <w:t>recuperação</w:t>
      </w:r>
      <w:r>
        <w:rPr>
          <w:color w:val="0D0E0E"/>
          <w:spacing w:val="-6"/>
        </w:rPr>
        <w:t> </w:t>
      </w:r>
      <w:r>
        <w:rPr>
          <w:color w:val="0D0E0E"/>
        </w:rPr>
        <w:t>e</w:t>
      </w:r>
      <w:r>
        <w:rPr>
          <w:color w:val="0D0E0E"/>
          <w:spacing w:val="-8"/>
        </w:rPr>
        <w:t> </w:t>
      </w:r>
      <w:r>
        <w:rPr>
          <w:color w:val="0D0E0E"/>
        </w:rPr>
        <w:t>visão</w:t>
      </w:r>
      <w:r>
        <w:rPr>
          <w:color w:val="0D0E0E"/>
          <w:spacing w:val="-8"/>
        </w:rPr>
        <w:t> </w:t>
      </w:r>
      <w:r>
        <w:rPr>
          <w:color w:val="0D0E0E"/>
        </w:rPr>
        <w:t>neutra</w:t>
      </w:r>
      <w:r>
        <w:rPr>
          <w:color w:val="0D0E0E"/>
          <w:spacing w:val="-8"/>
        </w:rPr>
        <w:t> </w:t>
      </w:r>
      <w:r>
        <w:rPr>
          <w:color w:val="0D0E0E"/>
        </w:rPr>
        <w:t>futura</w:t>
      </w:r>
      <w:r>
        <w:rPr>
          <w:color w:val="0D0E0E"/>
          <w:spacing w:val="-8"/>
        </w:rPr>
        <w:t> </w:t>
      </w:r>
      <w:r>
        <w:rPr>
          <w:color w:val="0D0E0E"/>
        </w:rPr>
        <w:t>do</w:t>
      </w:r>
      <w:r>
        <w:rPr>
          <w:color w:val="0D0E0E"/>
          <w:spacing w:val="-8"/>
        </w:rPr>
        <w:t> </w:t>
      </w:r>
      <w:r>
        <w:rPr>
          <w:color w:val="0D0E0E"/>
        </w:rPr>
        <w:t>mês</w:t>
      </w:r>
      <w:r>
        <w:rPr>
          <w:color w:val="0D0E0E"/>
          <w:spacing w:val="-6"/>
        </w:rPr>
        <w:t> </w:t>
      </w:r>
      <w:r>
        <w:rPr>
          <w:color w:val="0D0E0E"/>
        </w:rPr>
        <w:t>de</w:t>
      </w:r>
      <w:r>
        <w:rPr>
          <w:color w:val="0D0E0E"/>
          <w:spacing w:val="-8"/>
        </w:rPr>
        <w:t> </w:t>
      </w:r>
      <w:r>
        <w:rPr>
          <w:color w:val="0D0E0E"/>
        </w:rPr>
        <w:t>agosto</w:t>
      </w:r>
      <w:r>
        <w:rPr>
          <w:color w:val="0D0E0E"/>
          <w:spacing w:val="-6"/>
        </w:rPr>
        <w:t> </w:t>
      </w:r>
      <w:r>
        <w:rPr>
          <w:color w:val="0D0E0E"/>
        </w:rPr>
        <w:t>aos </w:t>
      </w:r>
      <w:r>
        <w:rPr>
          <w:color w:val="0D0E0E"/>
          <w:spacing w:val="-2"/>
        </w:rPr>
        <w:t>50,1.</w:t>
      </w:r>
    </w:p>
    <w:p>
      <w:pPr>
        <w:pStyle w:val="BodyText"/>
        <w:spacing w:before="240"/>
        <w:ind w:left="706" w:right="1211"/>
        <w:jc w:val="center"/>
      </w:pPr>
      <w:r>
        <w:rPr>
          <w:color w:val="0D0E0E"/>
        </w:rPr>
        <w:t>PMI</w:t>
      </w:r>
      <w:r>
        <w:rPr>
          <w:color w:val="0D0E0E"/>
          <w:spacing w:val="-2"/>
        </w:rPr>
        <w:t> </w:t>
      </w:r>
      <w:r>
        <w:rPr>
          <w:color w:val="0D0E0E"/>
        </w:rPr>
        <w:t>industrial</w:t>
      </w:r>
      <w:r>
        <w:rPr>
          <w:color w:val="0D0E0E"/>
          <w:spacing w:val="-1"/>
        </w:rPr>
        <w:t> </w:t>
      </w:r>
      <w:r>
        <w:rPr>
          <w:color w:val="0D0E0E"/>
        </w:rPr>
        <w:t>– </w:t>
      </w:r>
      <w:r>
        <w:rPr>
          <w:color w:val="0D0E0E"/>
          <w:spacing w:val="-2"/>
        </w:rPr>
        <w:t>Brasil:</w:t>
      </w:r>
    </w:p>
    <w:p>
      <w:pPr>
        <w:pStyle w:val="BodyText"/>
        <w:spacing w:before="10"/>
        <w:rPr>
          <w:sz w:val="12"/>
        </w:rPr>
      </w:pPr>
      <w:r>
        <w:rPr>
          <w:sz w:val="12"/>
        </w:rPr>
        <w:drawing>
          <wp:anchor distT="0" distB="0" distL="0" distR="0" allowOverlap="1" layoutInCell="1" locked="0" behindDoc="1" simplePos="0" relativeHeight="487603200">
            <wp:simplePos x="0" y="0"/>
            <wp:positionH relativeFrom="page">
              <wp:posOffset>1356360</wp:posOffset>
            </wp:positionH>
            <wp:positionV relativeFrom="paragraph">
              <wp:posOffset>115052</wp:posOffset>
            </wp:positionV>
            <wp:extent cx="4968240" cy="2346960"/>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35" cstate="print"/>
                    <a:stretch>
                      <a:fillRect/>
                    </a:stretch>
                  </pic:blipFill>
                  <pic:spPr>
                    <a:xfrm>
                      <a:off x="0" y="0"/>
                      <a:ext cx="4968240" cy="2346960"/>
                    </a:xfrm>
                    <a:prstGeom prst="rect">
                      <a:avLst/>
                    </a:prstGeom>
                  </pic:spPr>
                </pic:pic>
              </a:graphicData>
            </a:graphic>
          </wp:anchor>
        </w:drawing>
      </w:r>
    </w:p>
    <w:p>
      <w:pPr>
        <w:spacing w:before="28"/>
        <w:ind w:left="750" w:right="0" w:firstLine="0"/>
        <w:jc w:val="left"/>
        <w:rPr>
          <w:i/>
          <w:sz w:val="20"/>
        </w:rPr>
      </w:pPr>
      <w:r>
        <w:rPr>
          <w:i/>
          <w:color w:val="0D0E0E"/>
          <w:spacing w:val="-2"/>
          <w:sz w:val="20"/>
        </w:rPr>
        <w:t>Fonte:</w:t>
      </w:r>
      <w:r>
        <w:rPr>
          <w:i/>
          <w:color w:val="0D0E0E"/>
          <w:spacing w:val="51"/>
          <w:sz w:val="20"/>
        </w:rPr>
        <w:t> </w:t>
      </w:r>
      <w:r>
        <w:rPr>
          <w:i/>
          <w:color w:val="0D0E0E"/>
          <w:spacing w:val="-2"/>
          <w:sz w:val="20"/>
        </w:rPr>
        <w:t>https://tradingeconomics.com/brazil/manufacturing-</w:t>
      </w:r>
      <w:r>
        <w:rPr>
          <w:i/>
          <w:color w:val="0D0E0E"/>
          <w:spacing w:val="-5"/>
          <w:sz w:val="20"/>
        </w:rPr>
        <w:t>pmi</w:t>
      </w:r>
    </w:p>
    <w:p>
      <w:pPr>
        <w:pStyle w:val="BodyText"/>
        <w:spacing w:before="236"/>
        <w:ind w:left="42" w:right="1262" w:firstLine="707"/>
        <w:jc w:val="both"/>
      </w:pPr>
      <w:r>
        <w:rPr>
          <w:color w:val="0D0E0E"/>
        </w:rPr>
        <w:t>Na consolidação, o PMI composto voltou para o patamar contracionista registrando 49 pontos ante 50,6 em agosto.</w:t>
      </w:r>
    </w:p>
    <w:p>
      <w:pPr>
        <w:pStyle w:val="BodyText"/>
        <w:spacing w:after="0"/>
        <w:jc w:val="both"/>
        <w:sectPr>
          <w:pgSz w:w="11920" w:h="16850"/>
          <w:pgMar w:top="1340" w:bottom="280" w:left="1559" w:right="141"/>
        </w:sectPr>
      </w:pPr>
    </w:p>
    <w:p>
      <w:pPr>
        <w:pStyle w:val="BodyText"/>
        <w:spacing w:before="39"/>
        <w:ind w:left="709" w:right="1211"/>
        <w:jc w:val="center"/>
      </w:pPr>
      <w:r>
        <w:rPr>
          <w:color w:val="0D0E0E"/>
        </w:rPr>
        <w:t>PMI composto –</w:t>
      </w:r>
      <w:r>
        <w:rPr>
          <w:color w:val="0D0E0E"/>
          <w:spacing w:val="1"/>
        </w:rPr>
        <w:t> </w:t>
      </w:r>
      <w:r>
        <w:rPr>
          <w:color w:val="0D0E0E"/>
          <w:spacing w:val="-2"/>
        </w:rPr>
        <w:t>Brasil:</w:t>
      </w:r>
    </w:p>
    <w:p>
      <w:pPr>
        <w:pStyle w:val="BodyText"/>
        <w:spacing w:before="44"/>
        <w:rPr>
          <w:sz w:val="20"/>
        </w:rPr>
      </w:pPr>
      <w:r>
        <w:rPr>
          <w:sz w:val="20"/>
        </w:rPr>
        <w:drawing>
          <wp:anchor distT="0" distB="0" distL="0" distR="0" allowOverlap="1" layoutInCell="1" locked="0" behindDoc="1" simplePos="0" relativeHeight="487603712">
            <wp:simplePos x="0" y="0"/>
            <wp:positionH relativeFrom="page">
              <wp:posOffset>1473835</wp:posOffset>
            </wp:positionH>
            <wp:positionV relativeFrom="paragraph">
              <wp:posOffset>198640</wp:posOffset>
            </wp:positionV>
            <wp:extent cx="4984258" cy="2346960"/>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36" cstate="print"/>
                    <a:stretch>
                      <a:fillRect/>
                    </a:stretch>
                  </pic:blipFill>
                  <pic:spPr>
                    <a:xfrm>
                      <a:off x="0" y="0"/>
                      <a:ext cx="4984258" cy="2346960"/>
                    </a:xfrm>
                    <a:prstGeom prst="rect">
                      <a:avLst/>
                    </a:prstGeom>
                  </pic:spPr>
                </pic:pic>
              </a:graphicData>
            </a:graphic>
          </wp:anchor>
        </w:drawing>
      </w:r>
    </w:p>
    <w:p>
      <w:pPr>
        <w:pStyle w:val="BodyText"/>
        <w:spacing w:before="21"/>
      </w:pPr>
    </w:p>
    <w:p>
      <w:pPr>
        <w:spacing w:before="0"/>
        <w:ind w:left="750" w:right="0" w:firstLine="0"/>
        <w:jc w:val="left"/>
        <w:rPr>
          <w:i/>
          <w:sz w:val="20"/>
        </w:rPr>
      </w:pPr>
      <w:r>
        <w:rPr>
          <w:i/>
          <w:color w:val="0D0E0E"/>
          <w:spacing w:val="-2"/>
          <w:sz w:val="20"/>
        </w:rPr>
        <w:t>Fonte:</w:t>
      </w:r>
      <w:r>
        <w:rPr>
          <w:i/>
          <w:color w:val="0D0E0E"/>
          <w:spacing w:val="55"/>
          <w:sz w:val="20"/>
        </w:rPr>
        <w:t> </w:t>
      </w:r>
      <w:r>
        <w:rPr>
          <w:i/>
          <w:color w:val="0D0E0E"/>
          <w:spacing w:val="-2"/>
          <w:sz w:val="20"/>
        </w:rPr>
        <w:t>https://tradingeconomics.com/brazil/composite-</w:t>
      </w:r>
      <w:r>
        <w:rPr>
          <w:i/>
          <w:color w:val="0D0E0E"/>
          <w:spacing w:val="-5"/>
          <w:sz w:val="20"/>
        </w:rPr>
        <w:t>pmi</w:t>
      </w:r>
    </w:p>
    <w:p>
      <w:pPr>
        <w:pStyle w:val="BodyText"/>
        <w:rPr>
          <w:i/>
          <w:sz w:val="20"/>
        </w:rPr>
      </w:pPr>
    </w:p>
    <w:p>
      <w:pPr>
        <w:pStyle w:val="BodyText"/>
        <w:rPr>
          <w:i/>
          <w:sz w:val="20"/>
        </w:rPr>
      </w:pPr>
    </w:p>
    <w:p>
      <w:pPr>
        <w:pStyle w:val="BodyText"/>
        <w:spacing w:before="39"/>
        <w:rPr>
          <w:i/>
          <w:sz w:val="20"/>
        </w:rPr>
      </w:pPr>
    </w:p>
    <w:p>
      <w:pPr>
        <w:pStyle w:val="Heading2"/>
        <w:spacing w:before="1"/>
      </w:pPr>
      <w:r>
        <w:rPr>
          <w:spacing w:val="-2"/>
        </w:rPr>
        <w:t>Câmbio</w:t>
      </w:r>
    </w:p>
    <w:p>
      <w:pPr>
        <w:pStyle w:val="BodyText"/>
        <w:spacing w:before="238"/>
        <w:ind w:left="42" w:right="1254" w:firstLine="707"/>
        <w:jc w:val="both"/>
      </w:pPr>
      <w:r>
        <w:rPr>
          <w:color w:val="0D0E0E"/>
        </w:rPr>
        <w:t>Dado as movimentações de curva de juros dos mercados citados, entre outros fatores, setembro fechou o último dia de cotação com o dólar a R$ 5,04, com uma alta de </w:t>
      </w:r>
      <w:r>
        <w:rPr>
          <w:color w:val="0D0E0E"/>
          <w:spacing w:val="-2"/>
        </w:rPr>
        <w:t>1,80%</w:t>
      </w:r>
    </w:p>
    <w:p>
      <w:pPr>
        <w:pStyle w:val="BodyText"/>
        <w:spacing w:before="240"/>
        <w:ind w:left="42" w:right="1250" w:firstLine="707"/>
        <w:jc w:val="both"/>
      </w:pPr>
      <w:r>
        <w:rPr>
          <w:color w:val="0D0E0E"/>
        </w:rPr>
        <w:t>Como já citado</w:t>
      </w:r>
      <w:r>
        <w:rPr>
          <w:color w:val="0D0E0E"/>
          <w:spacing w:val="-1"/>
        </w:rPr>
        <w:t> </w:t>
      </w:r>
      <w:r>
        <w:rPr>
          <w:color w:val="0D0E0E"/>
        </w:rPr>
        <w:t>em outras oportunidades, a moeda norte americana</w:t>
      </w:r>
      <w:r>
        <w:rPr>
          <w:color w:val="0D0E0E"/>
          <w:spacing w:val="-2"/>
        </w:rPr>
        <w:t> </w:t>
      </w:r>
      <w:r>
        <w:rPr>
          <w:color w:val="0D0E0E"/>
        </w:rPr>
        <w:t>vem exercendo pressão</w:t>
      </w:r>
      <w:r>
        <w:rPr>
          <w:color w:val="0D0E0E"/>
          <w:spacing w:val="-11"/>
        </w:rPr>
        <w:t> </w:t>
      </w:r>
      <w:r>
        <w:rPr>
          <w:color w:val="0D0E0E"/>
        </w:rPr>
        <w:t>não</w:t>
      </w:r>
      <w:r>
        <w:rPr>
          <w:color w:val="0D0E0E"/>
          <w:spacing w:val="-8"/>
        </w:rPr>
        <w:t> </w:t>
      </w:r>
      <w:r>
        <w:rPr>
          <w:color w:val="0D0E0E"/>
        </w:rPr>
        <w:t>somente</w:t>
      </w:r>
      <w:r>
        <w:rPr>
          <w:color w:val="0D0E0E"/>
          <w:spacing w:val="-8"/>
        </w:rPr>
        <w:t> </w:t>
      </w:r>
      <w:r>
        <w:rPr>
          <w:color w:val="0D0E0E"/>
        </w:rPr>
        <w:t>sob</w:t>
      </w:r>
      <w:r>
        <w:rPr>
          <w:color w:val="0D0E0E"/>
          <w:spacing w:val="-8"/>
        </w:rPr>
        <w:t> </w:t>
      </w:r>
      <w:r>
        <w:rPr>
          <w:color w:val="0D0E0E"/>
        </w:rPr>
        <w:t>o</w:t>
      </w:r>
      <w:r>
        <w:rPr>
          <w:color w:val="0D0E0E"/>
          <w:spacing w:val="-8"/>
        </w:rPr>
        <w:t> </w:t>
      </w:r>
      <w:r>
        <w:rPr>
          <w:color w:val="0D0E0E"/>
        </w:rPr>
        <w:t>real</w:t>
      </w:r>
      <w:r>
        <w:rPr>
          <w:color w:val="0D0E0E"/>
          <w:spacing w:val="-11"/>
        </w:rPr>
        <w:t> </w:t>
      </w:r>
      <w:r>
        <w:rPr>
          <w:color w:val="0D0E0E"/>
        </w:rPr>
        <w:t>brasileiro,</w:t>
      </w:r>
      <w:r>
        <w:rPr>
          <w:color w:val="0D0E0E"/>
          <w:spacing w:val="-11"/>
        </w:rPr>
        <w:t> </w:t>
      </w:r>
      <w:r>
        <w:rPr>
          <w:color w:val="0D0E0E"/>
        </w:rPr>
        <w:t>mas</w:t>
      </w:r>
      <w:r>
        <w:rPr>
          <w:color w:val="0D0E0E"/>
          <w:spacing w:val="-9"/>
        </w:rPr>
        <w:t> </w:t>
      </w:r>
      <w:r>
        <w:rPr>
          <w:color w:val="0D0E0E"/>
        </w:rPr>
        <w:t>sob</w:t>
      </w:r>
      <w:r>
        <w:rPr>
          <w:color w:val="0D0E0E"/>
          <w:spacing w:val="-7"/>
        </w:rPr>
        <w:t> </w:t>
      </w:r>
      <w:r>
        <w:rPr>
          <w:color w:val="0D0E0E"/>
        </w:rPr>
        <w:t>a</w:t>
      </w:r>
      <w:r>
        <w:rPr>
          <w:color w:val="0D0E0E"/>
          <w:spacing w:val="-9"/>
        </w:rPr>
        <w:t> </w:t>
      </w:r>
      <w:r>
        <w:rPr>
          <w:color w:val="0D0E0E"/>
        </w:rPr>
        <w:t>maioria</w:t>
      </w:r>
      <w:r>
        <w:rPr>
          <w:color w:val="0D0E0E"/>
          <w:spacing w:val="-11"/>
        </w:rPr>
        <w:t> </w:t>
      </w:r>
      <w:r>
        <w:rPr>
          <w:color w:val="0D0E0E"/>
        </w:rPr>
        <w:t>das</w:t>
      </w:r>
      <w:r>
        <w:rPr>
          <w:color w:val="0D0E0E"/>
          <w:spacing w:val="-9"/>
        </w:rPr>
        <w:t> </w:t>
      </w:r>
      <w:r>
        <w:rPr>
          <w:color w:val="0D0E0E"/>
        </w:rPr>
        <w:t>moedas</w:t>
      </w:r>
      <w:r>
        <w:rPr>
          <w:color w:val="0D0E0E"/>
          <w:spacing w:val="-11"/>
        </w:rPr>
        <w:t> </w:t>
      </w:r>
      <w:r>
        <w:rPr>
          <w:color w:val="0D0E0E"/>
        </w:rPr>
        <w:t>estrangeiras</w:t>
      </w:r>
      <w:r>
        <w:rPr>
          <w:color w:val="0D0E0E"/>
          <w:spacing w:val="-2"/>
        </w:rPr>
        <w:t> </w:t>
      </w:r>
      <w:r>
        <w:rPr>
          <w:color w:val="0D0E0E"/>
        </w:rPr>
        <w:t>e</w:t>
      </w:r>
      <w:r>
        <w:rPr>
          <w:color w:val="0D0E0E"/>
          <w:spacing w:val="-11"/>
        </w:rPr>
        <w:t> </w:t>
      </w:r>
      <w:r>
        <w:rPr>
          <w:color w:val="0D0E0E"/>
        </w:rPr>
        <w:t>não somente a de países emergentes.</w:t>
      </w:r>
    </w:p>
    <w:p>
      <w:pPr>
        <w:pStyle w:val="BodyText"/>
      </w:pPr>
    </w:p>
    <w:p>
      <w:pPr>
        <w:pStyle w:val="BodyText"/>
        <w:spacing w:before="237"/>
      </w:pPr>
    </w:p>
    <w:p>
      <w:pPr>
        <w:pStyle w:val="Heading2"/>
        <w:spacing w:before="0"/>
      </w:pPr>
      <w:r>
        <w:rPr>
          <w:spacing w:val="-2"/>
        </w:rPr>
        <w:t>Bolsa</w:t>
      </w:r>
    </w:p>
    <w:p>
      <w:pPr>
        <w:pStyle w:val="BodyText"/>
        <w:spacing w:before="239"/>
        <w:ind w:left="42" w:right="1252" w:firstLine="707"/>
        <w:jc w:val="both"/>
      </w:pPr>
      <w:r>
        <w:rPr>
          <w:color w:val="0D0E0E"/>
        </w:rPr>
        <w:t>O resultado desse ritmo de abertura de curva de juros no exterior e no Brasil impactaram os ativos de renda variável, em especial na própria bolsa de valores representada pelo índice Ibovespa, que no mês de setembro andou praticamente de lado registrando</w:t>
      </w:r>
      <w:r>
        <w:rPr>
          <w:color w:val="0D0E0E"/>
          <w:spacing w:val="-8"/>
        </w:rPr>
        <w:t> </w:t>
      </w:r>
      <w:r>
        <w:rPr>
          <w:color w:val="0D0E0E"/>
        </w:rPr>
        <w:t>variação</w:t>
      </w:r>
      <w:r>
        <w:rPr>
          <w:color w:val="0D0E0E"/>
          <w:spacing w:val="-8"/>
        </w:rPr>
        <w:t> </w:t>
      </w:r>
      <w:r>
        <w:rPr>
          <w:color w:val="0D0E0E"/>
        </w:rPr>
        <w:t>de</w:t>
      </w:r>
      <w:r>
        <w:rPr>
          <w:color w:val="0D0E0E"/>
          <w:spacing w:val="-8"/>
        </w:rPr>
        <w:t> </w:t>
      </w:r>
      <w:r>
        <w:rPr>
          <w:color w:val="0D0E0E"/>
        </w:rPr>
        <w:t>apenas</w:t>
      </w:r>
      <w:r>
        <w:rPr>
          <w:color w:val="0D0E0E"/>
          <w:spacing w:val="-9"/>
        </w:rPr>
        <w:t> </w:t>
      </w:r>
      <w:r>
        <w:rPr>
          <w:color w:val="0D0E0E"/>
        </w:rPr>
        <w:t>0,71%</w:t>
      </w:r>
      <w:r>
        <w:rPr>
          <w:color w:val="0D0E0E"/>
          <w:spacing w:val="-7"/>
        </w:rPr>
        <w:t> </w:t>
      </w:r>
      <w:r>
        <w:rPr>
          <w:color w:val="0D0E0E"/>
        </w:rPr>
        <w:t>no</w:t>
      </w:r>
      <w:r>
        <w:rPr>
          <w:color w:val="0D0E0E"/>
          <w:spacing w:val="-8"/>
        </w:rPr>
        <w:t> </w:t>
      </w:r>
      <w:r>
        <w:rPr>
          <w:color w:val="0D0E0E"/>
        </w:rPr>
        <w:t>mês.</w:t>
      </w:r>
      <w:r>
        <w:rPr>
          <w:color w:val="0D0E0E"/>
          <w:spacing w:val="-6"/>
        </w:rPr>
        <w:t> </w:t>
      </w:r>
      <w:r>
        <w:rPr>
          <w:color w:val="0D0E0E"/>
        </w:rPr>
        <w:t>Resultado</w:t>
      </w:r>
      <w:r>
        <w:rPr>
          <w:color w:val="0D0E0E"/>
          <w:spacing w:val="-6"/>
        </w:rPr>
        <w:t> </w:t>
      </w:r>
      <w:r>
        <w:rPr>
          <w:color w:val="0D0E0E"/>
        </w:rPr>
        <w:t>ainda</w:t>
      </w:r>
      <w:r>
        <w:rPr>
          <w:color w:val="0D0E0E"/>
          <w:spacing w:val="-9"/>
        </w:rPr>
        <w:t> </w:t>
      </w:r>
      <w:r>
        <w:rPr>
          <w:color w:val="0D0E0E"/>
        </w:rPr>
        <w:t>que</w:t>
      </w:r>
      <w:r>
        <w:rPr>
          <w:color w:val="0D0E0E"/>
          <w:spacing w:val="-8"/>
        </w:rPr>
        <w:t> </w:t>
      </w:r>
      <w:r>
        <w:rPr>
          <w:color w:val="0D0E0E"/>
        </w:rPr>
        <w:t>baixo,</w:t>
      </w:r>
      <w:r>
        <w:rPr>
          <w:color w:val="0D0E0E"/>
          <w:spacing w:val="-8"/>
        </w:rPr>
        <w:t> </w:t>
      </w:r>
      <w:r>
        <w:rPr>
          <w:color w:val="0D0E0E"/>
        </w:rPr>
        <w:t>porém</w:t>
      </w:r>
      <w:r>
        <w:rPr>
          <w:color w:val="0D0E0E"/>
          <w:spacing w:val="-6"/>
        </w:rPr>
        <w:t> </w:t>
      </w:r>
      <w:r>
        <w:rPr>
          <w:color w:val="0D0E0E"/>
        </w:rPr>
        <w:t>melhor</w:t>
      </w:r>
      <w:r>
        <w:rPr>
          <w:color w:val="0D0E0E"/>
          <w:spacing w:val="-8"/>
        </w:rPr>
        <w:t> </w:t>
      </w:r>
      <w:r>
        <w:rPr>
          <w:color w:val="0D0E0E"/>
        </w:rPr>
        <w:t>do que o mercado estrangeiro.</w:t>
      </w:r>
    </w:p>
    <w:p>
      <w:pPr>
        <w:pStyle w:val="BodyText"/>
        <w:spacing w:before="242"/>
        <w:ind w:left="750"/>
      </w:pPr>
      <w:r>
        <w:rPr>
          <w:color w:val="0D0E0E"/>
        </w:rPr>
        <w:t>No</w:t>
      </w:r>
      <w:r>
        <w:rPr>
          <w:color w:val="0D0E0E"/>
          <w:spacing w:val="-5"/>
        </w:rPr>
        <w:t> </w:t>
      </w:r>
      <w:r>
        <w:rPr>
          <w:color w:val="0D0E0E"/>
        </w:rPr>
        <w:t>terceiro</w:t>
      </w:r>
      <w:r>
        <w:rPr>
          <w:color w:val="0D0E0E"/>
          <w:spacing w:val="-3"/>
        </w:rPr>
        <w:t> </w:t>
      </w:r>
      <w:r>
        <w:rPr>
          <w:color w:val="0D0E0E"/>
        </w:rPr>
        <w:t>trimestre, o</w:t>
      </w:r>
      <w:r>
        <w:rPr>
          <w:color w:val="0D0E0E"/>
          <w:spacing w:val="-3"/>
        </w:rPr>
        <w:t> </w:t>
      </w:r>
      <w:r>
        <w:rPr>
          <w:color w:val="0D0E0E"/>
        </w:rPr>
        <w:t>fechamento</w:t>
      </w:r>
      <w:r>
        <w:rPr>
          <w:color w:val="0D0E0E"/>
          <w:spacing w:val="-3"/>
        </w:rPr>
        <w:t> </w:t>
      </w:r>
      <w:r>
        <w:rPr>
          <w:color w:val="0D0E0E"/>
        </w:rPr>
        <w:t>foi</w:t>
      </w:r>
      <w:r>
        <w:rPr>
          <w:color w:val="0D0E0E"/>
          <w:spacing w:val="-2"/>
        </w:rPr>
        <w:t> </w:t>
      </w:r>
      <w:r>
        <w:rPr>
          <w:color w:val="0D0E0E"/>
        </w:rPr>
        <w:t>de</w:t>
      </w:r>
      <w:r>
        <w:rPr>
          <w:color w:val="0D0E0E"/>
          <w:spacing w:val="-3"/>
        </w:rPr>
        <w:t> </w:t>
      </w:r>
      <w:r>
        <w:rPr>
          <w:color w:val="0D0E0E"/>
        </w:rPr>
        <w:t>queda</w:t>
      </w:r>
      <w:r>
        <w:rPr>
          <w:color w:val="0D0E0E"/>
          <w:spacing w:val="-5"/>
        </w:rPr>
        <w:t> </w:t>
      </w:r>
      <w:r>
        <w:rPr>
          <w:color w:val="0D0E0E"/>
        </w:rPr>
        <w:t>de </w:t>
      </w:r>
      <w:r>
        <w:rPr>
          <w:color w:val="0D0E0E"/>
          <w:spacing w:val="-2"/>
        </w:rPr>
        <w:t>1,29%.</w:t>
      </w:r>
    </w:p>
    <w:p>
      <w:pPr>
        <w:pStyle w:val="BodyText"/>
        <w:spacing w:before="240"/>
        <w:ind w:left="42" w:right="1255" w:firstLine="707"/>
        <w:jc w:val="both"/>
      </w:pPr>
      <w:r>
        <w:rPr>
          <w:color w:val="0D0E0E"/>
        </w:rPr>
        <w:t>Em pontos, o índice fechou aos 116.565 pontos, após atingir máxima de 1,01% na cotação da sexta feira 29 de setembro aos 116.899 pontos. O pregão da sexta feira foi o responsável</w:t>
      </w:r>
      <w:r>
        <w:rPr>
          <w:color w:val="0D0E0E"/>
          <w:spacing w:val="-2"/>
        </w:rPr>
        <w:t> </w:t>
      </w:r>
      <w:r>
        <w:rPr>
          <w:color w:val="0D0E0E"/>
        </w:rPr>
        <w:t>por</w:t>
      </w:r>
      <w:r>
        <w:rPr>
          <w:color w:val="0D0E0E"/>
          <w:spacing w:val="-1"/>
        </w:rPr>
        <w:t> </w:t>
      </w:r>
      <w:r>
        <w:rPr>
          <w:color w:val="0D0E0E"/>
        </w:rPr>
        <w:t>deixar</w:t>
      </w:r>
      <w:r>
        <w:rPr>
          <w:color w:val="0D0E0E"/>
          <w:spacing w:val="-1"/>
        </w:rPr>
        <w:t> </w:t>
      </w:r>
      <w:r>
        <w:rPr>
          <w:color w:val="0D0E0E"/>
        </w:rPr>
        <w:t>o</w:t>
      </w:r>
      <w:r>
        <w:rPr>
          <w:color w:val="0D0E0E"/>
          <w:spacing w:val="-1"/>
        </w:rPr>
        <w:t> </w:t>
      </w:r>
      <w:r>
        <w:rPr>
          <w:color w:val="0D0E0E"/>
        </w:rPr>
        <w:t>fechamento</w:t>
      </w:r>
      <w:r>
        <w:rPr>
          <w:color w:val="0D0E0E"/>
          <w:spacing w:val="-1"/>
        </w:rPr>
        <w:t> </w:t>
      </w:r>
      <w:r>
        <w:rPr>
          <w:color w:val="0D0E0E"/>
        </w:rPr>
        <w:t>mensal</w:t>
      </w:r>
      <w:r>
        <w:rPr>
          <w:color w:val="0D0E0E"/>
          <w:spacing w:val="-2"/>
        </w:rPr>
        <w:t> </w:t>
      </w:r>
      <w:r>
        <w:rPr>
          <w:color w:val="0D0E0E"/>
        </w:rPr>
        <w:t>no verde,</w:t>
      </w:r>
      <w:r>
        <w:rPr>
          <w:color w:val="0D0E0E"/>
          <w:spacing w:val="-1"/>
        </w:rPr>
        <w:t> </w:t>
      </w:r>
      <w:r>
        <w:rPr>
          <w:color w:val="0D0E0E"/>
        </w:rPr>
        <w:t>impulsionado</w:t>
      </w:r>
      <w:r>
        <w:rPr>
          <w:color w:val="0D0E0E"/>
          <w:spacing w:val="-4"/>
        </w:rPr>
        <w:t> </w:t>
      </w:r>
      <w:r>
        <w:rPr>
          <w:color w:val="0D0E0E"/>
        </w:rPr>
        <w:t>pelo dado</w:t>
      </w:r>
      <w:r>
        <w:rPr>
          <w:color w:val="0D0E0E"/>
          <w:spacing w:val="-4"/>
        </w:rPr>
        <w:t> </w:t>
      </w:r>
      <w:r>
        <w:rPr>
          <w:color w:val="0D0E0E"/>
        </w:rPr>
        <w:t>de</w:t>
      </w:r>
      <w:r>
        <w:rPr>
          <w:color w:val="0D0E0E"/>
          <w:spacing w:val="-1"/>
        </w:rPr>
        <w:t> </w:t>
      </w:r>
      <w:r>
        <w:rPr>
          <w:color w:val="0D0E0E"/>
        </w:rPr>
        <w:t>inflação americano PCE (índice de preços de gastos com consumo) que veio melhor do que o </w:t>
      </w:r>
      <w:r>
        <w:rPr>
          <w:color w:val="0D0E0E"/>
          <w:spacing w:val="-2"/>
        </w:rPr>
        <w:t>esperado.</w:t>
      </w:r>
    </w:p>
    <w:p>
      <w:pPr>
        <w:pStyle w:val="BodyText"/>
        <w:spacing w:after="0"/>
        <w:jc w:val="both"/>
        <w:sectPr>
          <w:pgSz w:w="11920" w:h="16850"/>
          <w:pgMar w:top="1320" w:bottom="280" w:left="1559" w:right="141"/>
        </w:sectPr>
      </w:pPr>
    </w:p>
    <w:p>
      <w:pPr>
        <w:pStyle w:val="BodyText"/>
        <w:spacing w:before="39"/>
        <w:ind w:left="706" w:right="1211"/>
        <w:jc w:val="center"/>
      </w:pPr>
      <w:r>
        <w:rPr>
          <w:color w:val="0D0E0E"/>
        </w:rPr>
        <w:t>IBOVESPA</w:t>
      </w:r>
      <w:r>
        <w:rPr>
          <w:color w:val="0D0E0E"/>
          <w:spacing w:val="-3"/>
        </w:rPr>
        <w:t> </w:t>
      </w:r>
      <w:r>
        <w:rPr>
          <w:color w:val="0D0E0E"/>
        </w:rPr>
        <w:t>–</w:t>
      </w:r>
      <w:r>
        <w:rPr>
          <w:color w:val="0D0E0E"/>
          <w:spacing w:val="-1"/>
        </w:rPr>
        <w:t> </w:t>
      </w:r>
      <w:r>
        <w:rPr>
          <w:color w:val="0D0E0E"/>
          <w:spacing w:val="-4"/>
        </w:rPr>
        <w:t>2023:</w:t>
      </w:r>
    </w:p>
    <w:p>
      <w:pPr>
        <w:pStyle w:val="BodyText"/>
        <w:spacing w:before="11"/>
        <w:rPr>
          <w:sz w:val="16"/>
        </w:rPr>
      </w:pPr>
      <w:r>
        <w:rPr>
          <w:sz w:val="16"/>
        </w:rPr>
        <w:drawing>
          <wp:anchor distT="0" distB="0" distL="0" distR="0" allowOverlap="1" layoutInCell="1" locked="0" behindDoc="1" simplePos="0" relativeHeight="487604224">
            <wp:simplePos x="0" y="0"/>
            <wp:positionH relativeFrom="page">
              <wp:posOffset>1066800</wp:posOffset>
            </wp:positionH>
            <wp:positionV relativeFrom="paragraph">
              <wp:posOffset>146831</wp:posOffset>
            </wp:positionV>
            <wp:extent cx="5318760" cy="2316479"/>
            <wp:effectExtent l="0" t="0" r="0" b="0"/>
            <wp:wrapTopAndBottom/>
            <wp:docPr id="33" name="Image 33"/>
            <wp:cNvGraphicFramePr>
              <a:graphicFrameLocks/>
            </wp:cNvGraphicFramePr>
            <a:graphic>
              <a:graphicData uri="http://schemas.openxmlformats.org/drawingml/2006/picture">
                <pic:pic>
                  <pic:nvPicPr>
                    <pic:cNvPr id="33" name="Image 33"/>
                    <pic:cNvPicPr/>
                  </pic:nvPicPr>
                  <pic:blipFill>
                    <a:blip r:embed="rId37" cstate="print"/>
                    <a:stretch>
                      <a:fillRect/>
                    </a:stretch>
                  </pic:blipFill>
                  <pic:spPr>
                    <a:xfrm>
                      <a:off x="0" y="0"/>
                      <a:ext cx="5318760" cy="2316479"/>
                    </a:xfrm>
                    <a:prstGeom prst="rect">
                      <a:avLst/>
                    </a:prstGeom>
                  </pic:spPr>
                </pic:pic>
              </a:graphicData>
            </a:graphic>
          </wp:anchor>
        </w:drawing>
      </w:r>
    </w:p>
    <w:p>
      <w:pPr>
        <w:pStyle w:val="BodyText"/>
        <w:rPr>
          <w:sz w:val="28"/>
        </w:rPr>
      </w:pPr>
    </w:p>
    <w:p>
      <w:pPr>
        <w:pStyle w:val="BodyText"/>
        <w:rPr>
          <w:sz w:val="28"/>
        </w:rPr>
      </w:pPr>
    </w:p>
    <w:p>
      <w:pPr>
        <w:pStyle w:val="BodyText"/>
        <w:spacing w:before="53"/>
        <w:rPr>
          <w:sz w:val="28"/>
        </w:rPr>
      </w:pPr>
    </w:p>
    <w:p>
      <w:pPr>
        <w:pStyle w:val="Heading2"/>
        <w:spacing w:before="0"/>
      </w:pPr>
      <w:r>
        <w:rPr/>
        <w:t>Renda</w:t>
      </w:r>
      <w:r>
        <w:rPr>
          <w:spacing w:val="-3"/>
        </w:rPr>
        <w:t> </w:t>
      </w:r>
      <w:r>
        <w:rPr>
          <w:spacing w:val="-4"/>
        </w:rPr>
        <w:t>Fixa</w:t>
      </w:r>
    </w:p>
    <w:p>
      <w:pPr>
        <w:pStyle w:val="BodyText"/>
        <w:spacing w:before="241"/>
        <w:ind w:left="42" w:right="1249" w:firstLine="707"/>
        <w:jc w:val="both"/>
      </w:pPr>
      <w:r>
        <w:rPr>
          <w:color w:val="0D0E0E"/>
        </w:rPr>
        <w:t>Nos índices ANBIMA, a curva de juros impactou os indicadores de renda fixa, tendo o IMA-B variado negativamente em -0,95%, o IMA–B 5 que variou 0,09% no mês, e o IMA- GERAL com 0,15%. O IMA-B 5+ registrou queda de -1,87% no mês, demonstrando grande </w:t>
      </w:r>
      <w:r>
        <w:rPr>
          <w:color w:val="0D0E0E"/>
          <w:spacing w:val="-2"/>
        </w:rPr>
        <w:t>volatilidade.</w:t>
      </w:r>
    </w:p>
    <w:p>
      <w:pPr>
        <w:pStyle w:val="BodyText"/>
        <w:spacing w:before="240"/>
        <w:ind w:left="42" w:right="1252" w:firstLine="707"/>
        <w:jc w:val="both"/>
      </w:pPr>
      <w:r>
        <w:rPr>
          <w:color w:val="0D0E0E"/>
        </w:rPr>
        <w:t>Nos</w:t>
      </w:r>
      <w:r>
        <w:rPr>
          <w:color w:val="0D0E0E"/>
          <w:spacing w:val="-1"/>
        </w:rPr>
        <w:t> </w:t>
      </w:r>
      <w:r>
        <w:rPr>
          <w:color w:val="0D0E0E"/>
        </w:rPr>
        <w:t>prefixados, o</w:t>
      </w:r>
      <w:r>
        <w:rPr>
          <w:color w:val="0D0E0E"/>
          <w:spacing w:val="-1"/>
        </w:rPr>
        <w:t> </w:t>
      </w:r>
      <w:r>
        <w:rPr>
          <w:color w:val="0D0E0E"/>
        </w:rPr>
        <w:t>IRF-M</w:t>
      </w:r>
      <w:r>
        <w:rPr>
          <w:color w:val="0D0E0E"/>
          <w:spacing w:val="-1"/>
        </w:rPr>
        <w:t> </w:t>
      </w:r>
      <w:r>
        <w:rPr>
          <w:color w:val="0D0E0E"/>
        </w:rPr>
        <w:t>1 ficou com 0,89%</w:t>
      </w:r>
      <w:r>
        <w:rPr>
          <w:color w:val="0D0E0E"/>
          <w:spacing w:val="-3"/>
        </w:rPr>
        <w:t> </w:t>
      </w:r>
      <w:r>
        <w:rPr>
          <w:color w:val="0D0E0E"/>
        </w:rPr>
        <w:t>no</w:t>
      </w:r>
      <w:r>
        <w:rPr>
          <w:color w:val="0D0E0E"/>
          <w:spacing w:val="-1"/>
        </w:rPr>
        <w:t> </w:t>
      </w:r>
      <w:r>
        <w:rPr>
          <w:color w:val="0D0E0E"/>
        </w:rPr>
        <w:t>mês, o</w:t>
      </w:r>
      <w:r>
        <w:rPr>
          <w:color w:val="0D0E0E"/>
          <w:spacing w:val="-1"/>
        </w:rPr>
        <w:t> </w:t>
      </w:r>
      <w:r>
        <w:rPr>
          <w:color w:val="0D0E0E"/>
        </w:rPr>
        <w:t>IRF-M</w:t>
      </w:r>
      <w:r>
        <w:rPr>
          <w:color w:val="0D0E0E"/>
          <w:spacing w:val="-1"/>
        </w:rPr>
        <w:t> </w:t>
      </w:r>
      <w:r>
        <w:rPr>
          <w:color w:val="0D0E0E"/>
        </w:rPr>
        <w:t>1+ em</w:t>
      </w:r>
      <w:r>
        <w:rPr>
          <w:color w:val="0D0E0E"/>
          <w:spacing w:val="-1"/>
        </w:rPr>
        <w:t> </w:t>
      </w:r>
      <w:r>
        <w:rPr>
          <w:color w:val="0D0E0E"/>
        </w:rPr>
        <w:t>-0,15%</w:t>
      </w:r>
      <w:r>
        <w:rPr>
          <w:color w:val="0D0E0E"/>
          <w:spacing w:val="-1"/>
        </w:rPr>
        <w:t> </w:t>
      </w:r>
      <w:r>
        <w:rPr>
          <w:color w:val="0D0E0E"/>
        </w:rPr>
        <w:t>e</w:t>
      </w:r>
      <w:r>
        <w:rPr>
          <w:color w:val="0D0E0E"/>
          <w:spacing w:val="-1"/>
        </w:rPr>
        <w:t> </w:t>
      </w:r>
      <w:r>
        <w:rPr>
          <w:color w:val="0D0E0E"/>
        </w:rPr>
        <w:t>o IRF-M com 0,16%. A variação anual é de 10,06%, 12,82% e 11,62% respectivamente para cada </w:t>
      </w:r>
      <w:r>
        <w:rPr>
          <w:color w:val="0D0E0E"/>
          <w:spacing w:val="-2"/>
        </w:rPr>
        <w:t>benchmark.</w:t>
      </w:r>
    </w:p>
    <w:p>
      <w:pPr>
        <w:pStyle w:val="BodyText"/>
        <w:spacing w:before="239"/>
        <w:ind w:left="42" w:right="1252" w:firstLine="707"/>
        <w:jc w:val="both"/>
      </w:pPr>
      <w:r>
        <w:rPr>
          <w:color w:val="0D0E0E"/>
        </w:rPr>
        <w:t>Quanto</w:t>
      </w:r>
      <w:r>
        <w:rPr>
          <w:color w:val="0D0E0E"/>
          <w:spacing w:val="-13"/>
        </w:rPr>
        <w:t> </w:t>
      </w:r>
      <w:r>
        <w:rPr>
          <w:color w:val="0D0E0E"/>
        </w:rPr>
        <w:t>aos</w:t>
      </w:r>
      <w:r>
        <w:rPr>
          <w:color w:val="0D0E0E"/>
          <w:spacing w:val="-11"/>
        </w:rPr>
        <w:t> </w:t>
      </w:r>
      <w:r>
        <w:rPr>
          <w:color w:val="0D0E0E"/>
        </w:rPr>
        <w:t>índices</w:t>
      </w:r>
      <w:r>
        <w:rPr>
          <w:color w:val="0D0E0E"/>
          <w:spacing w:val="-11"/>
        </w:rPr>
        <w:t> </w:t>
      </w:r>
      <w:r>
        <w:rPr>
          <w:color w:val="0D0E0E"/>
        </w:rPr>
        <w:t>de</w:t>
      </w:r>
      <w:r>
        <w:rPr>
          <w:color w:val="0D0E0E"/>
          <w:spacing w:val="-11"/>
        </w:rPr>
        <w:t> </w:t>
      </w:r>
      <w:r>
        <w:rPr>
          <w:color w:val="0D0E0E"/>
        </w:rPr>
        <w:t>prazos</w:t>
      </w:r>
      <w:r>
        <w:rPr>
          <w:color w:val="0D0E0E"/>
          <w:spacing w:val="-11"/>
        </w:rPr>
        <w:t> </w:t>
      </w:r>
      <w:r>
        <w:rPr>
          <w:color w:val="0D0E0E"/>
        </w:rPr>
        <w:t>constantes,</w:t>
      </w:r>
      <w:r>
        <w:rPr>
          <w:color w:val="0D0E0E"/>
          <w:spacing w:val="-11"/>
        </w:rPr>
        <w:t> </w:t>
      </w:r>
      <w:r>
        <w:rPr>
          <w:color w:val="0D0E0E"/>
        </w:rPr>
        <w:t>IDKA-Pré</w:t>
      </w:r>
      <w:r>
        <w:rPr>
          <w:color w:val="0D0E0E"/>
          <w:spacing w:val="-11"/>
        </w:rPr>
        <w:t> </w:t>
      </w:r>
      <w:r>
        <w:rPr>
          <w:color w:val="0D0E0E"/>
        </w:rPr>
        <w:t>2a</w:t>
      </w:r>
      <w:r>
        <w:rPr>
          <w:color w:val="0D0E0E"/>
          <w:spacing w:val="-10"/>
        </w:rPr>
        <w:t> </w:t>
      </w:r>
      <w:r>
        <w:rPr>
          <w:color w:val="0D0E0E"/>
        </w:rPr>
        <w:t>teve</w:t>
      </w:r>
      <w:r>
        <w:rPr>
          <w:color w:val="0D0E0E"/>
          <w:spacing w:val="-11"/>
        </w:rPr>
        <w:t> </w:t>
      </w:r>
      <w:r>
        <w:rPr>
          <w:color w:val="0D0E0E"/>
        </w:rPr>
        <w:t>variação</w:t>
      </w:r>
      <w:r>
        <w:rPr>
          <w:color w:val="0D0E0E"/>
          <w:spacing w:val="-13"/>
        </w:rPr>
        <w:t> </w:t>
      </w:r>
      <w:r>
        <w:rPr>
          <w:color w:val="0D0E0E"/>
        </w:rPr>
        <w:t>de</w:t>
      </w:r>
      <w:r>
        <w:rPr>
          <w:color w:val="0D0E0E"/>
          <w:spacing w:val="-11"/>
        </w:rPr>
        <w:t> </w:t>
      </w:r>
      <w:r>
        <w:rPr>
          <w:color w:val="0D0E0E"/>
        </w:rPr>
        <w:t>0,15%</w:t>
      </w:r>
      <w:r>
        <w:rPr>
          <w:color w:val="0D0E0E"/>
          <w:spacing w:val="-10"/>
        </w:rPr>
        <w:t> </w:t>
      </w:r>
      <w:r>
        <w:rPr>
          <w:color w:val="0D0E0E"/>
        </w:rPr>
        <w:t>no</w:t>
      </w:r>
      <w:r>
        <w:rPr>
          <w:color w:val="0D0E0E"/>
          <w:spacing w:val="-11"/>
        </w:rPr>
        <w:t> </w:t>
      </w:r>
      <w:r>
        <w:rPr>
          <w:color w:val="0D0E0E"/>
        </w:rPr>
        <w:t>mês e 12,17% no ano enquanto o IDKA-IPCA 2a obteve 0,22% no mês e 8,97% no ano.</w:t>
      </w:r>
    </w:p>
    <w:p>
      <w:pPr>
        <w:pStyle w:val="BodyText"/>
        <w:spacing w:after="0"/>
        <w:jc w:val="both"/>
        <w:sectPr>
          <w:pgSz w:w="11920" w:h="16850"/>
          <w:pgMar w:top="1320" w:bottom="280" w:left="1559" w:right="141"/>
        </w:sectPr>
      </w:pPr>
    </w:p>
    <w:p>
      <w:pPr>
        <w:pStyle w:val="Heading1"/>
      </w:pPr>
      <w:r>
        <w:rPr/>
        <w:t>CONCLUSÃO</w:t>
      </w:r>
      <w:r>
        <w:rPr>
          <w:spacing w:val="-3"/>
        </w:rPr>
        <w:t> </w:t>
      </w:r>
      <w:r>
        <w:rPr/>
        <w:t>E</w:t>
      </w:r>
      <w:r>
        <w:rPr>
          <w:spacing w:val="-3"/>
        </w:rPr>
        <w:t> </w:t>
      </w:r>
      <w:r>
        <w:rPr>
          <w:spacing w:val="-2"/>
        </w:rPr>
        <w:t>PERSPECTIVAS</w:t>
      </w:r>
    </w:p>
    <w:p>
      <w:pPr>
        <w:pStyle w:val="BodyText"/>
        <w:spacing w:before="240"/>
        <w:ind w:left="42" w:right="1261" w:firstLine="707"/>
        <w:jc w:val="both"/>
      </w:pPr>
      <w:r>
        <w:rPr>
          <w:color w:val="0D0E0E"/>
        </w:rPr>
        <w:t>Em linha com e</w:t>
      </w:r>
      <w:r>
        <w:rPr>
          <w:color w:val="0D0E0E"/>
          <w:spacing w:val="-1"/>
        </w:rPr>
        <w:t> </w:t>
      </w:r>
      <w:r>
        <w:rPr>
          <w:color w:val="0D0E0E"/>
        </w:rPr>
        <w:t>preocupação com a trajetória fiscal, o mercado</w:t>
      </w:r>
      <w:r>
        <w:rPr>
          <w:color w:val="0D0E0E"/>
          <w:spacing w:val="-1"/>
        </w:rPr>
        <w:t> </w:t>
      </w:r>
      <w:r>
        <w:rPr>
          <w:color w:val="0D0E0E"/>
        </w:rPr>
        <w:t>segue</w:t>
      </w:r>
      <w:r>
        <w:rPr>
          <w:color w:val="0D0E0E"/>
          <w:spacing w:val="-1"/>
        </w:rPr>
        <w:t> </w:t>
      </w:r>
      <w:r>
        <w:rPr>
          <w:color w:val="0D0E0E"/>
        </w:rPr>
        <w:t>preocupado e atento frente a possibilidade de votação do projeto de lei referente a tributação de fundos exclusivos e offshore.</w:t>
      </w:r>
    </w:p>
    <w:p>
      <w:pPr>
        <w:pStyle w:val="BodyText"/>
        <w:spacing w:before="239"/>
        <w:ind w:left="42" w:right="1261" w:firstLine="707"/>
        <w:jc w:val="both"/>
      </w:pPr>
      <w:r>
        <w:rPr>
          <w:color w:val="0D0E0E"/>
        </w:rPr>
        <w:t>O governo, para fechar as contas no azul, não parece querer adotar medidas para enxugamento dos gastos, portanto, a solução criada passa a ser a de maximizar a receita através da otimização de arrecadação tributária.</w:t>
      </w:r>
    </w:p>
    <w:p>
      <w:pPr>
        <w:pStyle w:val="BodyText"/>
        <w:spacing w:before="242"/>
        <w:ind w:left="42" w:right="1253" w:firstLine="707"/>
        <w:jc w:val="both"/>
      </w:pPr>
      <w:r>
        <w:rPr>
          <w:color w:val="0D0E0E"/>
        </w:rPr>
        <w:t>A</w:t>
      </w:r>
      <w:r>
        <w:rPr>
          <w:color w:val="0D0E0E"/>
          <w:spacing w:val="-14"/>
        </w:rPr>
        <w:t> </w:t>
      </w:r>
      <w:r>
        <w:rPr>
          <w:color w:val="0D0E0E"/>
        </w:rPr>
        <w:t>efetividade</w:t>
      </w:r>
      <w:r>
        <w:rPr>
          <w:color w:val="0D0E0E"/>
          <w:spacing w:val="-14"/>
        </w:rPr>
        <w:t> </w:t>
      </w:r>
      <w:r>
        <w:rPr>
          <w:color w:val="0D0E0E"/>
        </w:rPr>
        <w:t>e</w:t>
      </w:r>
      <w:r>
        <w:rPr>
          <w:color w:val="0D0E0E"/>
          <w:spacing w:val="-13"/>
        </w:rPr>
        <w:t> </w:t>
      </w:r>
      <w:r>
        <w:rPr>
          <w:color w:val="0D0E0E"/>
        </w:rPr>
        <w:t>os</w:t>
      </w:r>
      <w:r>
        <w:rPr>
          <w:color w:val="0D0E0E"/>
          <w:spacing w:val="-14"/>
        </w:rPr>
        <w:t> </w:t>
      </w:r>
      <w:r>
        <w:rPr>
          <w:color w:val="0D0E0E"/>
        </w:rPr>
        <w:t>efeitos</w:t>
      </w:r>
      <w:r>
        <w:rPr>
          <w:color w:val="0D0E0E"/>
          <w:spacing w:val="-13"/>
        </w:rPr>
        <w:t> </w:t>
      </w:r>
      <w:r>
        <w:rPr>
          <w:color w:val="0D0E0E"/>
        </w:rPr>
        <w:t>dessas</w:t>
      </w:r>
      <w:r>
        <w:rPr>
          <w:color w:val="0D0E0E"/>
          <w:spacing w:val="-14"/>
        </w:rPr>
        <w:t> </w:t>
      </w:r>
      <w:r>
        <w:rPr>
          <w:color w:val="0D0E0E"/>
        </w:rPr>
        <w:t>novas</w:t>
      </w:r>
      <w:r>
        <w:rPr>
          <w:color w:val="0D0E0E"/>
          <w:spacing w:val="-13"/>
        </w:rPr>
        <w:t> </w:t>
      </w:r>
      <w:r>
        <w:rPr>
          <w:color w:val="0D0E0E"/>
        </w:rPr>
        <w:t>medidas</w:t>
      </w:r>
      <w:r>
        <w:rPr>
          <w:color w:val="0D0E0E"/>
          <w:spacing w:val="-14"/>
        </w:rPr>
        <w:t> </w:t>
      </w:r>
      <w:r>
        <w:rPr>
          <w:color w:val="0D0E0E"/>
        </w:rPr>
        <w:t>devem</w:t>
      </w:r>
      <w:r>
        <w:rPr>
          <w:color w:val="0D0E0E"/>
          <w:spacing w:val="-14"/>
        </w:rPr>
        <w:t> </w:t>
      </w:r>
      <w:r>
        <w:rPr>
          <w:color w:val="0D0E0E"/>
        </w:rPr>
        <w:t>ser</w:t>
      </w:r>
      <w:r>
        <w:rPr>
          <w:color w:val="0D0E0E"/>
          <w:spacing w:val="-13"/>
        </w:rPr>
        <w:t> </w:t>
      </w:r>
      <w:r>
        <w:rPr>
          <w:color w:val="0D0E0E"/>
        </w:rPr>
        <w:t>sentidos</w:t>
      </w:r>
      <w:r>
        <w:rPr>
          <w:color w:val="0D0E0E"/>
          <w:spacing w:val="-14"/>
        </w:rPr>
        <w:t> </w:t>
      </w:r>
      <w:r>
        <w:rPr>
          <w:color w:val="0D0E0E"/>
        </w:rPr>
        <w:t>de</w:t>
      </w:r>
      <w:r>
        <w:rPr>
          <w:color w:val="0D0E0E"/>
          <w:spacing w:val="-13"/>
        </w:rPr>
        <w:t> </w:t>
      </w:r>
      <w:r>
        <w:rPr>
          <w:color w:val="0D0E0E"/>
        </w:rPr>
        <w:t>maneira</w:t>
      </w:r>
      <w:r>
        <w:rPr>
          <w:color w:val="0D0E0E"/>
          <w:spacing w:val="-14"/>
        </w:rPr>
        <w:t> </w:t>
      </w:r>
      <w:r>
        <w:rPr>
          <w:color w:val="0D0E0E"/>
        </w:rPr>
        <w:t>mista ao longo dos meses.</w:t>
      </w:r>
    </w:p>
    <w:p>
      <w:pPr>
        <w:pStyle w:val="BodyText"/>
        <w:spacing w:before="240"/>
        <w:ind w:left="42" w:right="1262" w:firstLine="707"/>
        <w:jc w:val="both"/>
      </w:pPr>
      <w:r>
        <w:rPr>
          <w:color w:val="0D0E0E"/>
        </w:rPr>
        <w:t>Para o exterior, é esperado a manutenção do atual nível de juros por um período mais longo do que o inicialmente planejado, e portanto, trazendo desafio para as moedas dos demais países, e o fortalecimento do dólar.</w:t>
      </w:r>
    </w:p>
    <w:p>
      <w:pPr>
        <w:pStyle w:val="BodyText"/>
        <w:spacing w:before="240"/>
        <w:ind w:left="42" w:right="1262" w:firstLine="707"/>
        <w:jc w:val="both"/>
      </w:pPr>
      <w:r>
        <w:rPr>
          <w:color w:val="0D0E0E"/>
        </w:rPr>
        <w:t>No radar, é válido se manter informado e monitorando todos os indicadores que podem antecipar os movimentos do Federal Reserve.</w:t>
      </w:r>
    </w:p>
    <w:p>
      <w:pPr>
        <w:pStyle w:val="BodyText"/>
        <w:spacing w:before="239"/>
        <w:ind w:left="42" w:right="1259" w:firstLine="707"/>
        <w:jc w:val="both"/>
      </w:pPr>
      <w:r>
        <w:rPr>
          <w:color w:val="0D0E0E"/>
        </w:rPr>
        <w:t>Em especial, os</w:t>
      </w:r>
      <w:r>
        <w:rPr>
          <w:color w:val="0D0E0E"/>
          <w:spacing w:val="-2"/>
        </w:rPr>
        <w:t> </w:t>
      </w:r>
      <w:r>
        <w:rPr>
          <w:color w:val="0D0E0E"/>
        </w:rPr>
        <w:t>indicadores</w:t>
      </w:r>
      <w:r>
        <w:rPr>
          <w:color w:val="0D0E0E"/>
          <w:spacing w:val="-1"/>
        </w:rPr>
        <w:t> </w:t>
      </w:r>
      <w:r>
        <w:rPr>
          <w:color w:val="0D0E0E"/>
        </w:rPr>
        <w:t>de</w:t>
      </w:r>
      <w:r>
        <w:rPr>
          <w:color w:val="0D0E0E"/>
          <w:spacing w:val="-2"/>
        </w:rPr>
        <w:t> </w:t>
      </w:r>
      <w:r>
        <w:rPr>
          <w:color w:val="0D0E0E"/>
        </w:rPr>
        <w:t>inflação (através</w:t>
      </w:r>
      <w:r>
        <w:rPr>
          <w:color w:val="0D0E0E"/>
          <w:spacing w:val="-3"/>
        </w:rPr>
        <w:t> </w:t>
      </w:r>
      <w:r>
        <w:rPr>
          <w:color w:val="0D0E0E"/>
        </w:rPr>
        <w:t>do PCE,</w:t>
      </w:r>
      <w:r>
        <w:rPr>
          <w:color w:val="0D0E0E"/>
          <w:spacing w:val="-2"/>
        </w:rPr>
        <w:t> </w:t>
      </w:r>
      <w:r>
        <w:rPr>
          <w:color w:val="0D0E0E"/>
        </w:rPr>
        <w:t>principal indicador utilizado pelo FED), além dos indicadores do mercado de trabalho, como índice Jolts e Nonfarm Payroll, além dos indicadores de crescimento econômico.</w:t>
      </w:r>
    </w:p>
    <w:p>
      <w:pPr>
        <w:pStyle w:val="BodyText"/>
        <w:spacing w:before="240"/>
        <w:ind w:left="42" w:right="1250" w:firstLine="707"/>
        <w:jc w:val="both"/>
      </w:pPr>
      <w:r>
        <w:rPr>
          <w:color w:val="0D0E0E"/>
        </w:rPr>
        <w:t>Nas últimas semanas de outubro, teremos a divulgação do PMI de diversos países, além dos dados de desemprego da Inglaterra, dado de venda de imóveis nos EUA, PCE dos EUA, IPCA-15 de outubro no dia 25, entre outros acontecimentos.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3"/>
        <w:rPr>
          <w:sz w:val="20"/>
        </w:rPr>
      </w:pPr>
      <w:r>
        <w:rPr>
          <w:sz w:val="20"/>
        </w:rPr>
        <w:drawing>
          <wp:anchor distT="0" distB="0" distL="0" distR="0" allowOverlap="1" layoutInCell="1" locked="0" behindDoc="1" simplePos="0" relativeHeight="487604736">
            <wp:simplePos x="0" y="0"/>
            <wp:positionH relativeFrom="page">
              <wp:posOffset>2877820</wp:posOffset>
            </wp:positionH>
            <wp:positionV relativeFrom="paragraph">
              <wp:posOffset>261620</wp:posOffset>
            </wp:positionV>
            <wp:extent cx="1955676" cy="1241012"/>
            <wp:effectExtent l="0" t="0" r="0" b="0"/>
            <wp:wrapTopAndBottom/>
            <wp:docPr id="34" name="Image 34"/>
            <wp:cNvGraphicFramePr>
              <a:graphicFrameLocks/>
            </wp:cNvGraphicFramePr>
            <a:graphic>
              <a:graphicData uri="http://schemas.openxmlformats.org/drawingml/2006/picture">
                <pic:pic>
                  <pic:nvPicPr>
                    <pic:cNvPr id="34" name="Image 34"/>
                    <pic:cNvPicPr/>
                  </pic:nvPicPr>
                  <pic:blipFill>
                    <a:blip r:embed="rId38" cstate="print"/>
                    <a:stretch>
                      <a:fillRect/>
                    </a:stretch>
                  </pic:blipFill>
                  <pic:spPr>
                    <a:xfrm>
                      <a:off x="0" y="0"/>
                      <a:ext cx="1955676" cy="1241012"/>
                    </a:xfrm>
                    <a:prstGeom prst="rect">
                      <a:avLst/>
                    </a:prstGeom>
                  </pic:spPr>
                </pic:pic>
              </a:graphicData>
            </a:graphic>
          </wp:anchor>
        </w:drawing>
      </w:r>
    </w:p>
    <w:p>
      <w:pPr>
        <w:pStyle w:val="BodyText"/>
        <w:spacing w:after="0"/>
        <w:rPr>
          <w:sz w:val="20"/>
        </w:rPr>
        <w:sectPr>
          <w:pgSz w:w="11920" w:h="16850"/>
          <w:pgMar w:top="1340" w:bottom="280" w:left="1559" w:right="141"/>
        </w:sectPr>
      </w:pPr>
    </w:p>
    <w:p>
      <w:pPr>
        <w:pStyle w:val="BodyText"/>
        <w:spacing w:before="39"/>
        <w:ind w:left="2385"/>
      </w:pPr>
      <w:r>
        <w:rPr>
          <w:color w:val="0D0E0E"/>
        </w:rPr>
        <w:t>INVESTIDOR</w:t>
      </w:r>
      <w:r>
        <w:rPr>
          <w:color w:val="0D0E0E"/>
          <w:spacing w:val="-9"/>
        </w:rPr>
        <w:t> </w:t>
      </w:r>
      <w:r>
        <w:rPr>
          <w:color w:val="0D0E0E"/>
        </w:rPr>
        <w:t>EM</w:t>
      </w:r>
      <w:r>
        <w:rPr>
          <w:color w:val="0D0E0E"/>
          <w:spacing w:val="-4"/>
        </w:rPr>
        <w:t> </w:t>
      </w:r>
      <w:r>
        <w:rPr>
          <w:color w:val="0D0E0E"/>
        </w:rPr>
        <w:t>GERAL</w:t>
      </w:r>
      <w:r>
        <w:rPr>
          <w:color w:val="0D0E0E"/>
          <w:spacing w:val="-5"/>
        </w:rPr>
        <w:t> </w:t>
      </w:r>
      <w:r>
        <w:rPr>
          <w:color w:val="0D0E0E"/>
        </w:rPr>
        <w:t>–</w:t>
      </w:r>
      <w:r>
        <w:rPr>
          <w:color w:val="0D0E0E"/>
          <w:spacing w:val="-8"/>
        </w:rPr>
        <w:t> </w:t>
      </w:r>
      <w:r>
        <w:rPr>
          <w:color w:val="0D0E0E"/>
        </w:rPr>
        <w:t>SEM</w:t>
      </w:r>
      <w:r>
        <w:rPr>
          <w:color w:val="0D0E0E"/>
          <w:spacing w:val="-2"/>
        </w:rPr>
        <w:t> </w:t>
      </w:r>
      <w:r>
        <w:rPr>
          <w:color w:val="0D0E0E"/>
        </w:rPr>
        <w:t>PRÓ</w:t>
      </w:r>
      <w:r>
        <w:rPr>
          <w:color w:val="0D0E0E"/>
          <w:spacing w:val="-2"/>
        </w:rPr>
        <w:t> GESTÃO</w:t>
      </w:r>
    </w:p>
    <w:p>
      <w:pPr>
        <w:pStyle w:val="BodyText"/>
        <w:spacing w:before="179"/>
        <w:rPr>
          <w:sz w:val="20"/>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66"/>
        <w:gridCol w:w="1123"/>
      </w:tblGrid>
      <w:tr>
        <w:trPr>
          <w:trHeight w:val="448" w:hRule="atLeast"/>
        </w:trPr>
        <w:tc>
          <w:tcPr>
            <w:tcW w:w="8689" w:type="dxa"/>
            <w:gridSpan w:val="2"/>
          </w:tcPr>
          <w:p>
            <w:pPr>
              <w:pStyle w:val="TableParagraph"/>
              <w:spacing w:before="6"/>
              <w:ind w:left="458"/>
              <w:rPr>
                <w:sz w:val="21"/>
              </w:rPr>
            </w:pPr>
            <w:r>
              <w:rPr>
                <w:sz w:val="21"/>
              </w:rPr>
              <w:t>Estratégia</w:t>
            </w:r>
            <w:r>
              <w:rPr>
                <w:spacing w:val="-11"/>
                <w:sz w:val="21"/>
              </w:rPr>
              <w:t> </w:t>
            </w:r>
            <w:r>
              <w:rPr>
                <w:sz w:val="21"/>
              </w:rPr>
              <w:t>de</w:t>
            </w:r>
            <w:r>
              <w:rPr>
                <w:spacing w:val="-4"/>
                <w:sz w:val="21"/>
              </w:rPr>
              <w:t> </w:t>
            </w:r>
            <w:r>
              <w:rPr>
                <w:sz w:val="21"/>
              </w:rPr>
              <w:t>Alocação</w:t>
            </w:r>
            <w:r>
              <w:rPr>
                <w:spacing w:val="-7"/>
                <w:sz w:val="21"/>
              </w:rPr>
              <w:t> </w:t>
            </w:r>
            <w:r>
              <w:rPr>
                <w:sz w:val="21"/>
              </w:rPr>
              <w:t>dos</w:t>
            </w:r>
            <w:r>
              <w:rPr>
                <w:spacing w:val="-4"/>
                <w:sz w:val="21"/>
              </w:rPr>
              <w:t> </w:t>
            </w:r>
            <w:r>
              <w:rPr>
                <w:sz w:val="21"/>
              </w:rPr>
              <w:t>Recursos</w:t>
            </w:r>
            <w:r>
              <w:rPr>
                <w:spacing w:val="-7"/>
                <w:sz w:val="21"/>
              </w:rPr>
              <w:t> </w:t>
            </w:r>
            <w:r>
              <w:rPr>
                <w:sz w:val="21"/>
              </w:rPr>
              <w:t>no</w:t>
            </w:r>
            <w:r>
              <w:rPr>
                <w:spacing w:val="-6"/>
                <w:sz w:val="21"/>
              </w:rPr>
              <w:t> </w:t>
            </w:r>
            <w:r>
              <w:rPr>
                <w:sz w:val="21"/>
              </w:rPr>
              <w:t>Longo</w:t>
            </w:r>
            <w:r>
              <w:rPr>
                <w:spacing w:val="-8"/>
                <w:sz w:val="21"/>
              </w:rPr>
              <w:t> </w:t>
            </w:r>
            <w:r>
              <w:rPr>
                <w:sz w:val="21"/>
              </w:rPr>
              <w:t>Prazo</w:t>
            </w:r>
            <w:r>
              <w:rPr>
                <w:spacing w:val="1"/>
                <w:sz w:val="21"/>
              </w:rPr>
              <w:t> </w:t>
            </w:r>
            <w:r>
              <w:rPr>
                <w:sz w:val="21"/>
              </w:rPr>
              <w:t>–</w:t>
            </w:r>
            <w:r>
              <w:rPr>
                <w:spacing w:val="-7"/>
                <w:sz w:val="21"/>
              </w:rPr>
              <w:t> </w:t>
            </w:r>
            <w:r>
              <w:rPr>
                <w:sz w:val="21"/>
              </w:rPr>
              <w:t>Renda</w:t>
            </w:r>
            <w:r>
              <w:rPr>
                <w:spacing w:val="-6"/>
                <w:sz w:val="21"/>
              </w:rPr>
              <w:t> </w:t>
            </w:r>
            <w:r>
              <w:rPr>
                <w:sz w:val="21"/>
              </w:rPr>
              <w:t>Fixa</w:t>
            </w:r>
            <w:r>
              <w:rPr>
                <w:spacing w:val="-7"/>
                <w:sz w:val="21"/>
              </w:rPr>
              <w:t> </w:t>
            </w:r>
            <w:r>
              <w:rPr>
                <w:sz w:val="21"/>
              </w:rPr>
              <w:t>e</w:t>
            </w:r>
            <w:r>
              <w:rPr>
                <w:spacing w:val="-4"/>
                <w:sz w:val="21"/>
              </w:rPr>
              <w:t> </w:t>
            </w:r>
            <w:r>
              <w:rPr>
                <w:spacing w:val="-2"/>
                <w:sz w:val="21"/>
              </w:rPr>
              <w:t>Variável</w:t>
            </w:r>
          </w:p>
        </w:tc>
      </w:tr>
      <w:tr>
        <w:trPr>
          <w:trHeight w:val="368" w:hRule="atLeast"/>
        </w:trPr>
        <w:tc>
          <w:tcPr>
            <w:tcW w:w="7566" w:type="dxa"/>
            <w:tcBorders>
              <w:bottom w:val="nil"/>
            </w:tcBorders>
          </w:tcPr>
          <w:p>
            <w:pPr>
              <w:pStyle w:val="TableParagraph"/>
              <w:spacing w:before="3"/>
              <w:ind w:left="114"/>
              <w:rPr>
                <w:b/>
                <w:sz w:val="21"/>
              </w:rPr>
            </w:pPr>
            <w:r>
              <w:rPr>
                <w:b/>
                <w:sz w:val="21"/>
                <w:u w:val="single"/>
              </w:rPr>
              <w:t>Renda</w:t>
            </w:r>
            <w:r>
              <w:rPr>
                <w:b/>
                <w:spacing w:val="-6"/>
                <w:sz w:val="21"/>
                <w:u w:val="single"/>
              </w:rPr>
              <w:t> </w:t>
            </w:r>
            <w:r>
              <w:rPr>
                <w:b/>
                <w:spacing w:val="-4"/>
                <w:sz w:val="21"/>
                <w:u w:val="single"/>
              </w:rPr>
              <w:t>Fixa</w:t>
            </w:r>
          </w:p>
        </w:tc>
        <w:tc>
          <w:tcPr>
            <w:tcW w:w="1123" w:type="dxa"/>
            <w:tcBorders>
              <w:bottom w:val="nil"/>
            </w:tcBorders>
          </w:tcPr>
          <w:p>
            <w:pPr>
              <w:pStyle w:val="TableParagraph"/>
              <w:spacing w:before="3"/>
              <w:rPr>
                <w:b/>
                <w:sz w:val="21"/>
              </w:rPr>
            </w:pPr>
            <w:r>
              <w:rPr>
                <w:b/>
                <w:spacing w:val="-5"/>
                <w:sz w:val="21"/>
              </w:rPr>
              <w:t>60%</w:t>
            </w:r>
          </w:p>
        </w:tc>
      </w:tr>
      <w:tr>
        <w:trPr>
          <w:trHeight w:val="439" w:hRule="atLeast"/>
        </w:trPr>
        <w:tc>
          <w:tcPr>
            <w:tcW w:w="7566" w:type="dxa"/>
            <w:tcBorders>
              <w:top w:val="nil"/>
              <w:bottom w:val="nil"/>
            </w:tcBorders>
          </w:tcPr>
          <w:p>
            <w:pPr>
              <w:pStyle w:val="TableParagraph"/>
              <w:spacing w:before="70"/>
              <w:ind w:left="114"/>
              <w:rPr>
                <w:sz w:val="21"/>
              </w:rPr>
            </w:pPr>
            <w:r>
              <w:rPr>
                <w:sz w:val="21"/>
              </w:rPr>
              <w:t>Longuíssimo</w:t>
            </w:r>
            <w:r>
              <w:rPr>
                <w:spacing w:val="-11"/>
                <w:sz w:val="21"/>
              </w:rPr>
              <w:t> </w:t>
            </w:r>
            <w:r>
              <w:rPr>
                <w:sz w:val="21"/>
              </w:rPr>
              <w:t>Prazo</w:t>
            </w:r>
            <w:r>
              <w:rPr>
                <w:spacing w:val="-8"/>
                <w:sz w:val="21"/>
              </w:rPr>
              <w:t> </w:t>
            </w:r>
            <w:r>
              <w:rPr>
                <w:sz w:val="21"/>
              </w:rPr>
              <w:t>(IMA-B</w:t>
            </w:r>
            <w:r>
              <w:rPr>
                <w:spacing w:val="-8"/>
                <w:sz w:val="21"/>
              </w:rPr>
              <w:t> </w:t>
            </w:r>
            <w:r>
              <w:rPr>
                <w:spacing w:val="-5"/>
                <w:sz w:val="21"/>
              </w:rPr>
              <w:t>5+)</w:t>
            </w:r>
          </w:p>
        </w:tc>
        <w:tc>
          <w:tcPr>
            <w:tcW w:w="1123" w:type="dxa"/>
            <w:tcBorders>
              <w:top w:val="nil"/>
              <w:bottom w:val="nil"/>
            </w:tcBorders>
          </w:tcPr>
          <w:p>
            <w:pPr>
              <w:pStyle w:val="TableParagraph"/>
              <w:spacing w:before="70"/>
              <w:rPr>
                <w:sz w:val="21"/>
              </w:rPr>
            </w:pPr>
            <w:r>
              <w:rPr>
                <w:spacing w:val="-5"/>
                <w:sz w:val="21"/>
              </w:rPr>
              <w:t>0%</w:t>
            </w:r>
          </w:p>
        </w:tc>
      </w:tr>
      <w:tr>
        <w:trPr>
          <w:trHeight w:val="441" w:hRule="atLeast"/>
        </w:trPr>
        <w:tc>
          <w:tcPr>
            <w:tcW w:w="7566" w:type="dxa"/>
            <w:tcBorders>
              <w:top w:val="nil"/>
              <w:bottom w:val="nil"/>
            </w:tcBorders>
          </w:tcPr>
          <w:p>
            <w:pPr>
              <w:pStyle w:val="TableParagraph"/>
              <w:spacing w:before="75"/>
              <w:ind w:left="114"/>
              <w:rPr>
                <w:sz w:val="21"/>
              </w:rPr>
            </w:pPr>
            <w:r>
              <w:rPr>
                <w:sz w:val="21"/>
              </w:rPr>
              <w:t>Longo</w:t>
            </w:r>
            <w:r>
              <w:rPr>
                <w:spacing w:val="-11"/>
                <w:sz w:val="21"/>
              </w:rPr>
              <w:t> </w:t>
            </w:r>
            <w:r>
              <w:rPr>
                <w:sz w:val="21"/>
              </w:rPr>
              <w:t>Prazo</w:t>
            </w:r>
            <w:r>
              <w:rPr>
                <w:spacing w:val="-9"/>
                <w:sz w:val="21"/>
              </w:rPr>
              <w:t> </w:t>
            </w:r>
            <w:r>
              <w:rPr>
                <w:sz w:val="21"/>
              </w:rPr>
              <w:t>(IMA-Geral/</w:t>
            </w:r>
            <w:r>
              <w:rPr>
                <w:spacing w:val="-7"/>
                <w:sz w:val="21"/>
              </w:rPr>
              <w:t> </w:t>
            </w:r>
            <w:r>
              <w:rPr>
                <w:sz w:val="21"/>
              </w:rPr>
              <w:t>IMA-B</w:t>
            </w:r>
            <w:r>
              <w:rPr>
                <w:spacing w:val="-9"/>
                <w:sz w:val="21"/>
              </w:rPr>
              <w:t> </w:t>
            </w:r>
            <w:r>
              <w:rPr>
                <w:sz w:val="21"/>
              </w:rPr>
              <w:t>Total</w:t>
            </w:r>
            <w:r>
              <w:rPr>
                <w:spacing w:val="-10"/>
                <w:sz w:val="21"/>
              </w:rPr>
              <w:t> </w:t>
            </w:r>
            <w:r>
              <w:rPr>
                <w:sz w:val="21"/>
              </w:rPr>
              <w:t>e</w:t>
            </w:r>
            <w:r>
              <w:rPr>
                <w:spacing w:val="-6"/>
                <w:sz w:val="21"/>
              </w:rPr>
              <w:t> </w:t>
            </w:r>
            <w:r>
              <w:rPr>
                <w:sz w:val="21"/>
              </w:rPr>
              <w:t>FIDC/</w:t>
            </w:r>
            <w:r>
              <w:rPr>
                <w:spacing w:val="-4"/>
                <w:sz w:val="21"/>
              </w:rPr>
              <w:t> </w:t>
            </w:r>
            <w:r>
              <w:rPr>
                <w:sz w:val="21"/>
              </w:rPr>
              <w:t>Crédito</w:t>
            </w:r>
            <w:r>
              <w:rPr>
                <w:spacing w:val="-10"/>
                <w:sz w:val="21"/>
              </w:rPr>
              <w:t> </w:t>
            </w:r>
            <w:r>
              <w:rPr>
                <w:sz w:val="21"/>
              </w:rPr>
              <w:t>Privado/</w:t>
            </w:r>
            <w:r>
              <w:rPr>
                <w:spacing w:val="-6"/>
                <w:sz w:val="21"/>
              </w:rPr>
              <w:t> </w:t>
            </w:r>
            <w:r>
              <w:rPr>
                <w:sz w:val="21"/>
              </w:rPr>
              <w:t>Fundo</w:t>
            </w:r>
            <w:r>
              <w:rPr>
                <w:spacing w:val="-10"/>
                <w:sz w:val="21"/>
              </w:rPr>
              <w:t> </w:t>
            </w:r>
            <w:r>
              <w:rPr>
                <w:spacing w:val="-2"/>
                <w:sz w:val="21"/>
              </w:rPr>
              <w:t>Debênture)</w:t>
            </w:r>
          </w:p>
        </w:tc>
        <w:tc>
          <w:tcPr>
            <w:tcW w:w="1123" w:type="dxa"/>
            <w:tcBorders>
              <w:top w:val="nil"/>
              <w:bottom w:val="nil"/>
            </w:tcBorders>
          </w:tcPr>
          <w:p>
            <w:pPr>
              <w:pStyle w:val="TableParagraph"/>
              <w:spacing w:before="75"/>
              <w:rPr>
                <w:sz w:val="21"/>
              </w:rPr>
            </w:pPr>
            <w:r>
              <w:rPr>
                <w:spacing w:val="-5"/>
                <w:sz w:val="21"/>
              </w:rPr>
              <w:t>10%</w:t>
            </w:r>
          </w:p>
        </w:tc>
      </w:tr>
      <w:tr>
        <w:trPr>
          <w:trHeight w:val="439" w:hRule="atLeast"/>
        </w:trPr>
        <w:tc>
          <w:tcPr>
            <w:tcW w:w="7566" w:type="dxa"/>
            <w:tcBorders>
              <w:top w:val="nil"/>
              <w:bottom w:val="nil"/>
            </w:tcBorders>
          </w:tcPr>
          <w:p>
            <w:pPr>
              <w:pStyle w:val="TableParagraph"/>
              <w:spacing w:before="72"/>
              <w:ind w:left="114"/>
              <w:rPr>
                <w:sz w:val="21"/>
              </w:rPr>
            </w:pPr>
            <w:r>
              <w:rPr>
                <w:sz w:val="21"/>
              </w:rPr>
              <w:t>Gestão</w:t>
            </w:r>
            <w:r>
              <w:rPr>
                <w:spacing w:val="-6"/>
                <w:sz w:val="21"/>
              </w:rPr>
              <w:t> </w:t>
            </w:r>
            <w:r>
              <w:rPr>
                <w:sz w:val="21"/>
              </w:rPr>
              <w:t>do</w:t>
            </w:r>
            <w:r>
              <w:rPr>
                <w:spacing w:val="-5"/>
                <w:sz w:val="21"/>
              </w:rPr>
              <w:t> </w:t>
            </w:r>
            <w:r>
              <w:rPr>
                <w:spacing w:val="-2"/>
                <w:sz w:val="21"/>
              </w:rPr>
              <w:t>Duration</w:t>
            </w:r>
          </w:p>
        </w:tc>
        <w:tc>
          <w:tcPr>
            <w:tcW w:w="1123" w:type="dxa"/>
            <w:tcBorders>
              <w:top w:val="nil"/>
              <w:bottom w:val="nil"/>
            </w:tcBorders>
          </w:tcPr>
          <w:p>
            <w:pPr>
              <w:pStyle w:val="TableParagraph"/>
              <w:spacing w:before="72"/>
              <w:rPr>
                <w:sz w:val="21"/>
              </w:rPr>
            </w:pPr>
            <w:r>
              <w:rPr>
                <w:spacing w:val="-5"/>
                <w:sz w:val="21"/>
              </w:rPr>
              <w:t>5%</w:t>
            </w:r>
          </w:p>
        </w:tc>
      </w:tr>
      <w:tr>
        <w:trPr>
          <w:trHeight w:val="436" w:hRule="atLeast"/>
        </w:trPr>
        <w:tc>
          <w:tcPr>
            <w:tcW w:w="7566" w:type="dxa"/>
            <w:tcBorders>
              <w:top w:val="nil"/>
              <w:bottom w:val="nil"/>
            </w:tcBorders>
          </w:tcPr>
          <w:p>
            <w:pPr>
              <w:pStyle w:val="TableParagraph"/>
              <w:spacing w:before="72"/>
              <w:ind w:left="114"/>
              <w:rPr>
                <w:sz w:val="21"/>
              </w:rPr>
            </w:pPr>
            <w:r>
              <w:rPr>
                <w:sz w:val="21"/>
              </w:rPr>
              <w:t>Médio</w:t>
            </w:r>
            <w:r>
              <w:rPr>
                <w:spacing w:val="-8"/>
                <w:sz w:val="21"/>
              </w:rPr>
              <w:t> </w:t>
            </w:r>
            <w:r>
              <w:rPr>
                <w:sz w:val="21"/>
              </w:rPr>
              <w:t>Prazo</w:t>
            </w:r>
            <w:r>
              <w:rPr>
                <w:spacing w:val="-3"/>
                <w:sz w:val="21"/>
              </w:rPr>
              <w:t> </w:t>
            </w:r>
            <w:r>
              <w:rPr>
                <w:sz w:val="21"/>
              </w:rPr>
              <w:t>(IMA-B</w:t>
            </w:r>
            <w:r>
              <w:rPr>
                <w:spacing w:val="-4"/>
                <w:sz w:val="21"/>
              </w:rPr>
              <w:t> </w:t>
            </w:r>
            <w:r>
              <w:rPr>
                <w:sz w:val="21"/>
              </w:rPr>
              <w:t>5</w:t>
            </w:r>
            <w:r>
              <w:rPr>
                <w:spacing w:val="-7"/>
                <w:sz w:val="21"/>
              </w:rPr>
              <w:t> </w:t>
            </w:r>
            <w:r>
              <w:rPr>
                <w:sz w:val="21"/>
              </w:rPr>
              <w:t>e</w:t>
            </w:r>
            <w:r>
              <w:rPr>
                <w:spacing w:val="-5"/>
                <w:sz w:val="21"/>
              </w:rPr>
              <w:t> </w:t>
            </w:r>
            <w:r>
              <w:rPr>
                <w:sz w:val="21"/>
              </w:rPr>
              <w:t>IDKA</w:t>
            </w:r>
            <w:r>
              <w:rPr>
                <w:spacing w:val="-5"/>
                <w:sz w:val="21"/>
              </w:rPr>
              <w:t> 2)</w:t>
            </w:r>
          </w:p>
        </w:tc>
        <w:tc>
          <w:tcPr>
            <w:tcW w:w="1123" w:type="dxa"/>
            <w:tcBorders>
              <w:top w:val="nil"/>
              <w:bottom w:val="nil"/>
            </w:tcBorders>
          </w:tcPr>
          <w:p>
            <w:pPr>
              <w:pStyle w:val="TableParagraph"/>
              <w:spacing w:before="72"/>
              <w:rPr>
                <w:sz w:val="21"/>
              </w:rPr>
            </w:pPr>
            <w:r>
              <w:rPr>
                <w:spacing w:val="-5"/>
                <w:sz w:val="21"/>
              </w:rPr>
              <w:t>15%</w:t>
            </w:r>
          </w:p>
        </w:tc>
      </w:tr>
      <w:tr>
        <w:trPr>
          <w:trHeight w:val="434" w:hRule="atLeast"/>
        </w:trPr>
        <w:tc>
          <w:tcPr>
            <w:tcW w:w="7566" w:type="dxa"/>
            <w:tcBorders>
              <w:top w:val="nil"/>
              <w:bottom w:val="nil"/>
            </w:tcBorders>
          </w:tcPr>
          <w:p>
            <w:pPr>
              <w:pStyle w:val="TableParagraph"/>
              <w:spacing w:before="70"/>
              <w:ind w:left="114"/>
              <w:rPr>
                <w:sz w:val="21"/>
              </w:rPr>
            </w:pPr>
            <w:r>
              <w:rPr>
                <w:sz w:val="21"/>
              </w:rPr>
              <w:t>Curto</w:t>
            </w:r>
            <w:r>
              <w:rPr>
                <w:spacing w:val="-7"/>
                <w:sz w:val="21"/>
              </w:rPr>
              <w:t> </w:t>
            </w:r>
            <w:r>
              <w:rPr>
                <w:sz w:val="21"/>
              </w:rPr>
              <w:t>Prazo</w:t>
            </w:r>
            <w:r>
              <w:rPr>
                <w:spacing w:val="-2"/>
                <w:sz w:val="21"/>
              </w:rPr>
              <w:t> </w:t>
            </w:r>
            <w:r>
              <w:rPr>
                <w:sz w:val="21"/>
              </w:rPr>
              <w:t>(CDI,</w:t>
            </w:r>
            <w:r>
              <w:rPr>
                <w:spacing w:val="-4"/>
                <w:sz w:val="21"/>
              </w:rPr>
              <w:t> </w:t>
            </w:r>
            <w:r>
              <w:rPr>
                <w:sz w:val="21"/>
              </w:rPr>
              <w:t>IRF-M</w:t>
            </w:r>
            <w:r>
              <w:rPr>
                <w:spacing w:val="-7"/>
                <w:sz w:val="21"/>
              </w:rPr>
              <w:t> </w:t>
            </w:r>
            <w:r>
              <w:rPr>
                <w:spacing w:val="-5"/>
                <w:sz w:val="21"/>
              </w:rPr>
              <w:t>1)</w:t>
            </w:r>
          </w:p>
        </w:tc>
        <w:tc>
          <w:tcPr>
            <w:tcW w:w="1123" w:type="dxa"/>
            <w:tcBorders>
              <w:top w:val="nil"/>
              <w:bottom w:val="nil"/>
            </w:tcBorders>
          </w:tcPr>
          <w:p>
            <w:pPr>
              <w:pStyle w:val="TableParagraph"/>
              <w:spacing w:before="70"/>
              <w:rPr>
                <w:sz w:val="21"/>
              </w:rPr>
            </w:pPr>
            <w:r>
              <w:rPr>
                <w:spacing w:val="-5"/>
                <w:sz w:val="21"/>
              </w:rPr>
              <w:t>15%</w:t>
            </w:r>
          </w:p>
        </w:tc>
      </w:tr>
      <w:tr>
        <w:trPr>
          <w:trHeight w:val="435" w:hRule="atLeast"/>
        </w:trPr>
        <w:tc>
          <w:tcPr>
            <w:tcW w:w="7566" w:type="dxa"/>
            <w:tcBorders>
              <w:top w:val="nil"/>
              <w:bottom w:val="nil"/>
            </w:tcBorders>
          </w:tcPr>
          <w:p>
            <w:pPr>
              <w:pStyle w:val="TableParagraph"/>
              <w:spacing w:before="70"/>
              <w:ind w:left="114"/>
              <w:rPr>
                <w:sz w:val="21"/>
              </w:rPr>
            </w:pPr>
            <w:r>
              <w:rPr>
                <w:sz w:val="21"/>
              </w:rPr>
              <w:t>Títulos</w:t>
            </w:r>
            <w:r>
              <w:rPr>
                <w:spacing w:val="-8"/>
                <w:sz w:val="21"/>
              </w:rPr>
              <w:t> </w:t>
            </w:r>
            <w:r>
              <w:rPr>
                <w:sz w:val="21"/>
              </w:rPr>
              <w:t>Privados</w:t>
            </w:r>
            <w:r>
              <w:rPr>
                <w:spacing w:val="-7"/>
                <w:sz w:val="21"/>
              </w:rPr>
              <w:t> </w:t>
            </w:r>
            <w:r>
              <w:rPr>
                <w:sz w:val="21"/>
              </w:rPr>
              <w:t>(Letra</w:t>
            </w:r>
            <w:r>
              <w:rPr>
                <w:spacing w:val="-9"/>
                <w:sz w:val="21"/>
              </w:rPr>
              <w:t> </w:t>
            </w:r>
            <w:r>
              <w:rPr>
                <w:sz w:val="21"/>
              </w:rPr>
              <w:t>financeira</w:t>
            </w:r>
            <w:r>
              <w:rPr>
                <w:spacing w:val="-4"/>
                <w:sz w:val="21"/>
              </w:rPr>
              <w:t> </w:t>
            </w:r>
            <w:r>
              <w:rPr>
                <w:sz w:val="21"/>
              </w:rPr>
              <w:t>e</w:t>
            </w:r>
            <w:r>
              <w:rPr>
                <w:spacing w:val="-8"/>
                <w:sz w:val="21"/>
              </w:rPr>
              <w:t> </w:t>
            </w:r>
            <w:r>
              <w:rPr>
                <w:spacing w:val="-4"/>
                <w:sz w:val="21"/>
              </w:rPr>
              <w:t>CDB)</w:t>
            </w:r>
          </w:p>
        </w:tc>
        <w:tc>
          <w:tcPr>
            <w:tcW w:w="1123" w:type="dxa"/>
            <w:tcBorders>
              <w:top w:val="nil"/>
              <w:bottom w:val="nil"/>
            </w:tcBorders>
          </w:tcPr>
          <w:p>
            <w:pPr>
              <w:pStyle w:val="TableParagraph"/>
              <w:spacing w:before="70"/>
              <w:rPr>
                <w:sz w:val="21"/>
              </w:rPr>
            </w:pPr>
            <w:r>
              <w:rPr>
                <w:spacing w:val="-5"/>
                <w:sz w:val="21"/>
              </w:rPr>
              <w:t>15%</w:t>
            </w:r>
          </w:p>
        </w:tc>
      </w:tr>
      <w:tr>
        <w:trPr>
          <w:trHeight w:val="436" w:hRule="atLeast"/>
        </w:trPr>
        <w:tc>
          <w:tcPr>
            <w:tcW w:w="7566" w:type="dxa"/>
            <w:tcBorders>
              <w:top w:val="nil"/>
              <w:bottom w:val="nil"/>
            </w:tcBorders>
          </w:tcPr>
          <w:p>
            <w:pPr>
              <w:pStyle w:val="TableParagraph"/>
              <w:ind w:left="114"/>
              <w:rPr>
                <w:b/>
                <w:sz w:val="21"/>
              </w:rPr>
            </w:pPr>
            <w:r>
              <w:rPr>
                <w:b/>
                <w:sz w:val="21"/>
                <w:u w:val="single"/>
              </w:rPr>
              <w:t>Renda</w:t>
            </w:r>
            <w:r>
              <w:rPr>
                <w:b/>
                <w:spacing w:val="-6"/>
                <w:sz w:val="21"/>
                <w:u w:val="single"/>
              </w:rPr>
              <w:t> </w:t>
            </w:r>
            <w:r>
              <w:rPr>
                <w:b/>
                <w:spacing w:val="-2"/>
                <w:sz w:val="21"/>
                <w:u w:val="single"/>
              </w:rPr>
              <w:t>Variáve</w:t>
            </w:r>
            <w:r>
              <w:rPr>
                <w:b/>
                <w:spacing w:val="-2"/>
                <w:sz w:val="21"/>
              </w:rPr>
              <w:t>l</w:t>
            </w:r>
          </w:p>
        </w:tc>
        <w:tc>
          <w:tcPr>
            <w:tcW w:w="1123" w:type="dxa"/>
            <w:tcBorders>
              <w:top w:val="nil"/>
              <w:bottom w:val="nil"/>
            </w:tcBorders>
          </w:tcPr>
          <w:p>
            <w:pPr>
              <w:pStyle w:val="TableParagraph"/>
              <w:rPr>
                <w:b/>
                <w:sz w:val="21"/>
              </w:rPr>
            </w:pPr>
            <w:r>
              <w:rPr>
                <w:b/>
                <w:spacing w:val="-5"/>
                <w:sz w:val="21"/>
              </w:rPr>
              <w:t>30%</w:t>
            </w:r>
          </w:p>
        </w:tc>
      </w:tr>
      <w:tr>
        <w:trPr>
          <w:trHeight w:val="438" w:hRule="atLeast"/>
        </w:trPr>
        <w:tc>
          <w:tcPr>
            <w:tcW w:w="7566" w:type="dxa"/>
            <w:tcBorders>
              <w:top w:val="nil"/>
              <w:bottom w:val="nil"/>
            </w:tcBorders>
          </w:tcPr>
          <w:p>
            <w:pPr>
              <w:pStyle w:val="TableParagraph"/>
              <w:ind w:left="114"/>
              <w:rPr>
                <w:sz w:val="21"/>
              </w:rPr>
            </w:pPr>
            <w:r>
              <w:rPr>
                <w:sz w:val="21"/>
              </w:rPr>
              <w:t>Fundos</w:t>
            </w:r>
            <w:r>
              <w:rPr>
                <w:spacing w:val="-5"/>
                <w:sz w:val="21"/>
              </w:rPr>
              <w:t> </w:t>
            </w:r>
            <w:r>
              <w:rPr>
                <w:sz w:val="21"/>
              </w:rPr>
              <w:t>de</w:t>
            </w:r>
            <w:r>
              <w:rPr>
                <w:spacing w:val="-8"/>
                <w:sz w:val="21"/>
              </w:rPr>
              <w:t> </w:t>
            </w:r>
            <w:r>
              <w:rPr>
                <w:spacing w:val="-2"/>
                <w:sz w:val="21"/>
              </w:rPr>
              <w:t>Ações</w:t>
            </w:r>
          </w:p>
        </w:tc>
        <w:tc>
          <w:tcPr>
            <w:tcW w:w="1123" w:type="dxa"/>
            <w:tcBorders>
              <w:top w:val="nil"/>
              <w:bottom w:val="nil"/>
            </w:tcBorders>
          </w:tcPr>
          <w:p>
            <w:pPr>
              <w:pStyle w:val="TableParagraph"/>
              <w:rPr>
                <w:sz w:val="21"/>
              </w:rPr>
            </w:pPr>
            <w:r>
              <w:rPr>
                <w:spacing w:val="-5"/>
                <w:sz w:val="21"/>
              </w:rPr>
              <w:t>20%</w:t>
            </w:r>
          </w:p>
        </w:tc>
      </w:tr>
      <w:tr>
        <w:trPr>
          <w:trHeight w:val="436" w:hRule="atLeast"/>
        </w:trPr>
        <w:tc>
          <w:tcPr>
            <w:tcW w:w="7566" w:type="dxa"/>
            <w:tcBorders>
              <w:top w:val="nil"/>
              <w:bottom w:val="nil"/>
            </w:tcBorders>
          </w:tcPr>
          <w:p>
            <w:pPr>
              <w:pStyle w:val="TableParagraph"/>
              <w:spacing w:before="72"/>
              <w:ind w:left="114"/>
              <w:rPr>
                <w:sz w:val="21"/>
              </w:rPr>
            </w:pPr>
            <w:r>
              <w:rPr>
                <w:spacing w:val="-2"/>
                <w:sz w:val="21"/>
              </w:rPr>
              <w:t>Multimercados</w:t>
            </w:r>
          </w:p>
        </w:tc>
        <w:tc>
          <w:tcPr>
            <w:tcW w:w="1123" w:type="dxa"/>
            <w:tcBorders>
              <w:top w:val="nil"/>
              <w:bottom w:val="nil"/>
            </w:tcBorders>
          </w:tcPr>
          <w:p>
            <w:pPr>
              <w:pStyle w:val="TableParagraph"/>
              <w:spacing w:before="72"/>
              <w:rPr>
                <w:sz w:val="21"/>
              </w:rPr>
            </w:pPr>
            <w:r>
              <w:rPr>
                <w:spacing w:val="-4"/>
                <w:sz w:val="21"/>
              </w:rPr>
              <w:t>7,5%</w:t>
            </w:r>
          </w:p>
        </w:tc>
      </w:tr>
      <w:tr>
        <w:trPr>
          <w:trHeight w:val="435" w:hRule="atLeast"/>
        </w:trPr>
        <w:tc>
          <w:tcPr>
            <w:tcW w:w="7566" w:type="dxa"/>
            <w:tcBorders>
              <w:top w:val="nil"/>
              <w:bottom w:val="nil"/>
            </w:tcBorders>
          </w:tcPr>
          <w:p>
            <w:pPr>
              <w:pStyle w:val="TableParagraph"/>
              <w:spacing w:before="70"/>
              <w:ind w:left="114"/>
              <w:rPr>
                <w:sz w:val="21"/>
              </w:rPr>
            </w:pPr>
            <w:r>
              <w:rPr>
                <w:sz w:val="21"/>
              </w:rPr>
              <w:t>Fundos</w:t>
            </w:r>
            <w:r>
              <w:rPr>
                <w:spacing w:val="-7"/>
                <w:sz w:val="21"/>
              </w:rPr>
              <w:t> </w:t>
            </w:r>
            <w:r>
              <w:rPr>
                <w:sz w:val="21"/>
              </w:rPr>
              <w:t>de</w:t>
            </w:r>
            <w:r>
              <w:rPr>
                <w:spacing w:val="-10"/>
                <w:sz w:val="21"/>
              </w:rPr>
              <w:t> </w:t>
            </w:r>
            <w:r>
              <w:rPr>
                <w:sz w:val="21"/>
              </w:rPr>
              <w:t>Participações</w:t>
            </w:r>
            <w:r>
              <w:rPr>
                <w:spacing w:val="-7"/>
                <w:sz w:val="21"/>
              </w:rPr>
              <w:t> </w:t>
            </w:r>
            <w:r>
              <w:rPr>
                <w:spacing w:val="-10"/>
                <w:sz w:val="21"/>
              </w:rPr>
              <w:t>*</w:t>
            </w:r>
          </w:p>
        </w:tc>
        <w:tc>
          <w:tcPr>
            <w:tcW w:w="1123" w:type="dxa"/>
            <w:tcBorders>
              <w:top w:val="nil"/>
              <w:bottom w:val="nil"/>
            </w:tcBorders>
          </w:tcPr>
          <w:p>
            <w:pPr>
              <w:pStyle w:val="TableParagraph"/>
              <w:spacing w:before="70"/>
              <w:rPr>
                <w:sz w:val="21"/>
              </w:rPr>
            </w:pPr>
            <w:r>
              <w:rPr>
                <w:spacing w:val="-5"/>
                <w:sz w:val="21"/>
              </w:rPr>
              <w:t>0%</w:t>
            </w:r>
          </w:p>
        </w:tc>
      </w:tr>
      <w:tr>
        <w:trPr>
          <w:trHeight w:val="436" w:hRule="atLeast"/>
        </w:trPr>
        <w:tc>
          <w:tcPr>
            <w:tcW w:w="7566" w:type="dxa"/>
            <w:tcBorders>
              <w:top w:val="nil"/>
              <w:bottom w:val="nil"/>
            </w:tcBorders>
          </w:tcPr>
          <w:p>
            <w:pPr>
              <w:pStyle w:val="TableParagraph"/>
              <w:ind w:left="114"/>
              <w:rPr>
                <w:sz w:val="21"/>
              </w:rPr>
            </w:pPr>
            <w:r>
              <w:rPr>
                <w:sz w:val="21"/>
              </w:rPr>
              <w:t>Fundos</w:t>
            </w:r>
            <w:r>
              <w:rPr>
                <w:spacing w:val="-10"/>
                <w:sz w:val="21"/>
              </w:rPr>
              <w:t> </w:t>
            </w:r>
            <w:r>
              <w:rPr>
                <w:sz w:val="21"/>
              </w:rPr>
              <w:t>Imobiliários</w:t>
            </w:r>
            <w:r>
              <w:rPr>
                <w:spacing w:val="-8"/>
                <w:sz w:val="21"/>
              </w:rPr>
              <w:t> </w:t>
            </w:r>
            <w:r>
              <w:rPr>
                <w:spacing w:val="-10"/>
                <w:sz w:val="21"/>
              </w:rPr>
              <w:t>*</w:t>
            </w:r>
          </w:p>
        </w:tc>
        <w:tc>
          <w:tcPr>
            <w:tcW w:w="1123" w:type="dxa"/>
            <w:tcBorders>
              <w:top w:val="nil"/>
              <w:bottom w:val="nil"/>
            </w:tcBorders>
          </w:tcPr>
          <w:p>
            <w:pPr>
              <w:pStyle w:val="TableParagraph"/>
              <w:rPr>
                <w:sz w:val="21"/>
              </w:rPr>
            </w:pPr>
            <w:r>
              <w:rPr>
                <w:spacing w:val="-4"/>
                <w:sz w:val="21"/>
              </w:rPr>
              <w:t>2,5%</w:t>
            </w:r>
          </w:p>
        </w:tc>
      </w:tr>
      <w:tr>
        <w:trPr>
          <w:trHeight w:val="435" w:hRule="atLeast"/>
        </w:trPr>
        <w:tc>
          <w:tcPr>
            <w:tcW w:w="7566" w:type="dxa"/>
            <w:tcBorders>
              <w:top w:val="nil"/>
              <w:bottom w:val="nil"/>
            </w:tcBorders>
          </w:tcPr>
          <w:p>
            <w:pPr>
              <w:pStyle w:val="TableParagraph"/>
              <w:ind w:left="114"/>
              <w:rPr>
                <w:b/>
                <w:sz w:val="21"/>
              </w:rPr>
            </w:pPr>
            <w:r>
              <w:rPr>
                <w:b/>
                <w:sz w:val="21"/>
                <w:u w:val="single"/>
              </w:rPr>
              <w:t>Investimento</w:t>
            </w:r>
            <w:r>
              <w:rPr>
                <w:b/>
                <w:spacing w:val="-8"/>
                <w:sz w:val="21"/>
                <w:u w:val="single"/>
              </w:rPr>
              <w:t> </w:t>
            </w:r>
            <w:r>
              <w:rPr>
                <w:b/>
                <w:sz w:val="21"/>
                <w:u w:val="single"/>
              </w:rPr>
              <w:t>no</w:t>
            </w:r>
            <w:r>
              <w:rPr>
                <w:b/>
                <w:spacing w:val="-7"/>
                <w:sz w:val="21"/>
                <w:u w:val="single"/>
              </w:rPr>
              <w:t> </w:t>
            </w:r>
            <w:r>
              <w:rPr>
                <w:b/>
                <w:spacing w:val="-2"/>
                <w:sz w:val="21"/>
                <w:u w:val="single"/>
              </w:rPr>
              <w:t>Exterior</w:t>
            </w:r>
          </w:p>
        </w:tc>
        <w:tc>
          <w:tcPr>
            <w:tcW w:w="1123" w:type="dxa"/>
            <w:tcBorders>
              <w:top w:val="nil"/>
              <w:bottom w:val="nil"/>
            </w:tcBorders>
          </w:tcPr>
          <w:p>
            <w:pPr>
              <w:pStyle w:val="TableParagraph"/>
              <w:rPr>
                <w:b/>
                <w:sz w:val="21"/>
              </w:rPr>
            </w:pPr>
            <w:r>
              <w:rPr>
                <w:b/>
                <w:spacing w:val="-5"/>
                <w:sz w:val="21"/>
              </w:rPr>
              <w:t>10%</w:t>
            </w:r>
          </w:p>
        </w:tc>
      </w:tr>
      <w:tr>
        <w:trPr>
          <w:trHeight w:val="435" w:hRule="atLeast"/>
        </w:trPr>
        <w:tc>
          <w:tcPr>
            <w:tcW w:w="7566" w:type="dxa"/>
            <w:tcBorders>
              <w:top w:val="nil"/>
              <w:bottom w:val="nil"/>
            </w:tcBorders>
          </w:tcPr>
          <w:p>
            <w:pPr>
              <w:pStyle w:val="TableParagraph"/>
              <w:spacing w:before="70"/>
              <w:ind w:left="114"/>
              <w:rPr>
                <w:sz w:val="21"/>
              </w:rPr>
            </w:pPr>
            <w:r>
              <w:rPr>
                <w:sz w:val="21"/>
              </w:rPr>
              <w:t>Fundos</w:t>
            </w:r>
            <w:r>
              <w:rPr>
                <w:spacing w:val="-9"/>
                <w:sz w:val="21"/>
              </w:rPr>
              <w:t> </w:t>
            </w:r>
            <w:r>
              <w:rPr>
                <w:sz w:val="21"/>
              </w:rPr>
              <w:t>de</w:t>
            </w:r>
            <w:r>
              <w:rPr>
                <w:spacing w:val="-7"/>
                <w:sz w:val="21"/>
              </w:rPr>
              <w:t> </w:t>
            </w:r>
            <w:r>
              <w:rPr>
                <w:sz w:val="21"/>
              </w:rPr>
              <w:t>Investimentos</w:t>
            </w:r>
            <w:r>
              <w:rPr>
                <w:spacing w:val="-9"/>
                <w:sz w:val="21"/>
              </w:rPr>
              <w:t> </w:t>
            </w:r>
            <w:r>
              <w:rPr>
                <w:sz w:val="21"/>
              </w:rPr>
              <w:t>no</w:t>
            </w:r>
            <w:r>
              <w:rPr>
                <w:spacing w:val="-12"/>
                <w:sz w:val="21"/>
              </w:rPr>
              <w:t> </w:t>
            </w:r>
            <w:r>
              <w:rPr>
                <w:sz w:val="21"/>
              </w:rPr>
              <w:t>Exterior</w:t>
            </w:r>
            <w:r>
              <w:rPr>
                <w:spacing w:val="-7"/>
                <w:sz w:val="21"/>
              </w:rPr>
              <w:t> </w:t>
            </w:r>
            <w:r>
              <w:rPr>
                <w:spacing w:val="-2"/>
                <w:sz w:val="21"/>
              </w:rPr>
              <w:t>(Hedge)</w:t>
            </w:r>
          </w:p>
        </w:tc>
        <w:tc>
          <w:tcPr>
            <w:tcW w:w="1123" w:type="dxa"/>
            <w:tcBorders>
              <w:top w:val="nil"/>
              <w:bottom w:val="nil"/>
            </w:tcBorders>
          </w:tcPr>
          <w:p>
            <w:pPr>
              <w:pStyle w:val="TableParagraph"/>
              <w:spacing w:before="70"/>
              <w:rPr>
                <w:sz w:val="21"/>
              </w:rPr>
            </w:pPr>
            <w:r>
              <w:rPr>
                <w:spacing w:val="-5"/>
                <w:sz w:val="21"/>
              </w:rPr>
              <w:t>0%</w:t>
            </w:r>
          </w:p>
        </w:tc>
      </w:tr>
      <w:tr>
        <w:trPr>
          <w:trHeight w:val="508" w:hRule="atLeast"/>
        </w:trPr>
        <w:tc>
          <w:tcPr>
            <w:tcW w:w="7566" w:type="dxa"/>
            <w:tcBorders>
              <w:top w:val="nil"/>
            </w:tcBorders>
          </w:tcPr>
          <w:p>
            <w:pPr>
              <w:pStyle w:val="TableParagraph"/>
              <w:ind w:left="114"/>
              <w:rPr>
                <w:sz w:val="21"/>
              </w:rPr>
            </w:pPr>
            <w:r>
              <w:rPr>
                <w:sz w:val="21"/>
              </w:rPr>
              <w:t>Fundos</w:t>
            </w:r>
            <w:r>
              <w:rPr>
                <w:spacing w:val="-6"/>
                <w:sz w:val="21"/>
              </w:rPr>
              <w:t> </w:t>
            </w:r>
            <w:r>
              <w:rPr>
                <w:sz w:val="21"/>
              </w:rPr>
              <w:t>de</w:t>
            </w:r>
            <w:r>
              <w:rPr>
                <w:spacing w:val="-6"/>
                <w:sz w:val="21"/>
              </w:rPr>
              <w:t> </w:t>
            </w:r>
            <w:r>
              <w:rPr>
                <w:sz w:val="21"/>
              </w:rPr>
              <w:t>Investimentos</w:t>
            </w:r>
            <w:r>
              <w:rPr>
                <w:spacing w:val="-10"/>
                <w:sz w:val="21"/>
              </w:rPr>
              <w:t> </w:t>
            </w:r>
            <w:r>
              <w:rPr>
                <w:sz w:val="21"/>
              </w:rPr>
              <w:t>no</w:t>
            </w:r>
            <w:r>
              <w:rPr>
                <w:spacing w:val="-11"/>
                <w:sz w:val="21"/>
              </w:rPr>
              <w:t> </w:t>
            </w:r>
            <w:r>
              <w:rPr>
                <w:spacing w:val="-2"/>
                <w:sz w:val="21"/>
              </w:rPr>
              <w:t>Exterior</w:t>
            </w:r>
          </w:p>
        </w:tc>
        <w:tc>
          <w:tcPr>
            <w:tcW w:w="1123" w:type="dxa"/>
            <w:tcBorders>
              <w:top w:val="nil"/>
            </w:tcBorders>
          </w:tcPr>
          <w:p>
            <w:pPr>
              <w:pStyle w:val="TableParagraph"/>
              <w:rPr>
                <w:sz w:val="21"/>
              </w:rPr>
            </w:pPr>
            <w:r>
              <w:rPr>
                <w:spacing w:val="-5"/>
                <w:sz w:val="21"/>
              </w:rPr>
              <w:t>10%</w:t>
            </w:r>
          </w:p>
        </w:tc>
      </w:tr>
    </w:tbl>
    <w:p>
      <w:pPr>
        <w:spacing w:line="261" w:lineRule="auto" w:before="9"/>
        <w:ind w:left="143" w:right="1335" w:firstLine="0"/>
        <w:jc w:val="left"/>
        <w:rPr>
          <w:sz w:val="20"/>
        </w:rPr>
      </w:pPr>
      <w:r>
        <w:rPr>
          <w:sz w:val="20"/>
        </w:rPr>
        <w:t>*</w:t>
      </w:r>
      <w:r>
        <w:rPr>
          <w:spacing w:val="-4"/>
          <w:sz w:val="20"/>
        </w:rPr>
        <w:t> </w:t>
      </w:r>
      <w:r>
        <w:rPr>
          <w:sz w:val="20"/>
        </w:rPr>
        <w:t>Aos</w:t>
      </w:r>
      <w:r>
        <w:rPr>
          <w:spacing w:val="-1"/>
          <w:sz w:val="20"/>
        </w:rPr>
        <w:t> </w:t>
      </w:r>
      <w:r>
        <w:rPr>
          <w:sz w:val="20"/>
        </w:rPr>
        <w:t>clientes</w:t>
      </w:r>
      <w:r>
        <w:rPr>
          <w:spacing w:val="-2"/>
          <w:sz w:val="20"/>
        </w:rPr>
        <w:t> </w:t>
      </w:r>
      <w:r>
        <w:rPr>
          <w:sz w:val="20"/>
        </w:rPr>
        <w:t>que</w:t>
      </w:r>
      <w:r>
        <w:rPr>
          <w:spacing w:val="-6"/>
          <w:sz w:val="20"/>
        </w:rPr>
        <w:t> </w:t>
      </w:r>
      <w:r>
        <w:rPr>
          <w:sz w:val="20"/>
        </w:rPr>
        <w:t>investem</w:t>
      </w:r>
      <w:r>
        <w:rPr>
          <w:spacing w:val="-2"/>
          <w:sz w:val="20"/>
        </w:rPr>
        <w:t> </w:t>
      </w:r>
      <w:r>
        <w:rPr>
          <w:sz w:val="20"/>
        </w:rPr>
        <w:t>em</w:t>
      </w:r>
      <w:r>
        <w:rPr>
          <w:spacing w:val="-4"/>
          <w:sz w:val="20"/>
        </w:rPr>
        <w:t> </w:t>
      </w:r>
      <w:r>
        <w:rPr>
          <w:sz w:val="20"/>
        </w:rPr>
        <w:t>Fundos</w:t>
      </w:r>
      <w:r>
        <w:rPr>
          <w:spacing w:val="-1"/>
          <w:sz w:val="20"/>
        </w:rPr>
        <w:t> </w:t>
      </w:r>
      <w:r>
        <w:rPr>
          <w:sz w:val="20"/>
        </w:rPr>
        <w:t>de</w:t>
      </w:r>
      <w:r>
        <w:rPr>
          <w:spacing w:val="-6"/>
          <w:sz w:val="20"/>
        </w:rPr>
        <w:t> </w:t>
      </w:r>
      <w:r>
        <w:rPr>
          <w:sz w:val="20"/>
        </w:rPr>
        <w:t>Participações e</w:t>
      </w:r>
      <w:r>
        <w:rPr>
          <w:spacing w:val="-4"/>
          <w:sz w:val="20"/>
        </w:rPr>
        <w:t> </w:t>
      </w:r>
      <w:r>
        <w:rPr>
          <w:sz w:val="20"/>
        </w:rPr>
        <w:t>Fundos</w:t>
      </w:r>
      <w:r>
        <w:rPr>
          <w:spacing w:val="-1"/>
          <w:sz w:val="20"/>
        </w:rPr>
        <w:t> </w:t>
      </w:r>
      <w:r>
        <w:rPr>
          <w:sz w:val="20"/>
        </w:rPr>
        <w:t>Imobiliários em</w:t>
      </w:r>
      <w:r>
        <w:rPr>
          <w:spacing w:val="-4"/>
          <w:sz w:val="20"/>
        </w:rPr>
        <w:t> </w:t>
      </w:r>
      <w:r>
        <w:rPr>
          <w:sz w:val="20"/>
        </w:rPr>
        <w:t>percentual</w:t>
      </w:r>
      <w:r>
        <w:rPr>
          <w:spacing w:val="-2"/>
          <w:sz w:val="20"/>
        </w:rPr>
        <w:t> </w:t>
      </w:r>
      <w:r>
        <w:rPr>
          <w:sz w:val="20"/>
        </w:rPr>
        <w:t>superior</w:t>
      </w:r>
      <w:r>
        <w:rPr>
          <w:spacing w:val="-6"/>
          <w:sz w:val="20"/>
        </w:rPr>
        <w:t> </w:t>
      </w:r>
      <w:r>
        <w:rPr>
          <w:sz w:val="20"/>
        </w:rPr>
        <w:t>a 2,5% em cada, reduzir a exposição aos Fundos de Ações na proporção desse excesso</w:t>
      </w:r>
    </w:p>
    <w:p>
      <w:pPr>
        <w:spacing w:after="0" w:line="261" w:lineRule="auto"/>
        <w:jc w:val="left"/>
        <w:rPr>
          <w:sz w:val="20"/>
        </w:rPr>
        <w:sectPr>
          <w:pgSz w:w="11920" w:h="16850"/>
          <w:pgMar w:top="1320" w:bottom="280" w:left="1559" w:right="141"/>
        </w:sectPr>
      </w:pPr>
    </w:p>
    <w:p>
      <w:pPr>
        <w:pStyle w:val="BodyText"/>
        <w:spacing w:before="38"/>
        <w:ind w:right="1211"/>
        <w:jc w:val="center"/>
      </w:pPr>
      <w:r>
        <w:rPr>
          <w:color w:val="0D0E0E"/>
        </w:rPr>
        <w:t>PRÓ</w:t>
      </w:r>
      <w:r>
        <w:rPr>
          <w:color w:val="0D0E0E"/>
          <w:spacing w:val="-10"/>
        </w:rPr>
        <w:t> </w:t>
      </w:r>
      <w:r>
        <w:rPr>
          <w:color w:val="0D0E0E"/>
        </w:rPr>
        <w:t>GESTÃO</w:t>
      </w:r>
      <w:r>
        <w:rPr>
          <w:color w:val="0D0E0E"/>
          <w:spacing w:val="-4"/>
        </w:rPr>
        <w:t> </w:t>
      </w:r>
      <w:r>
        <w:rPr>
          <w:color w:val="0D0E0E"/>
        </w:rPr>
        <w:t>NÍVEL</w:t>
      </w:r>
      <w:r>
        <w:rPr>
          <w:color w:val="0D0E0E"/>
          <w:spacing w:val="-6"/>
        </w:rPr>
        <w:t> </w:t>
      </w:r>
      <w:r>
        <w:rPr>
          <w:color w:val="0D0E0E"/>
          <w:spacing w:val="-10"/>
        </w:rPr>
        <w:t>1</w:t>
      </w:r>
    </w:p>
    <w:p>
      <w:pPr>
        <w:pStyle w:val="BodyText"/>
        <w:spacing w:before="169"/>
        <w:rPr>
          <w:sz w:val="20"/>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66"/>
        <w:gridCol w:w="1123"/>
      </w:tblGrid>
      <w:tr>
        <w:trPr>
          <w:trHeight w:val="448" w:hRule="atLeast"/>
        </w:trPr>
        <w:tc>
          <w:tcPr>
            <w:tcW w:w="8689" w:type="dxa"/>
            <w:gridSpan w:val="2"/>
          </w:tcPr>
          <w:p>
            <w:pPr>
              <w:pStyle w:val="TableParagraph"/>
              <w:spacing w:before="11"/>
              <w:ind w:left="458"/>
              <w:rPr>
                <w:sz w:val="21"/>
              </w:rPr>
            </w:pPr>
            <w:r>
              <w:rPr>
                <w:sz w:val="21"/>
              </w:rPr>
              <w:t>Estratégia</w:t>
            </w:r>
            <w:r>
              <w:rPr>
                <w:spacing w:val="-11"/>
                <w:sz w:val="21"/>
              </w:rPr>
              <w:t> </w:t>
            </w:r>
            <w:r>
              <w:rPr>
                <w:sz w:val="21"/>
              </w:rPr>
              <w:t>de</w:t>
            </w:r>
            <w:r>
              <w:rPr>
                <w:spacing w:val="-4"/>
                <w:sz w:val="21"/>
              </w:rPr>
              <w:t> </w:t>
            </w:r>
            <w:r>
              <w:rPr>
                <w:sz w:val="21"/>
              </w:rPr>
              <w:t>Alocação</w:t>
            </w:r>
            <w:r>
              <w:rPr>
                <w:spacing w:val="-7"/>
                <w:sz w:val="21"/>
              </w:rPr>
              <w:t> </w:t>
            </w:r>
            <w:r>
              <w:rPr>
                <w:sz w:val="21"/>
              </w:rPr>
              <w:t>dos</w:t>
            </w:r>
            <w:r>
              <w:rPr>
                <w:spacing w:val="-4"/>
                <w:sz w:val="21"/>
              </w:rPr>
              <w:t> </w:t>
            </w:r>
            <w:r>
              <w:rPr>
                <w:sz w:val="21"/>
              </w:rPr>
              <w:t>Recursos</w:t>
            </w:r>
            <w:r>
              <w:rPr>
                <w:spacing w:val="-7"/>
                <w:sz w:val="21"/>
              </w:rPr>
              <w:t> </w:t>
            </w:r>
            <w:r>
              <w:rPr>
                <w:sz w:val="21"/>
              </w:rPr>
              <w:t>no</w:t>
            </w:r>
            <w:r>
              <w:rPr>
                <w:spacing w:val="-6"/>
                <w:sz w:val="21"/>
              </w:rPr>
              <w:t> </w:t>
            </w:r>
            <w:r>
              <w:rPr>
                <w:sz w:val="21"/>
              </w:rPr>
              <w:t>Longo</w:t>
            </w:r>
            <w:r>
              <w:rPr>
                <w:spacing w:val="-8"/>
                <w:sz w:val="21"/>
              </w:rPr>
              <w:t> </w:t>
            </w:r>
            <w:r>
              <w:rPr>
                <w:sz w:val="21"/>
              </w:rPr>
              <w:t>Prazo</w:t>
            </w:r>
            <w:r>
              <w:rPr>
                <w:spacing w:val="1"/>
                <w:sz w:val="21"/>
              </w:rPr>
              <w:t> </w:t>
            </w:r>
            <w:r>
              <w:rPr>
                <w:sz w:val="21"/>
              </w:rPr>
              <w:t>–</w:t>
            </w:r>
            <w:r>
              <w:rPr>
                <w:spacing w:val="-7"/>
                <w:sz w:val="21"/>
              </w:rPr>
              <w:t> </w:t>
            </w:r>
            <w:r>
              <w:rPr>
                <w:sz w:val="21"/>
              </w:rPr>
              <w:t>Renda</w:t>
            </w:r>
            <w:r>
              <w:rPr>
                <w:spacing w:val="-6"/>
                <w:sz w:val="21"/>
              </w:rPr>
              <w:t> </w:t>
            </w:r>
            <w:r>
              <w:rPr>
                <w:sz w:val="21"/>
              </w:rPr>
              <w:t>Fixa</w:t>
            </w:r>
            <w:r>
              <w:rPr>
                <w:spacing w:val="-7"/>
                <w:sz w:val="21"/>
              </w:rPr>
              <w:t> </w:t>
            </w:r>
            <w:r>
              <w:rPr>
                <w:sz w:val="21"/>
              </w:rPr>
              <w:t>e</w:t>
            </w:r>
            <w:r>
              <w:rPr>
                <w:spacing w:val="-4"/>
                <w:sz w:val="21"/>
              </w:rPr>
              <w:t> </w:t>
            </w:r>
            <w:r>
              <w:rPr>
                <w:spacing w:val="-2"/>
                <w:sz w:val="21"/>
              </w:rPr>
              <w:t>Variável</w:t>
            </w:r>
          </w:p>
        </w:tc>
      </w:tr>
      <w:tr>
        <w:trPr>
          <w:trHeight w:val="386" w:hRule="atLeast"/>
        </w:trPr>
        <w:tc>
          <w:tcPr>
            <w:tcW w:w="7566" w:type="dxa"/>
            <w:tcBorders>
              <w:bottom w:val="nil"/>
            </w:tcBorders>
          </w:tcPr>
          <w:p>
            <w:pPr>
              <w:pStyle w:val="TableParagraph"/>
              <w:spacing w:before="11"/>
              <w:ind w:left="114"/>
              <w:rPr>
                <w:b/>
                <w:sz w:val="21"/>
              </w:rPr>
            </w:pPr>
            <w:r>
              <w:rPr>
                <w:b/>
                <w:sz w:val="21"/>
                <w:u w:val="single"/>
              </w:rPr>
              <w:t>Renda</w:t>
            </w:r>
            <w:r>
              <w:rPr>
                <w:b/>
                <w:spacing w:val="-6"/>
                <w:sz w:val="21"/>
                <w:u w:val="single"/>
              </w:rPr>
              <w:t> </w:t>
            </w:r>
            <w:r>
              <w:rPr>
                <w:b/>
                <w:spacing w:val="-4"/>
                <w:sz w:val="21"/>
                <w:u w:val="single"/>
              </w:rPr>
              <w:t>Fixa</w:t>
            </w:r>
          </w:p>
        </w:tc>
        <w:tc>
          <w:tcPr>
            <w:tcW w:w="1123" w:type="dxa"/>
            <w:tcBorders>
              <w:bottom w:val="nil"/>
            </w:tcBorders>
          </w:tcPr>
          <w:p>
            <w:pPr>
              <w:pStyle w:val="TableParagraph"/>
              <w:spacing w:before="11"/>
              <w:rPr>
                <w:b/>
                <w:sz w:val="21"/>
              </w:rPr>
            </w:pPr>
            <w:r>
              <w:rPr>
                <w:b/>
                <w:spacing w:val="-5"/>
                <w:sz w:val="21"/>
              </w:rPr>
              <w:t>55%</w:t>
            </w:r>
          </w:p>
        </w:tc>
      </w:tr>
      <w:tr>
        <w:trPr>
          <w:trHeight w:val="450" w:hRule="atLeast"/>
        </w:trPr>
        <w:tc>
          <w:tcPr>
            <w:tcW w:w="7566" w:type="dxa"/>
            <w:tcBorders>
              <w:top w:val="nil"/>
              <w:bottom w:val="nil"/>
            </w:tcBorders>
          </w:tcPr>
          <w:p>
            <w:pPr>
              <w:pStyle w:val="TableParagraph"/>
              <w:spacing w:before="81"/>
              <w:ind w:left="114"/>
              <w:rPr>
                <w:sz w:val="21"/>
              </w:rPr>
            </w:pPr>
            <w:r>
              <w:rPr>
                <w:sz w:val="21"/>
              </w:rPr>
              <w:t>Longuíssimo</w:t>
            </w:r>
            <w:r>
              <w:rPr>
                <w:spacing w:val="-8"/>
                <w:sz w:val="21"/>
              </w:rPr>
              <w:t> </w:t>
            </w:r>
            <w:r>
              <w:rPr>
                <w:sz w:val="21"/>
              </w:rPr>
              <w:t>Prazo</w:t>
            </w:r>
            <w:r>
              <w:rPr>
                <w:spacing w:val="-6"/>
                <w:sz w:val="21"/>
              </w:rPr>
              <w:t> </w:t>
            </w:r>
            <w:r>
              <w:rPr>
                <w:sz w:val="21"/>
              </w:rPr>
              <w:t>(IMA-B</w:t>
            </w:r>
            <w:r>
              <w:rPr>
                <w:spacing w:val="-6"/>
                <w:sz w:val="21"/>
              </w:rPr>
              <w:t> </w:t>
            </w:r>
            <w:r>
              <w:rPr>
                <w:sz w:val="21"/>
              </w:rPr>
              <w:t>5+</w:t>
            </w:r>
            <w:r>
              <w:rPr>
                <w:spacing w:val="-6"/>
                <w:sz w:val="21"/>
              </w:rPr>
              <w:t> </w:t>
            </w:r>
            <w:r>
              <w:rPr>
                <w:sz w:val="21"/>
              </w:rPr>
              <w:t>e</w:t>
            </w:r>
            <w:r>
              <w:rPr>
                <w:spacing w:val="-6"/>
                <w:sz w:val="21"/>
              </w:rPr>
              <w:t> </w:t>
            </w:r>
            <w:r>
              <w:rPr>
                <w:sz w:val="21"/>
              </w:rPr>
              <w:t>IDKA</w:t>
            </w:r>
            <w:r>
              <w:rPr>
                <w:spacing w:val="-9"/>
                <w:sz w:val="21"/>
              </w:rPr>
              <w:t> </w:t>
            </w:r>
            <w:r>
              <w:rPr>
                <w:spacing w:val="-4"/>
                <w:sz w:val="21"/>
              </w:rPr>
              <w:t>20A)</w:t>
            </w:r>
          </w:p>
        </w:tc>
        <w:tc>
          <w:tcPr>
            <w:tcW w:w="1123" w:type="dxa"/>
            <w:tcBorders>
              <w:top w:val="nil"/>
              <w:bottom w:val="nil"/>
            </w:tcBorders>
          </w:tcPr>
          <w:p>
            <w:pPr>
              <w:pStyle w:val="TableParagraph"/>
              <w:spacing w:before="81"/>
              <w:rPr>
                <w:sz w:val="21"/>
              </w:rPr>
            </w:pPr>
            <w:r>
              <w:rPr>
                <w:spacing w:val="-5"/>
                <w:sz w:val="21"/>
              </w:rPr>
              <w:t>0%</w:t>
            </w:r>
          </w:p>
        </w:tc>
      </w:tr>
      <w:tr>
        <w:trPr>
          <w:trHeight w:val="447" w:hRule="atLeast"/>
        </w:trPr>
        <w:tc>
          <w:tcPr>
            <w:tcW w:w="7566" w:type="dxa"/>
            <w:tcBorders>
              <w:top w:val="nil"/>
              <w:bottom w:val="nil"/>
            </w:tcBorders>
          </w:tcPr>
          <w:p>
            <w:pPr>
              <w:pStyle w:val="TableParagraph"/>
              <w:spacing w:before="75"/>
              <w:ind w:left="114"/>
              <w:rPr>
                <w:sz w:val="21"/>
              </w:rPr>
            </w:pPr>
            <w:r>
              <w:rPr>
                <w:sz w:val="21"/>
              </w:rPr>
              <w:t>Longo</w:t>
            </w:r>
            <w:r>
              <w:rPr>
                <w:spacing w:val="-11"/>
                <w:sz w:val="21"/>
              </w:rPr>
              <w:t> </w:t>
            </w:r>
            <w:r>
              <w:rPr>
                <w:sz w:val="21"/>
              </w:rPr>
              <w:t>Prazo</w:t>
            </w:r>
            <w:r>
              <w:rPr>
                <w:spacing w:val="-9"/>
                <w:sz w:val="21"/>
              </w:rPr>
              <w:t> </w:t>
            </w:r>
            <w:r>
              <w:rPr>
                <w:sz w:val="21"/>
              </w:rPr>
              <w:t>(IMA-Geral/</w:t>
            </w:r>
            <w:r>
              <w:rPr>
                <w:spacing w:val="-7"/>
                <w:sz w:val="21"/>
              </w:rPr>
              <w:t> </w:t>
            </w:r>
            <w:r>
              <w:rPr>
                <w:sz w:val="21"/>
              </w:rPr>
              <w:t>IMA-B</w:t>
            </w:r>
            <w:r>
              <w:rPr>
                <w:spacing w:val="-9"/>
                <w:sz w:val="21"/>
              </w:rPr>
              <w:t> </w:t>
            </w:r>
            <w:r>
              <w:rPr>
                <w:sz w:val="21"/>
              </w:rPr>
              <w:t>Total</w:t>
            </w:r>
            <w:r>
              <w:rPr>
                <w:spacing w:val="-10"/>
                <w:sz w:val="21"/>
              </w:rPr>
              <w:t> </w:t>
            </w:r>
            <w:r>
              <w:rPr>
                <w:sz w:val="21"/>
              </w:rPr>
              <w:t>e</w:t>
            </w:r>
            <w:r>
              <w:rPr>
                <w:spacing w:val="-6"/>
                <w:sz w:val="21"/>
              </w:rPr>
              <w:t> </w:t>
            </w:r>
            <w:r>
              <w:rPr>
                <w:sz w:val="21"/>
              </w:rPr>
              <w:t>FIDC/</w:t>
            </w:r>
            <w:r>
              <w:rPr>
                <w:spacing w:val="-4"/>
                <w:sz w:val="21"/>
              </w:rPr>
              <w:t> </w:t>
            </w:r>
            <w:r>
              <w:rPr>
                <w:sz w:val="21"/>
              </w:rPr>
              <w:t>Crédito</w:t>
            </w:r>
            <w:r>
              <w:rPr>
                <w:spacing w:val="-10"/>
                <w:sz w:val="21"/>
              </w:rPr>
              <w:t> </w:t>
            </w:r>
            <w:r>
              <w:rPr>
                <w:sz w:val="21"/>
              </w:rPr>
              <w:t>Privado/</w:t>
            </w:r>
            <w:r>
              <w:rPr>
                <w:spacing w:val="-6"/>
                <w:sz w:val="21"/>
              </w:rPr>
              <w:t> </w:t>
            </w:r>
            <w:r>
              <w:rPr>
                <w:sz w:val="21"/>
              </w:rPr>
              <w:t>Fundo</w:t>
            </w:r>
            <w:r>
              <w:rPr>
                <w:spacing w:val="-10"/>
                <w:sz w:val="21"/>
              </w:rPr>
              <w:t> </w:t>
            </w:r>
            <w:r>
              <w:rPr>
                <w:spacing w:val="-2"/>
                <w:sz w:val="21"/>
              </w:rPr>
              <w:t>Debênture)</w:t>
            </w:r>
          </w:p>
        </w:tc>
        <w:tc>
          <w:tcPr>
            <w:tcW w:w="1123" w:type="dxa"/>
            <w:tcBorders>
              <w:top w:val="nil"/>
              <w:bottom w:val="nil"/>
            </w:tcBorders>
          </w:tcPr>
          <w:p>
            <w:pPr>
              <w:pStyle w:val="TableParagraph"/>
              <w:spacing w:before="75"/>
              <w:rPr>
                <w:sz w:val="21"/>
              </w:rPr>
            </w:pPr>
            <w:r>
              <w:rPr>
                <w:spacing w:val="-5"/>
                <w:sz w:val="21"/>
              </w:rPr>
              <w:t>10%</w:t>
            </w:r>
          </w:p>
        </w:tc>
      </w:tr>
      <w:tr>
        <w:trPr>
          <w:trHeight w:val="445" w:hRule="atLeast"/>
        </w:trPr>
        <w:tc>
          <w:tcPr>
            <w:tcW w:w="7566" w:type="dxa"/>
            <w:tcBorders>
              <w:top w:val="nil"/>
              <w:bottom w:val="nil"/>
            </w:tcBorders>
          </w:tcPr>
          <w:p>
            <w:pPr>
              <w:pStyle w:val="TableParagraph"/>
              <w:spacing w:before="78"/>
              <w:ind w:left="114"/>
              <w:rPr>
                <w:sz w:val="21"/>
              </w:rPr>
            </w:pPr>
            <w:r>
              <w:rPr>
                <w:sz w:val="21"/>
              </w:rPr>
              <w:t>Gestão</w:t>
            </w:r>
            <w:r>
              <w:rPr>
                <w:spacing w:val="-6"/>
                <w:sz w:val="21"/>
              </w:rPr>
              <w:t> </w:t>
            </w:r>
            <w:r>
              <w:rPr>
                <w:sz w:val="21"/>
              </w:rPr>
              <w:t>do</w:t>
            </w:r>
            <w:r>
              <w:rPr>
                <w:spacing w:val="-5"/>
                <w:sz w:val="21"/>
              </w:rPr>
              <w:t> </w:t>
            </w:r>
            <w:r>
              <w:rPr>
                <w:spacing w:val="-2"/>
                <w:sz w:val="21"/>
              </w:rPr>
              <w:t>Duration</w:t>
            </w:r>
          </w:p>
        </w:tc>
        <w:tc>
          <w:tcPr>
            <w:tcW w:w="1123" w:type="dxa"/>
            <w:tcBorders>
              <w:top w:val="nil"/>
              <w:bottom w:val="nil"/>
            </w:tcBorders>
          </w:tcPr>
          <w:p>
            <w:pPr>
              <w:pStyle w:val="TableParagraph"/>
              <w:spacing w:before="78"/>
              <w:rPr>
                <w:sz w:val="21"/>
              </w:rPr>
            </w:pPr>
            <w:r>
              <w:rPr>
                <w:spacing w:val="-5"/>
                <w:sz w:val="21"/>
              </w:rPr>
              <w:t>5%</w:t>
            </w:r>
          </w:p>
        </w:tc>
      </w:tr>
      <w:tr>
        <w:trPr>
          <w:trHeight w:val="437" w:hRule="atLeast"/>
        </w:trPr>
        <w:tc>
          <w:tcPr>
            <w:tcW w:w="7566" w:type="dxa"/>
            <w:tcBorders>
              <w:top w:val="nil"/>
              <w:bottom w:val="nil"/>
            </w:tcBorders>
          </w:tcPr>
          <w:p>
            <w:pPr>
              <w:pStyle w:val="TableParagraph"/>
              <w:spacing w:before="72"/>
              <w:ind w:left="114"/>
              <w:rPr>
                <w:sz w:val="21"/>
              </w:rPr>
            </w:pPr>
            <w:r>
              <w:rPr>
                <w:sz w:val="21"/>
              </w:rPr>
              <w:t>Médio</w:t>
            </w:r>
            <w:r>
              <w:rPr>
                <w:spacing w:val="-8"/>
                <w:sz w:val="21"/>
              </w:rPr>
              <w:t> </w:t>
            </w:r>
            <w:r>
              <w:rPr>
                <w:sz w:val="21"/>
              </w:rPr>
              <w:t>Prazo</w:t>
            </w:r>
            <w:r>
              <w:rPr>
                <w:spacing w:val="-3"/>
                <w:sz w:val="21"/>
              </w:rPr>
              <w:t> </w:t>
            </w:r>
            <w:r>
              <w:rPr>
                <w:sz w:val="21"/>
              </w:rPr>
              <w:t>(IMA-B</w:t>
            </w:r>
            <w:r>
              <w:rPr>
                <w:spacing w:val="-4"/>
                <w:sz w:val="21"/>
              </w:rPr>
              <w:t> </w:t>
            </w:r>
            <w:r>
              <w:rPr>
                <w:sz w:val="21"/>
              </w:rPr>
              <w:t>5</w:t>
            </w:r>
            <w:r>
              <w:rPr>
                <w:spacing w:val="-7"/>
                <w:sz w:val="21"/>
              </w:rPr>
              <w:t> </w:t>
            </w:r>
            <w:r>
              <w:rPr>
                <w:sz w:val="21"/>
              </w:rPr>
              <w:t>e</w:t>
            </w:r>
            <w:r>
              <w:rPr>
                <w:spacing w:val="-5"/>
                <w:sz w:val="21"/>
              </w:rPr>
              <w:t> </w:t>
            </w:r>
            <w:r>
              <w:rPr>
                <w:sz w:val="21"/>
              </w:rPr>
              <w:t>IDKA</w:t>
            </w:r>
            <w:r>
              <w:rPr>
                <w:spacing w:val="-5"/>
                <w:sz w:val="21"/>
              </w:rPr>
              <w:t> 2)</w:t>
            </w:r>
          </w:p>
        </w:tc>
        <w:tc>
          <w:tcPr>
            <w:tcW w:w="1123" w:type="dxa"/>
            <w:tcBorders>
              <w:top w:val="nil"/>
              <w:bottom w:val="nil"/>
            </w:tcBorders>
          </w:tcPr>
          <w:p>
            <w:pPr>
              <w:pStyle w:val="TableParagraph"/>
              <w:spacing w:before="72"/>
              <w:rPr>
                <w:sz w:val="21"/>
              </w:rPr>
            </w:pPr>
            <w:r>
              <w:rPr>
                <w:spacing w:val="-5"/>
                <w:sz w:val="21"/>
              </w:rPr>
              <w:t>15%</w:t>
            </w:r>
          </w:p>
        </w:tc>
      </w:tr>
      <w:tr>
        <w:trPr>
          <w:trHeight w:val="435" w:hRule="atLeast"/>
        </w:trPr>
        <w:tc>
          <w:tcPr>
            <w:tcW w:w="7566" w:type="dxa"/>
            <w:tcBorders>
              <w:top w:val="nil"/>
              <w:bottom w:val="nil"/>
            </w:tcBorders>
          </w:tcPr>
          <w:p>
            <w:pPr>
              <w:pStyle w:val="TableParagraph"/>
              <w:spacing w:before="70"/>
              <w:ind w:left="114"/>
              <w:rPr>
                <w:sz w:val="21"/>
              </w:rPr>
            </w:pPr>
            <w:r>
              <w:rPr>
                <w:sz w:val="21"/>
              </w:rPr>
              <w:t>Curto</w:t>
            </w:r>
            <w:r>
              <w:rPr>
                <w:spacing w:val="-7"/>
                <w:sz w:val="21"/>
              </w:rPr>
              <w:t> </w:t>
            </w:r>
            <w:r>
              <w:rPr>
                <w:sz w:val="21"/>
              </w:rPr>
              <w:t>Prazo</w:t>
            </w:r>
            <w:r>
              <w:rPr>
                <w:spacing w:val="-2"/>
                <w:sz w:val="21"/>
              </w:rPr>
              <w:t> </w:t>
            </w:r>
            <w:r>
              <w:rPr>
                <w:sz w:val="21"/>
              </w:rPr>
              <w:t>(CDI,</w:t>
            </w:r>
            <w:r>
              <w:rPr>
                <w:spacing w:val="-4"/>
                <w:sz w:val="21"/>
              </w:rPr>
              <w:t> </w:t>
            </w:r>
            <w:r>
              <w:rPr>
                <w:sz w:val="21"/>
              </w:rPr>
              <w:t>IRF-M</w:t>
            </w:r>
            <w:r>
              <w:rPr>
                <w:spacing w:val="-7"/>
                <w:sz w:val="21"/>
              </w:rPr>
              <w:t> </w:t>
            </w:r>
            <w:r>
              <w:rPr>
                <w:spacing w:val="-5"/>
                <w:sz w:val="21"/>
              </w:rPr>
              <w:t>1)</w:t>
            </w:r>
          </w:p>
        </w:tc>
        <w:tc>
          <w:tcPr>
            <w:tcW w:w="1123" w:type="dxa"/>
            <w:tcBorders>
              <w:top w:val="nil"/>
              <w:bottom w:val="nil"/>
            </w:tcBorders>
          </w:tcPr>
          <w:p>
            <w:pPr>
              <w:pStyle w:val="TableParagraph"/>
              <w:spacing w:before="70"/>
              <w:rPr>
                <w:sz w:val="21"/>
              </w:rPr>
            </w:pPr>
            <w:r>
              <w:rPr>
                <w:spacing w:val="-5"/>
                <w:sz w:val="21"/>
              </w:rPr>
              <w:t>10%</w:t>
            </w:r>
          </w:p>
        </w:tc>
      </w:tr>
      <w:tr>
        <w:trPr>
          <w:trHeight w:val="440" w:hRule="atLeast"/>
        </w:trPr>
        <w:tc>
          <w:tcPr>
            <w:tcW w:w="7566" w:type="dxa"/>
            <w:tcBorders>
              <w:top w:val="nil"/>
              <w:bottom w:val="nil"/>
            </w:tcBorders>
          </w:tcPr>
          <w:p>
            <w:pPr>
              <w:pStyle w:val="TableParagraph"/>
              <w:ind w:left="114"/>
              <w:rPr>
                <w:sz w:val="21"/>
              </w:rPr>
            </w:pPr>
            <w:r>
              <w:rPr>
                <w:sz w:val="21"/>
              </w:rPr>
              <w:t>Títulos</w:t>
            </w:r>
            <w:r>
              <w:rPr>
                <w:spacing w:val="-8"/>
                <w:sz w:val="21"/>
              </w:rPr>
              <w:t> </w:t>
            </w:r>
            <w:r>
              <w:rPr>
                <w:sz w:val="21"/>
              </w:rPr>
              <w:t>Privados</w:t>
            </w:r>
            <w:r>
              <w:rPr>
                <w:spacing w:val="-7"/>
                <w:sz w:val="21"/>
              </w:rPr>
              <w:t> </w:t>
            </w:r>
            <w:r>
              <w:rPr>
                <w:sz w:val="21"/>
              </w:rPr>
              <w:t>(Letra</w:t>
            </w:r>
            <w:r>
              <w:rPr>
                <w:spacing w:val="-9"/>
                <w:sz w:val="21"/>
              </w:rPr>
              <w:t> </w:t>
            </w:r>
            <w:r>
              <w:rPr>
                <w:sz w:val="21"/>
              </w:rPr>
              <w:t>financeira</w:t>
            </w:r>
            <w:r>
              <w:rPr>
                <w:spacing w:val="-4"/>
                <w:sz w:val="21"/>
              </w:rPr>
              <w:t> </w:t>
            </w:r>
            <w:r>
              <w:rPr>
                <w:sz w:val="21"/>
              </w:rPr>
              <w:t>e</w:t>
            </w:r>
            <w:r>
              <w:rPr>
                <w:spacing w:val="-8"/>
                <w:sz w:val="21"/>
              </w:rPr>
              <w:t> </w:t>
            </w:r>
            <w:r>
              <w:rPr>
                <w:spacing w:val="-4"/>
                <w:sz w:val="21"/>
              </w:rPr>
              <w:t>CDB)</w:t>
            </w:r>
          </w:p>
        </w:tc>
        <w:tc>
          <w:tcPr>
            <w:tcW w:w="1123" w:type="dxa"/>
            <w:tcBorders>
              <w:top w:val="nil"/>
              <w:bottom w:val="nil"/>
            </w:tcBorders>
          </w:tcPr>
          <w:p>
            <w:pPr>
              <w:pStyle w:val="TableParagraph"/>
              <w:rPr>
                <w:sz w:val="21"/>
              </w:rPr>
            </w:pPr>
            <w:r>
              <w:rPr>
                <w:spacing w:val="-5"/>
                <w:sz w:val="21"/>
              </w:rPr>
              <w:t>15%</w:t>
            </w:r>
          </w:p>
        </w:tc>
      </w:tr>
      <w:tr>
        <w:trPr>
          <w:trHeight w:val="446" w:hRule="atLeast"/>
        </w:trPr>
        <w:tc>
          <w:tcPr>
            <w:tcW w:w="7566" w:type="dxa"/>
            <w:tcBorders>
              <w:top w:val="nil"/>
              <w:bottom w:val="nil"/>
            </w:tcBorders>
          </w:tcPr>
          <w:p>
            <w:pPr>
              <w:pStyle w:val="TableParagraph"/>
              <w:spacing w:before="75"/>
              <w:ind w:left="114"/>
              <w:rPr>
                <w:b/>
                <w:sz w:val="21"/>
              </w:rPr>
            </w:pPr>
            <w:r>
              <w:rPr>
                <w:b/>
                <w:sz w:val="21"/>
                <w:u w:val="single"/>
              </w:rPr>
              <w:t>Renda</w:t>
            </w:r>
            <w:r>
              <w:rPr>
                <w:b/>
                <w:spacing w:val="-6"/>
                <w:sz w:val="21"/>
                <w:u w:val="single"/>
              </w:rPr>
              <w:t> </w:t>
            </w:r>
            <w:r>
              <w:rPr>
                <w:b/>
                <w:spacing w:val="-2"/>
                <w:sz w:val="21"/>
                <w:u w:val="single"/>
              </w:rPr>
              <w:t>Variáve</w:t>
            </w:r>
            <w:r>
              <w:rPr>
                <w:b/>
                <w:spacing w:val="-2"/>
                <w:sz w:val="21"/>
              </w:rPr>
              <w:t>l</w:t>
            </w:r>
          </w:p>
        </w:tc>
        <w:tc>
          <w:tcPr>
            <w:tcW w:w="1123" w:type="dxa"/>
            <w:tcBorders>
              <w:top w:val="nil"/>
              <w:bottom w:val="nil"/>
            </w:tcBorders>
          </w:tcPr>
          <w:p>
            <w:pPr>
              <w:pStyle w:val="TableParagraph"/>
              <w:spacing w:before="75"/>
              <w:rPr>
                <w:b/>
                <w:sz w:val="21"/>
              </w:rPr>
            </w:pPr>
            <w:r>
              <w:rPr>
                <w:b/>
                <w:spacing w:val="-5"/>
                <w:sz w:val="21"/>
              </w:rPr>
              <w:t>35%</w:t>
            </w:r>
          </w:p>
        </w:tc>
      </w:tr>
      <w:tr>
        <w:trPr>
          <w:trHeight w:val="450" w:hRule="atLeast"/>
        </w:trPr>
        <w:tc>
          <w:tcPr>
            <w:tcW w:w="7566" w:type="dxa"/>
            <w:tcBorders>
              <w:top w:val="nil"/>
              <w:bottom w:val="nil"/>
            </w:tcBorders>
          </w:tcPr>
          <w:p>
            <w:pPr>
              <w:pStyle w:val="TableParagraph"/>
              <w:spacing w:before="77"/>
              <w:ind w:left="114"/>
              <w:rPr>
                <w:sz w:val="21"/>
              </w:rPr>
            </w:pPr>
            <w:r>
              <w:rPr>
                <w:sz w:val="21"/>
              </w:rPr>
              <w:t>Fundos</w:t>
            </w:r>
            <w:r>
              <w:rPr>
                <w:spacing w:val="-5"/>
                <w:sz w:val="21"/>
              </w:rPr>
              <w:t> </w:t>
            </w:r>
            <w:r>
              <w:rPr>
                <w:sz w:val="21"/>
              </w:rPr>
              <w:t>de</w:t>
            </w:r>
            <w:r>
              <w:rPr>
                <w:spacing w:val="-8"/>
                <w:sz w:val="21"/>
              </w:rPr>
              <w:t> </w:t>
            </w:r>
            <w:r>
              <w:rPr>
                <w:spacing w:val="-2"/>
                <w:sz w:val="21"/>
              </w:rPr>
              <w:t>Ações</w:t>
            </w:r>
          </w:p>
        </w:tc>
        <w:tc>
          <w:tcPr>
            <w:tcW w:w="1123" w:type="dxa"/>
            <w:tcBorders>
              <w:top w:val="nil"/>
              <w:bottom w:val="nil"/>
            </w:tcBorders>
          </w:tcPr>
          <w:p>
            <w:pPr>
              <w:pStyle w:val="TableParagraph"/>
              <w:spacing w:before="77"/>
              <w:rPr>
                <w:sz w:val="21"/>
              </w:rPr>
            </w:pPr>
            <w:r>
              <w:rPr>
                <w:spacing w:val="-5"/>
                <w:sz w:val="21"/>
              </w:rPr>
              <w:t>25%</w:t>
            </w:r>
          </w:p>
        </w:tc>
      </w:tr>
      <w:tr>
        <w:trPr>
          <w:trHeight w:val="450" w:hRule="atLeast"/>
        </w:trPr>
        <w:tc>
          <w:tcPr>
            <w:tcW w:w="7566" w:type="dxa"/>
            <w:tcBorders>
              <w:top w:val="nil"/>
              <w:bottom w:val="nil"/>
            </w:tcBorders>
          </w:tcPr>
          <w:p>
            <w:pPr>
              <w:pStyle w:val="TableParagraph"/>
              <w:spacing w:before="78"/>
              <w:ind w:left="114"/>
              <w:rPr>
                <w:sz w:val="21"/>
              </w:rPr>
            </w:pPr>
            <w:r>
              <w:rPr>
                <w:spacing w:val="-2"/>
                <w:sz w:val="21"/>
              </w:rPr>
              <w:t>Multimercados</w:t>
            </w:r>
          </w:p>
        </w:tc>
        <w:tc>
          <w:tcPr>
            <w:tcW w:w="1123" w:type="dxa"/>
            <w:tcBorders>
              <w:top w:val="nil"/>
              <w:bottom w:val="nil"/>
            </w:tcBorders>
          </w:tcPr>
          <w:p>
            <w:pPr>
              <w:pStyle w:val="TableParagraph"/>
              <w:spacing w:before="78"/>
              <w:rPr>
                <w:sz w:val="21"/>
              </w:rPr>
            </w:pPr>
            <w:r>
              <w:rPr>
                <w:spacing w:val="-5"/>
                <w:sz w:val="21"/>
              </w:rPr>
              <w:t>5%</w:t>
            </w:r>
          </w:p>
        </w:tc>
      </w:tr>
      <w:tr>
        <w:trPr>
          <w:trHeight w:val="450" w:hRule="atLeast"/>
        </w:trPr>
        <w:tc>
          <w:tcPr>
            <w:tcW w:w="7566" w:type="dxa"/>
            <w:tcBorders>
              <w:top w:val="nil"/>
              <w:bottom w:val="nil"/>
            </w:tcBorders>
          </w:tcPr>
          <w:p>
            <w:pPr>
              <w:pStyle w:val="TableParagraph"/>
              <w:spacing w:before="77"/>
              <w:ind w:left="114"/>
              <w:rPr>
                <w:sz w:val="21"/>
              </w:rPr>
            </w:pPr>
            <w:r>
              <w:rPr>
                <w:sz w:val="21"/>
              </w:rPr>
              <w:t>Fundos</w:t>
            </w:r>
            <w:r>
              <w:rPr>
                <w:spacing w:val="-7"/>
                <w:sz w:val="21"/>
              </w:rPr>
              <w:t> </w:t>
            </w:r>
            <w:r>
              <w:rPr>
                <w:sz w:val="21"/>
              </w:rPr>
              <w:t>de</w:t>
            </w:r>
            <w:r>
              <w:rPr>
                <w:spacing w:val="-10"/>
                <w:sz w:val="21"/>
              </w:rPr>
              <w:t> </w:t>
            </w:r>
            <w:r>
              <w:rPr>
                <w:sz w:val="21"/>
              </w:rPr>
              <w:t>Participações</w:t>
            </w:r>
            <w:r>
              <w:rPr>
                <w:spacing w:val="-7"/>
                <w:sz w:val="21"/>
              </w:rPr>
              <w:t> </w:t>
            </w:r>
            <w:r>
              <w:rPr>
                <w:spacing w:val="-10"/>
                <w:sz w:val="21"/>
              </w:rPr>
              <w:t>*</w:t>
            </w:r>
          </w:p>
        </w:tc>
        <w:tc>
          <w:tcPr>
            <w:tcW w:w="1123" w:type="dxa"/>
            <w:tcBorders>
              <w:top w:val="nil"/>
              <w:bottom w:val="nil"/>
            </w:tcBorders>
          </w:tcPr>
          <w:p>
            <w:pPr>
              <w:pStyle w:val="TableParagraph"/>
              <w:spacing w:before="77"/>
              <w:rPr>
                <w:sz w:val="21"/>
              </w:rPr>
            </w:pPr>
            <w:r>
              <w:rPr>
                <w:spacing w:val="-4"/>
                <w:sz w:val="21"/>
              </w:rPr>
              <w:t>2,5%</w:t>
            </w:r>
          </w:p>
        </w:tc>
      </w:tr>
      <w:tr>
        <w:trPr>
          <w:trHeight w:val="445" w:hRule="atLeast"/>
        </w:trPr>
        <w:tc>
          <w:tcPr>
            <w:tcW w:w="7566" w:type="dxa"/>
            <w:tcBorders>
              <w:top w:val="nil"/>
              <w:bottom w:val="nil"/>
            </w:tcBorders>
          </w:tcPr>
          <w:p>
            <w:pPr>
              <w:pStyle w:val="TableParagraph"/>
              <w:spacing w:before="78"/>
              <w:ind w:left="114"/>
              <w:rPr>
                <w:sz w:val="21"/>
              </w:rPr>
            </w:pPr>
            <w:r>
              <w:rPr>
                <w:sz w:val="21"/>
              </w:rPr>
              <w:t>Fundos</w:t>
            </w:r>
            <w:r>
              <w:rPr>
                <w:spacing w:val="-10"/>
                <w:sz w:val="21"/>
              </w:rPr>
              <w:t> </w:t>
            </w:r>
            <w:r>
              <w:rPr>
                <w:sz w:val="21"/>
              </w:rPr>
              <w:t>Imobiliários</w:t>
            </w:r>
            <w:r>
              <w:rPr>
                <w:spacing w:val="-8"/>
                <w:sz w:val="21"/>
              </w:rPr>
              <w:t> </w:t>
            </w:r>
            <w:r>
              <w:rPr>
                <w:spacing w:val="-10"/>
                <w:sz w:val="21"/>
              </w:rPr>
              <w:t>*</w:t>
            </w:r>
          </w:p>
        </w:tc>
        <w:tc>
          <w:tcPr>
            <w:tcW w:w="1123" w:type="dxa"/>
            <w:tcBorders>
              <w:top w:val="nil"/>
              <w:bottom w:val="nil"/>
            </w:tcBorders>
          </w:tcPr>
          <w:p>
            <w:pPr>
              <w:pStyle w:val="TableParagraph"/>
              <w:spacing w:before="78"/>
              <w:rPr>
                <w:sz w:val="21"/>
              </w:rPr>
            </w:pPr>
            <w:r>
              <w:rPr>
                <w:spacing w:val="-4"/>
                <w:sz w:val="21"/>
              </w:rPr>
              <w:t>2,5%</w:t>
            </w:r>
          </w:p>
        </w:tc>
      </w:tr>
      <w:tr>
        <w:trPr>
          <w:trHeight w:val="438" w:hRule="atLeast"/>
        </w:trPr>
        <w:tc>
          <w:tcPr>
            <w:tcW w:w="7566" w:type="dxa"/>
            <w:tcBorders>
              <w:top w:val="nil"/>
              <w:bottom w:val="nil"/>
            </w:tcBorders>
          </w:tcPr>
          <w:p>
            <w:pPr>
              <w:pStyle w:val="TableParagraph"/>
              <w:spacing w:before="72"/>
              <w:ind w:left="114"/>
              <w:rPr>
                <w:b/>
                <w:sz w:val="21"/>
              </w:rPr>
            </w:pPr>
            <w:r>
              <w:rPr>
                <w:b/>
                <w:sz w:val="21"/>
                <w:u w:val="single"/>
              </w:rPr>
              <w:t>Investimento</w:t>
            </w:r>
            <w:r>
              <w:rPr>
                <w:b/>
                <w:spacing w:val="-8"/>
                <w:sz w:val="21"/>
                <w:u w:val="single"/>
              </w:rPr>
              <w:t> </w:t>
            </w:r>
            <w:r>
              <w:rPr>
                <w:b/>
                <w:sz w:val="21"/>
                <w:u w:val="single"/>
              </w:rPr>
              <w:t>no</w:t>
            </w:r>
            <w:r>
              <w:rPr>
                <w:b/>
                <w:spacing w:val="-7"/>
                <w:sz w:val="21"/>
                <w:u w:val="single"/>
              </w:rPr>
              <w:t> </w:t>
            </w:r>
            <w:r>
              <w:rPr>
                <w:b/>
                <w:spacing w:val="-2"/>
                <w:sz w:val="21"/>
                <w:u w:val="single"/>
              </w:rPr>
              <w:t>Exterior</w:t>
            </w:r>
          </w:p>
        </w:tc>
        <w:tc>
          <w:tcPr>
            <w:tcW w:w="1123" w:type="dxa"/>
            <w:tcBorders>
              <w:top w:val="nil"/>
              <w:bottom w:val="nil"/>
            </w:tcBorders>
          </w:tcPr>
          <w:p>
            <w:pPr>
              <w:pStyle w:val="TableParagraph"/>
              <w:spacing w:before="72"/>
              <w:rPr>
                <w:b/>
                <w:sz w:val="21"/>
              </w:rPr>
            </w:pPr>
            <w:r>
              <w:rPr>
                <w:b/>
                <w:spacing w:val="-5"/>
                <w:sz w:val="21"/>
              </w:rPr>
              <w:t>10%</w:t>
            </w:r>
          </w:p>
        </w:tc>
      </w:tr>
      <w:tr>
        <w:trPr>
          <w:trHeight w:val="438" w:hRule="atLeast"/>
        </w:trPr>
        <w:tc>
          <w:tcPr>
            <w:tcW w:w="7566" w:type="dxa"/>
            <w:tcBorders>
              <w:top w:val="nil"/>
              <w:bottom w:val="nil"/>
            </w:tcBorders>
          </w:tcPr>
          <w:p>
            <w:pPr>
              <w:pStyle w:val="TableParagraph"/>
              <w:ind w:left="114"/>
              <w:rPr>
                <w:sz w:val="21"/>
              </w:rPr>
            </w:pPr>
            <w:r>
              <w:rPr>
                <w:sz w:val="21"/>
              </w:rPr>
              <w:t>Fundos</w:t>
            </w:r>
            <w:r>
              <w:rPr>
                <w:spacing w:val="-9"/>
                <w:sz w:val="21"/>
              </w:rPr>
              <w:t> </w:t>
            </w:r>
            <w:r>
              <w:rPr>
                <w:sz w:val="21"/>
              </w:rPr>
              <w:t>de</w:t>
            </w:r>
            <w:r>
              <w:rPr>
                <w:spacing w:val="-7"/>
                <w:sz w:val="21"/>
              </w:rPr>
              <w:t> </w:t>
            </w:r>
            <w:r>
              <w:rPr>
                <w:sz w:val="21"/>
              </w:rPr>
              <w:t>Investimentos</w:t>
            </w:r>
            <w:r>
              <w:rPr>
                <w:spacing w:val="-9"/>
                <w:sz w:val="21"/>
              </w:rPr>
              <w:t> </w:t>
            </w:r>
            <w:r>
              <w:rPr>
                <w:sz w:val="21"/>
              </w:rPr>
              <w:t>no</w:t>
            </w:r>
            <w:r>
              <w:rPr>
                <w:spacing w:val="-12"/>
                <w:sz w:val="21"/>
              </w:rPr>
              <w:t> </w:t>
            </w:r>
            <w:r>
              <w:rPr>
                <w:sz w:val="21"/>
              </w:rPr>
              <w:t>Exterior</w:t>
            </w:r>
            <w:r>
              <w:rPr>
                <w:spacing w:val="-7"/>
                <w:sz w:val="21"/>
              </w:rPr>
              <w:t> </w:t>
            </w:r>
            <w:r>
              <w:rPr>
                <w:spacing w:val="-2"/>
                <w:sz w:val="21"/>
              </w:rPr>
              <w:t>(Hedge)</w:t>
            </w:r>
          </w:p>
        </w:tc>
        <w:tc>
          <w:tcPr>
            <w:tcW w:w="1123" w:type="dxa"/>
            <w:tcBorders>
              <w:top w:val="nil"/>
              <w:bottom w:val="nil"/>
            </w:tcBorders>
          </w:tcPr>
          <w:p>
            <w:pPr>
              <w:pStyle w:val="TableParagraph"/>
              <w:rPr>
                <w:sz w:val="21"/>
              </w:rPr>
            </w:pPr>
            <w:r>
              <w:rPr>
                <w:spacing w:val="-5"/>
                <w:sz w:val="21"/>
              </w:rPr>
              <w:t>5%</w:t>
            </w:r>
          </w:p>
        </w:tc>
      </w:tr>
      <w:tr>
        <w:trPr>
          <w:trHeight w:val="509" w:hRule="atLeast"/>
        </w:trPr>
        <w:tc>
          <w:tcPr>
            <w:tcW w:w="7566" w:type="dxa"/>
            <w:tcBorders>
              <w:top w:val="nil"/>
            </w:tcBorders>
          </w:tcPr>
          <w:p>
            <w:pPr>
              <w:pStyle w:val="TableParagraph"/>
              <w:spacing w:before="72"/>
              <w:ind w:left="114"/>
              <w:rPr>
                <w:sz w:val="21"/>
              </w:rPr>
            </w:pPr>
            <w:r>
              <w:rPr>
                <w:sz w:val="21"/>
              </w:rPr>
              <w:t>Fundos</w:t>
            </w:r>
            <w:r>
              <w:rPr>
                <w:spacing w:val="-6"/>
                <w:sz w:val="21"/>
              </w:rPr>
              <w:t> </w:t>
            </w:r>
            <w:r>
              <w:rPr>
                <w:sz w:val="21"/>
              </w:rPr>
              <w:t>de</w:t>
            </w:r>
            <w:r>
              <w:rPr>
                <w:spacing w:val="-6"/>
                <w:sz w:val="21"/>
              </w:rPr>
              <w:t> </w:t>
            </w:r>
            <w:r>
              <w:rPr>
                <w:sz w:val="21"/>
              </w:rPr>
              <w:t>Investimentos</w:t>
            </w:r>
            <w:r>
              <w:rPr>
                <w:spacing w:val="-10"/>
                <w:sz w:val="21"/>
              </w:rPr>
              <w:t> </w:t>
            </w:r>
            <w:r>
              <w:rPr>
                <w:sz w:val="21"/>
              </w:rPr>
              <w:t>no</w:t>
            </w:r>
            <w:r>
              <w:rPr>
                <w:spacing w:val="-11"/>
                <w:sz w:val="21"/>
              </w:rPr>
              <w:t> </w:t>
            </w:r>
            <w:r>
              <w:rPr>
                <w:spacing w:val="-2"/>
                <w:sz w:val="21"/>
              </w:rPr>
              <w:t>Exterior</w:t>
            </w:r>
          </w:p>
        </w:tc>
        <w:tc>
          <w:tcPr>
            <w:tcW w:w="1123" w:type="dxa"/>
            <w:tcBorders>
              <w:top w:val="nil"/>
            </w:tcBorders>
          </w:tcPr>
          <w:p>
            <w:pPr>
              <w:pStyle w:val="TableParagraph"/>
              <w:spacing w:before="72"/>
              <w:rPr>
                <w:sz w:val="21"/>
              </w:rPr>
            </w:pPr>
            <w:r>
              <w:rPr>
                <w:spacing w:val="-5"/>
                <w:sz w:val="21"/>
              </w:rPr>
              <w:t>5%</w:t>
            </w:r>
          </w:p>
        </w:tc>
      </w:tr>
    </w:tbl>
    <w:p>
      <w:pPr>
        <w:spacing w:line="256" w:lineRule="auto" w:before="5"/>
        <w:ind w:left="143" w:right="1335" w:firstLine="0"/>
        <w:jc w:val="left"/>
        <w:rPr>
          <w:sz w:val="20"/>
        </w:rPr>
      </w:pPr>
      <w:r>
        <w:rPr>
          <w:sz w:val="20"/>
        </w:rPr>
        <w:t>*</w:t>
      </w:r>
      <w:r>
        <w:rPr>
          <w:spacing w:val="-4"/>
          <w:sz w:val="20"/>
        </w:rPr>
        <w:t> </w:t>
      </w:r>
      <w:r>
        <w:rPr>
          <w:sz w:val="20"/>
        </w:rPr>
        <w:t>Aos</w:t>
      </w:r>
      <w:r>
        <w:rPr>
          <w:spacing w:val="-4"/>
          <w:sz w:val="20"/>
        </w:rPr>
        <w:t> </w:t>
      </w:r>
      <w:r>
        <w:rPr>
          <w:sz w:val="20"/>
        </w:rPr>
        <w:t>clientes</w:t>
      </w:r>
      <w:r>
        <w:rPr>
          <w:spacing w:val="-4"/>
          <w:sz w:val="20"/>
        </w:rPr>
        <w:t> </w:t>
      </w:r>
      <w:r>
        <w:rPr>
          <w:sz w:val="20"/>
        </w:rPr>
        <w:t>que</w:t>
      </w:r>
      <w:r>
        <w:rPr>
          <w:spacing w:val="-9"/>
          <w:sz w:val="20"/>
        </w:rPr>
        <w:t> </w:t>
      </w:r>
      <w:r>
        <w:rPr>
          <w:sz w:val="20"/>
        </w:rPr>
        <w:t>investem</w:t>
      </w:r>
      <w:r>
        <w:rPr>
          <w:spacing w:val="-8"/>
          <w:sz w:val="20"/>
        </w:rPr>
        <w:t> </w:t>
      </w:r>
      <w:r>
        <w:rPr>
          <w:sz w:val="20"/>
        </w:rPr>
        <w:t>em</w:t>
      </w:r>
      <w:r>
        <w:rPr>
          <w:spacing w:val="-6"/>
          <w:sz w:val="20"/>
        </w:rPr>
        <w:t> </w:t>
      </w:r>
      <w:r>
        <w:rPr>
          <w:sz w:val="20"/>
        </w:rPr>
        <w:t>Fundos</w:t>
      </w:r>
      <w:r>
        <w:rPr>
          <w:spacing w:val="-3"/>
          <w:sz w:val="20"/>
        </w:rPr>
        <w:t> </w:t>
      </w:r>
      <w:r>
        <w:rPr>
          <w:sz w:val="20"/>
        </w:rPr>
        <w:t>de</w:t>
      </w:r>
      <w:r>
        <w:rPr>
          <w:spacing w:val="-9"/>
          <w:sz w:val="20"/>
        </w:rPr>
        <w:t> </w:t>
      </w:r>
      <w:r>
        <w:rPr>
          <w:sz w:val="20"/>
        </w:rPr>
        <w:t>Participações</w:t>
      </w:r>
      <w:r>
        <w:rPr>
          <w:spacing w:val="-2"/>
          <w:sz w:val="20"/>
        </w:rPr>
        <w:t> </w:t>
      </w:r>
      <w:r>
        <w:rPr>
          <w:sz w:val="20"/>
        </w:rPr>
        <w:t>e</w:t>
      </w:r>
      <w:r>
        <w:rPr>
          <w:spacing w:val="-9"/>
          <w:sz w:val="20"/>
        </w:rPr>
        <w:t> </w:t>
      </w:r>
      <w:r>
        <w:rPr>
          <w:sz w:val="20"/>
        </w:rPr>
        <w:t>Fundos</w:t>
      </w:r>
      <w:r>
        <w:rPr>
          <w:spacing w:val="-3"/>
          <w:sz w:val="20"/>
        </w:rPr>
        <w:t> </w:t>
      </w:r>
      <w:r>
        <w:rPr>
          <w:sz w:val="20"/>
        </w:rPr>
        <w:t>Imobiliários</w:t>
      </w:r>
      <w:r>
        <w:rPr>
          <w:spacing w:val="-2"/>
          <w:sz w:val="20"/>
        </w:rPr>
        <w:t> </w:t>
      </w:r>
      <w:r>
        <w:rPr>
          <w:sz w:val="20"/>
        </w:rPr>
        <w:t>em</w:t>
      </w:r>
      <w:r>
        <w:rPr>
          <w:spacing w:val="-6"/>
          <w:sz w:val="20"/>
        </w:rPr>
        <w:t> </w:t>
      </w:r>
      <w:r>
        <w:rPr>
          <w:sz w:val="20"/>
        </w:rPr>
        <w:t>percentual</w:t>
      </w:r>
      <w:r>
        <w:rPr>
          <w:spacing w:val="-4"/>
          <w:sz w:val="20"/>
        </w:rPr>
        <w:t> </w:t>
      </w:r>
      <w:r>
        <w:rPr>
          <w:sz w:val="20"/>
        </w:rPr>
        <w:t>superior</w:t>
      </w:r>
      <w:r>
        <w:rPr>
          <w:spacing w:val="-9"/>
          <w:sz w:val="20"/>
        </w:rPr>
        <w:t> </w:t>
      </w:r>
      <w:r>
        <w:rPr>
          <w:sz w:val="20"/>
        </w:rPr>
        <w:t>a 2,5% em cada, reduzir a exposição aos Fundos de Ações na proporção desse excesso.</w:t>
      </w:r>
    </w:p>
    <w:p>
      <w:pPr>
        <w:spacing w:after="0" w:line="256" w:lineRule="auto"/>
        <w:jc w:val="left"/>
        <w:rPr>
          <w:sz w:val="20"/>
        </w:rPr>
        <w:sectPr>
          <w:pgSz w:w="11920" w:h="16850"/>
          <w:pgMar w:top="1660" w:bottom="280" w:left="1559" w:right="141"/>
        </w:sectPr>
      </w:pPr>
    </w:p>
    <w:p>
      <w:pPr>
        <w:pStyle w:val="BodyText"/>
        <w:spacing w:before="27"/>
        <w:ind w:right="1211"/>
        <w:jc w:val="center"/>
      </w:pPr>
      <w:r>
        <w:rPr>
          <w:color w:val="0D0E0E"/>
        </w:rPr>
        <w:t>PRÓ</w:t>
      </w:r>
      <w:r>
        <w:rPr>
          <w:color w:val="0D0E0E"/>
          <w:spacing w:val="-10"/>
        </w:rPr>
        <w:t> </w:t>
      </w:r>
      <w:r>
        <w:rPr>
          <w:color w:val="0D0E0E"/>
        </w:rPr>
        <w:t>GESTÃO</w:t>
      </w:r>
      <w:r>
        <w:rPr>
          <w:color w:val="0D0E0E"/>
          <w:spacing w:val="-4"/>
        </w:rPr>
        <w:t> </w:t>
      </w:r>
      <w:r>
        <w:rPr>
          <w:color w:val="0D0E0E"/>
        </w:rPr>
        <w:t>NÍVEL</w:t>
      </w:r>
      <w:r>
        <w:rPr>
          <w:color w:val="0D0E0E"/>
          <w:spacing w:val="-6"/>
        </w:rPr>
        <w:t> </w:t>
      </w:r>
      <w:r>
        <w:rPr>
          <w:color w:val="0D0E0E"/>
          <w:spacing w:val="-10"/>
        </w:rPr>
        <w:t>2</w:t>
      </w:r>
    </w:p>
    <w:p>
      <w:pPr>
        <w:pStyle w:val="BodyText"/>
        <w:spacing w:before="166"/>
        <w:rPr>
          <w:sz w:val="20"/>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66"/>
        <w:gridCol w:w="1123"/>
      </w:tblGrid>
      <w:tr>
        <w:trPr>
          <w:trHeight w:val="448" w:hRule="atLeast"/>
        </w:trPr>
        <w:tc>
          <w:tcPr>
            <w:tcW w:w="8689" w:type="dxa"/>
            <w:gridSpan w:val="2"/>
          </w:tcPr>
          <w:p>
            <w:pPr>
              <w:pStyle w:val="TableParagraph"/>
              <w:spacing w:before="11"/>
              <w:ind w:left="450"/>
              <w:rPr>
                <w:sz w:val="21"/>
              </w:rPr>
            </w:pPr>
            <w:r>
              <w:rPr>
                <w:sz w:val="21"/>
              </w:rPr>
              <w:t>Estratégia</w:t>
            </w:r>
            <w:r>
              <w:rPr>
                <w:spacing w:val="-11"/>
                <w:sz w:val="21"/>
              </w:rPr>
              <w:t> </w:t>
            </w:r>
            <w:r>
              <w:rPr>
                <w:sz w:val="21"/>
              </w:rPr>
              <w:t>de</w:t>
            </w:r>
            <w:r>
              <w:rPr>
                <w:spacing w:val="-7"/>
                <w:sz w:val="21"/>
              </w:rPr>
              <w:t> </w:t>
            </w:r>
            <w:r>
              <w:rPr>
                <w:sz w:val="21"/>
              </w:rPr>
              <w:t>Alocação</w:t>
            </w:r>
            <w:r>
              <w:rPr>
                <w:spacing w:val="-5"/>
                <w:sz w:val="21"/>
              </w:rPr>
              <w:t> </w:t>
            </w:r>
            <w:r>
              <w:rPr>
                <w:sz w:val="21"/>
              </w:rPr>
              <w:t>dos</w:t>
            </w:r>
            <w:r>
              <w:rPr>
                <w:spacing w:val="-9"/>
                <w:sz w:val="21"/>
              </w:rPr>
              <w:t> </w:t>
            </w:r>
            <w:r>
              <w:rPr>
                <w:sz w:val="21"/>
              </w:rPr>
              <w:t>Recursos</w:t>
            </w:r>
            <w:r>
              <w:rPr>
                <w:spacing w:val="-9"/>
                <w:sz w:val="21"/>
              </w:rPr>
              <w:t> </w:t>
            </w:r>
            <w:r>
              <w:rPr>
                <w:sz w:val="21"/>
              </w:rPr>
              <w:t>no</w:t>
            </w:r>
            <w:r>
              <w:rPr>
                <w:spacing w:val="-5"/>
                <w:sz w:val="21"/>
              </w:rPr>
              <w:t> </w:t>
            </w:r>
            <w:r>
              <w:rPr>
                <w:sz w:val="21"/>
              </w:rPr>
              <w:t>Longo</w:t>
            </w:r>
            <w:r>
              <w:rPr>
                <w:spacing w:val="-7"/>
                <w:sz w:val="21"/>
              </w:rPr>
              <w:t> </w:t>
            </w:r>
            <w:r>
              <w:rPr>
                <w:sz w:val="21"/>
              </w:rPr>
              <w:t>Prazo</w:t>
            </w:r>
            <w:r>
              <w:rPr>
                <w:spacing w:val="-2"/>
                <w:sz w:val="21"/>
              </w:rPr>
              <w:t> </w:t>
            </w:r>
            <w:r>
              <w:rPr>
                <w:sz w:val="21"/>
              </w:rPr>
              <w:t>–</w:t>
            </w:r>
            <w:r>
              <w:rPr>
                <w:spacing w:val="-7"/>
                <w:sz w:val="21"/>
              </w:rPr>
              <w:t> </w:t>
            </w:r>
            <w:r>
              <w:rPr>
                <w:sz w:val="21"/>
              </w:rPr>
              <w:t>Renda</w:t>
            </w:r>
            <w:r>
              <w:rPr>
                <w:spacing w:val="-7"/>
                <w:sz w:val="21"/>
              </w:rPr>
              <w:t> </w:t>
            </w:r>
            <w:r>
              <w:rPr>
                <w:sz w:val="21"/>
              </w:rPr>
              <w:t>Fixa</w:t>
            </w:r>
            <w:r>
              <w:rPr>
                <w:spacing w:val="-6"/>
                <w:sz w:val="21"/>
              </w:rPr>
              <w:t> </w:t>
            </w:r>
            <w:r>
              <w:rPr>
                <w:sz w:val="21"/>
              </w:rPr>
              <w:t>e</w:t>
            </w:r>
            <w:r>
              <w:rPr>
                <w:spacing w:val="-7"/>
                <w:sz w:val="21"/>
              </w:rPr>
              <w:t> </w:t>
            </w:r>
            <w:r>
              <w:rPr>
                <w:spacing w:val="-2"/>
                <w:sz w:val="21"/>
              </w:rPr>
              <w:t>Variável</w:t>
            </w:r>
          </w:p>
        </w:tc>
      </w:tr>
      <w:tr>
        <w:trPr>
          <w:trHeight w:val="387" w:hRule="atLeast"/>
        </w:trPr>
        <w:tc>
          <w:tcPr>
            <w:tcW w:w="7566" w:type="dxa"/>
            <w:tcBorders>
              <w:bottom w:val="nil"/>
            </w:tcBorders>
          </w:tcPr>
          <w:p>
            <w:pPr>
              <w:pStyle w:val="TableParagraph"/>
              <w:spacing w:before="13"/>
              <w:ind w:left="114"/>
              <w:rPr>
                <w:b/>
                <w:sz w:val="21"/>
              </w:rPr>
            </w:pPr>
            <w:r>
              <w:rPr>
                <w:b/>
                <w:sz w:val="21"/>
                <w:u w:val="single"/>
              </w:rPr>
              <w:t>Renda</w:t>
            </w:r>
            <w:r>
              <w:rPr>
                <w:b/>
                <w:spacing w:val="-6"/>
                <w:sz w:val="21"/>
                <w:u w:val="single"/>
              </w:rPr>
              <w:t> </w:t>
            </w:r>
            <w:r>
              <w:rPr>
                <w:b/>
                <w:spacing w:val="-4"/>
                <w:sz w:val="21"/>
                <w:u w:val="single"/>
              </w:rPr>
              <w:t>Fixa</w:t>
            </w:r>
          </w:p>
        </w:tc>
        <w:tc>
          <w:tcPr>
            <w:tcW w:w="1123" w:type="dxa"/>
            <w:tcBorders>
              <w:bottom w:val="nil"/>
            </w:tcBorders>
          </w:tcPr>
          <w:p>
            <w:pPr>
              <w:pStyle w:val="TableParagraph"/>
              <w:spacing w:before="13"/>
              <w:rPr>
                <w:b/>
                <w:sz w:val="21"/>
              </w:rPr>
            </w:pPr>
            <w:r>
              <w:rPr>
                <w:b/>
                <w:spacing w:val="-5"/>
                <w:sz w:val="21"/>
              </w:rPr>
              <w:t>50%</w:t>
            </w:r>
          </w:p>
        </w:tc>
      </w:tr>
      <w:tr>
        <w:trPr>
          <w:trHeight w:val="457" w:hRule="atLeast"/>
        </w:trPr>
        <w:tc>
          <w:tcPr>
            <w:tcW w:w="7566" w:type="dxa"/>
            <w:tcBorders>
              <w:top w:val="nil"/>
              <w:bottom w:val="nil"/>
            </w:tcBorders>
          </w:tcPr>
          <w:p>
            <w:pPr>
              <w:pStyle w:val="TableParagraph"/>
              <w:spacing w:before="89"/>
              <w:ind w:left="114"/>
              <w:rPr>
                <w:sz w:val="21"/>
              </w:rPr>
            </w:pPr>
            <w:r>
              <w:rPr>
                <w:sz w:val="21"/>
              </w:rPr>
              <w:t>Longuíssimo</w:t>
            </w:r>
            <w:r>
              <w:rPr>
                <w:spacing w:val="-8"/>
                <w:sz w:val="21"/>
              </w:rPr>
              <w:t> </w:t>
            </w:r>
            <w:r>
              <w:rPr>
                <w:sz w:val="21"/>
              </w:rPr>
              <w:t>Prazo</w:t>
            </w:r>
            <w:r>
              <w:rPr>
                <w:spacing w:val="-6"/>
                <w:sz w:val="21"/>
              </w:rPr>
              <w:t> </w:t>
            </w:r>
            <w:r>
              <w:rPr>
                <w:sz w:val="21"/>
              </w:rPr>
              <w:t>(IMA-B</w:t>
            </w:r>
            <w:r>
              <w:rPr>
                <w:spacing w:val="-6"/>
                <w:sz w:val="21"/>
              </w:rPr>
              <w:t> </w:t>
            </w:r>
            <w:r>
              <w:rPr>
                <w:sz w:val="21"/>
              </w:rPr>
              <w:t>5+</w:t>
            </w:r>
            <w:r>
              <w:rPr>
                <w:spacing w:val="-6"/>
                <w:sz w:val="21"/>
              </w:rPr>
              <w:t> </w:t>
            </w:r>
            <w:r>
              <w:rPr>
                <w:sz w:val="21"/>
              </w:rPr>
              <w:t>e</w:t>
            </w:r>
            <w:r>
              <w:rPr>
                <w:spacing w:val="-6"/>
                <w:sz w:val="21"/>
              </w:rPr>
              <w:t> </w:t>
            </w:r>
            <w:r>
              <w:rPr>
                <w:sz w:val="21"/>
              </w:rPr>
              <w:t>IDKA</w:t>
            </w:r>
            <w:r>
              <w:rPr>
                <w:spacing w:val="-9"/>
                <w:sz w:val="21"/>
              </w:rPr>
              <w:t> </w:t>
            </w:r>
            <w:r>
              <w:rPr>
                <w:spacing w:val="-4"/>
                <w:sz w:val="21"/>
              </w:rPr>
              <w:t>20A)</w:t>
            </w:r>
          </w:p>
        </w:tc>
        <w:tc>
          <w:tcPr>
            <w:tcW w:w="1123" w:type="dxa"/>
            <w:tcBorders>
              <w:top w:val="nil"/>
              <w:bottom w:val="nil"/>
            </w:tcBorders>
          </w:tcPr>
          <w:p>
            <w:pPr>
              <w:pStyle w:val="TableParagraph"/>
              <w:spacing w:before="77"/>
              <w:rPr>
                <w:sz w:val="22"/>
              </w:rPr>
            </w:pPr>
            <w:r>
              <w:rPr>
                <w:spacing w:val="-5"/>
                <w:sz w:val="22"/>
              </w:rPr>
              <w:t>0%</w:t>
            </w:r>
          </w:p>
        </w:tc>
      </w:tr>
      <w:tr>
        <w:trPr>
          <w:trHeight w:val="450" w:hRule="atLeast"/>
        </w:trPr>
        <w:tc>
          <w:tcPr>
            <w:tcW w:w="7566" w:type="dxa"/>
            <w:tcBorders>
              <w:top w:val="nil"/>
              <w:bottom w:val="nil"/>
            </w:tcBorders>
          </w:tcPr>
          <w:p>
            <w:pPr>
              <w:pStyle w:val="TableParagraph"/>
              <w:spacing w:before="81"/>
              <w:ind w:left="114"/>
              <w:rPr>
                <w:sz w:val="21"/>
              </w:rPr>
            </w:pPr>
            <w:r>
              <w:rPr>
                <w:sz w:val="21"/>
              </w:rPr>
              <w:t>Longo</w:t>
            </w:r>
            <w:r>
              <w:rPr>
                <w:spacing w:val="-11"/>
                <w:sz w:val="21"/>
              </w:rPr>
              <w:t> </w:t>
            </w:r>
            <w:r>
              <w:rPr>
                <w:sz w:val="21"/>
              </w:rPr>
              <w:t>Prazo</w:t>
            </w:r>
            <w:r>
              <w:rPr>
                <w:spacing w:val="-9"/>
                <w:sz w:val="21"/>
              </w:rPr>
              <w:t> </w:t>
            </w:r>
            <w:r>
              <w:rPr>
                <w:sz w:val="21"/>
              </w:rPr>
              <w:t>(IMA-Geral/</w:t>
            </w:r>
            <w:r>
              <w:rPr>
                <w:spacing w:val="-7"/>
                <w:sz w:val="21"/>
              </w:rPr>
              <w:t> </w:t>
            </w:r>
            <w:r>
              <w:rPr>
                <w:sz w:val="21"/>
              </w:rPr>
              <w:t>IMA-B</w:t>
            </w:r>
            <w:r>
              <w:rPr>
                <w:spacing w:val="-9"/>
                <w:sz w:val="21"/>
              </w:rPr>
              <w:t> </w:t>
            </w:r>
            <w:r>
              <w:rPr>
                <w:sz w:val="21"/>
              </w:rPr>
              <w:t>Total</w:t>
            </w:r>
            <w:r>
              <w:rPr>
                <w:spacing w:val="-10"/>
                <w:sz w:val="21"/>
              </w:rPr>
              <w:t> </w:t>
            </w:r>
            <w:r>
              <w:rPr>
                <w:sz w:val="21"/>
              </w:rPr>
              <w:t>e</w:t>
            </w:r>
            <w:r>
              <w:rPr>
                <w:spacing w:val="-6"/>
                <w:sz w:val="21"/>
              </w:rPr>
              <w:t> </w:t>
            </w:r>
            <w:r>
              <w:rPr>
                <w:sz w:val="21"/>
              </w:rPr>
              <w:t>FIDC/</w:t>
            </w:r>
            <w:r>
              <w:rPr>
                <w:spacing w:val="-4"/>
                <w:sz w:val="21"/>
              </w:rPr>
              <w:t> </w:t>
            </w:r>
            <w:r>
              <w:rPr>
                <w:sz w:val="21"/>
              </w:rPr>
              <w:t>Crédito</w:t>
            </w:r>
            <w:r>
              <w:rPr>
                <w:spacing w:val="-10"/>
                <w:sz w:val="21"/>
              </w:rPr>
              <w:t> </w:t>
            </w:r>
            <w:r>
              <w:rPr>
                <w:sz w:val="21"/>
              </w:rPr>
              <w:t>Privado/</w:t>
            </w:r>
            <w:r>
              <w:rPr>
                <w:spacing w:val="-6"/>
                <w:sz w:val="21"/>
              </w:rPr>
              <w:t> </w:t>
            </w:r>
            <w:r>
              <w:rPr>
                <w:sz w:val="21"/>
              </w:rPr>
              <w:t>Fundo</w:t>
            </w:r>
            <w:r>
              <w:rPr>
                <w:spacing w:val="-10"/>
                <w:sz w:val="21"/>
              </w:rPr>
              <w:t> </w:t>
            </w:r>
            <w:r>
              <w:rPr>
                <w:spacing w:val="-2"/>
                <w:sz w:val="21"/>
              </w:rPr>
              <w:t>Debênture)</w:t>
            </w:r>
          </w:p>
        </w:tc>
        <w:tc>
          <w:tcPr>
            <w:tcW w:w="1123" w:type="dxa"/>
            <w:tcBorders>
              <w:top w:val="nil"/>
              <w:bottom w:val="nil"/>
            </w:tcBorders>
          </w:tcPr>
          <w:p>
            <w:pPr>
              <w:pStyle w:val="TableParagraph"/>
              <w:rPr>
                <w:sz w:val="22"/>
              </w:rPr>
            </w:pPr>
            <w:r>
              <w:rPr>
                <w:spacing w:val="-5"/>
                <w:sz w:val="22"/>
              </w:rPr>
              <w:t>10%</w:t>
            </w:r>
          </w:p>
        </w:tc>
      </w:tr>
      <w:tr>
        <w:trPr>
          <w:trHeight w:val="448" w:hRule="atLeast"/>
        </w:trPr>
        <w:tc>
          <w:tcPr>
            <w:tcW w:w="7566" w:type="dxa"/>
            <w:tcBorders>
              <w:top w:val="nil"/>
              <w:bottom w:val="nil"/>
            </w:tcBorders>
          </w:tcPr>
          <w:p>
            <w:pPr>
              <w:pStyle w:val="TableParagraph"/>
              <w:spacing w:before="82"/>
              <w:ind w:left="114"/>
              <w:rPr>
                <w:sz w:val="21"/>
              </w:rPr>
            </w:pPr>
            <w:r>
              <w:rPr>
                <w:sz w:val="21"/>
              </w:rPr>
              <w:t>Gestão</w:t>
            </w:r>
            <w:r>
              <w:rPr>
                <w:spacing w:val="-6"/>
                <w:sz w:val="21"/>
              </w:rPr>
              <w:t> </w:t>
            </w:r>
            <w:r>
              <w:rPr>
                <w:sz w:val="21"/>
              </w:rPr>
              <w:t>do</w:t>
            </w:r>
            <w:r>
              <w:rPr>
                <w:spacing w:val="-5"/>
                <w:sz w:val="21"/>
              </w:rPr>
              <w:t> </w:t>
            </w:r>
            <w:r>
              <w:rPr>
                <w:spacing w:val="-2"/>
                <w:sz w:val="21"/>
              </w:rPr>
              <w:t>Duration</w:t>
            </w:r>
          </w:p>
        </w:tc>
        <w:tc>
          <w:tcPr>
            <w:tcW w:w="1123" w:type="dxa"/>
            <w:tcBorders>
              <w:top w:val="nil"/>
              <w:bottom w:val="nil"/>
            </w:tcBorders>
          </w:tcPr>
          <w:p>
            <w:pPr>
              <w:pStyle w:val="TableParagraph"/>
              <w:spacing w:before="70"/>
              <w:rPr>
                <w:sz w:val="22"/>
              </w:rPr>
            </w:pPr>
            <w:r>
              <w:rPr>
                <w:spacing w:val="-5"/>
                <w:sz w:val="22"/>
              </w:rPr>
              <w:t>5%</w:t>
            </w:r>
          </w:p>
        </w:tc>
      </w:tr>
      <w:tr>
        <w:trPr>
          <w:trHeight w:val="437" w:hRule="atLeast"/>
        </w:trPr>
        <w:tc>
          <w:tcPr>
            <w:tcW w:w="7566" w:type="dxa"/>
            <w:tcBorders>
              <w:top w:val="nil"/>
              <w:bottom w:val="nil"/>
            </w:tcBorders>
          </w:tcPr>
          <w:p>
            <w:pPr>
              <w:pStyle w:val="TableParagraph"/>
              <w:spacing w:before="72"/>
              <w:ind w:left="114"/>
              <w:rPr>
                <w:sz w:val="21"/>
              </w:rPr>
            </w:pPr>
            <w:r>
              <w:rPr>
                <w:sz w:val="21"/>
              </w:rPr>
              <w:t>Médio</w:t>
            </w:r>
            <w:r>
              <w:rPr>
                <w:spacing w:val="-8"/>
                <w:sz w:val="21"/>
              </w:rPr>
              <w:t> </w:t>
            </w:r>
            <w:r>
              <w:rPr>
                <w:sz w:val="21"/>
              </w:rPr>
              <w:t>Prazo</w:t>
            </w:r>
            <w:r>
              <w:rPr>
                <w:spacing w:val="-3"/>
                <w:sz w:val="21"/>
              </w:rPr>
              <w:t> </w:t>
            </w:r>
            <w:r>
              <w:rPr>
                <w:sz w:val="21"/>
              </w:rPr>
              <w:t>(IMA-B</w:t>
            </w:r>
            <w:r>
              <w:rPr>
                <w:spacing w:val="-4"/>
                <w:sz w:val="21"/>
              </w:rPr>
              <w:t> </w:t>
            </w:r>
            <w:r>
              <w:rPr>
                <w:sz w:val="21"/>
              </w:rPr>
              <w:t>5</w:t>
            </w:r>
            <w:r>
              <w:rPr>
                <w:spacing w:val="-7"/>
                <w:sz w:val="21"/>
              </w:rPr>
              <w:t> </w:t>
            </w:r>
            <w:r>
              <w:rPr>
                <w:sz w:val="21"/>
              </w:rPr>
              <w:t>e</w:t>
            </w:r>
            <w:r>
              <w:rPr>
                <w:spacing w:val="-5"/>
                <w:sz w:val="21"/>
              </w:rPr>
              <w:t> </w:t>
            </w:r>
            <w:r>
              <w:rPr>
                <w:sz w:val="21"/>
              </w:rPr>
              <w:t>IDKA</w:t>
            </w:r>
            <w:r>
              <w:rPr>
                <w:spacing w:val="-5"/>
                <w:sz w:val="21"/>
              </w:rPr>
              <w:t> 2)</w:t>
            </w:r>
          </w:p>
        </w:tc>
        <w:tc>
          <w:tcPr>
            <w:tcW w:w="1123" w:type="dxa"/>
            <w:tcBorders>
              <w:top w:val="nil"/>
              <w:bottom w:val="nil"/>
            </w:tcBorders>
          </w:tcPr>
          <w:p>
            <w:pPr>
              <w:pStyle w:val="TableParagraph"/>
              <w:spacing w:before="72"/>
              <w:rPr>
                <w:sz w:val="21"/>
              </w:rPr>
            </w:pPr>
            <w:r>
              <w:rPr>
                <w:spacing w:val="-5"/>
                <w:sz w:val="21"/>
              </w:rPr>
              <w:t>15%</w:t>
            </w:r>
          </w:p>
        </w:tc>
      </w:tr>
      <w:tr>
        <w:trPr>
          <w:trHeight w:val="449" w:hRule="atLeast"/>
        </w:trPr>
        <w:tc>
          <w:tcPr>
            <w:tcW w:w="7566" w:type="dxa"/>
            <w:tcBorders>
              <w:top w:val="nil"/>
              <w:bottom w:val="nil"/>
            </w:tcBorders>
          </w:tcPr>
          <w:p>
            <w:pPr>
              <w:pStyle w:val="TableParagraph"/>
              <w:spacing w:before="84"/>
              <w:ind w:left="114"/>
              <w:rPr>
                <w:sz w:val="21"/>
              </w:rPr>
            </w:pPr>
            <w:r>
              <w:rPr>
                <w:sz w:val="21"/>
              </w:rPr>
              <w:t>Curto</w:t>
            </w:r>
            <w:r>
              <w:rPr>
                <w:spacing w:val="-7"/>
                <w:sz w:val="21"/>
              </w:rPr>
              <w:t> </w:t>
            </w:r>
            <w:r>
              <w:rPr>
                <w:sz w:val="21"/>
              </w:rPr>
              <w:t>Prazo</w:t>
            </w:r>
            <w:r>
              <w:rPr>
                <w:spacing w:val="-2"/>
                <w:sz w:val="21"/>
              </w:rPr>
              <w:t> </w:t>
            </w:r>
            <w:r>
              <w:rPr>
                <w:sz w:val="21"/>
              </w:rPr>
              <w:t>(CDI,</w:t>
            </w:r>
            <w:r>
              <w:rPr>
                <w:spacing w:val="-4"/>
                <w:sz w:val="21"/>
              </w:rPr>
              <w:t> </w:t>
            </w:r>
            <w:r>
              <w:rPr>
                <w:sz w:val="21"/>
              </w:rPr>
              <w:t>IRF-M</w:t>
            </w:r>
            <w:r>
              <w:rPr>
                <w:spacing w:val="-7"/>
                <w:sz w:val="21"/>
              </w:rPr>
              <w:t> </w:t>
            </w:r>
            <w:r>
              <w:rPr>
                <w:spacing w:val="-5"/>
                <w:sz w:val="21"/>
              </w:rPr>
              <w:t>1)</w:t>
            </w:r>
          </w:p>
        </w:tc>
        <w:tc>
          <w:tcPr>
            <w:tcW w:w="1123" w:type="dxa"/>
            <w:tcBorders>
              <w:top w:val="nil"/>
              <w:bottom w:val="nil"/>
            </w:tcBorders>
          </w:tcPr>
          <w:p>
            <w:pPr>
              <w:pStyle w:val="TableParagraph"/>
              <w:spacing w:before="68"/>
              <w:rPr>
                <w:sz w:val="22"/>
              </w:rPr>
            </w:pPr>
            <w:r>
              <w:rPr>
                <w:spacing w:val="-5"/>
                <w:sz w:val="22"/>
              </w:rPr>
              <w:t>10%</w:t>
            </w:r>
          </w:p>
        </w:tc>
      </w:tr>
      <w:tr>
        <w:trPr>
          <w:trHeight w:val="452" w:hRule="atLeast"/>
        </w:trPr>
        <w:tc>
          <w:tcPr>
            <w:tcW w:w="7566" w:type="dxa"/>
            <w:tcBorders>
              <w:top w:val="nil"/>
              <w:bottom w:val="nil"/>
            </w:tcBorders>
          </w:tcPr>
          <w:p>
            <w:pPr>
              <w:pStyle w:val="TableParagraph"/>
              <w:spacing w:before="70"/>
              <w:ind w:left="114"/>
              <w:rPr>
                <w:sz w:val="21"/>
              </w:rPr>
            </w:pPr>
            <w:r>
              <w:rPr>
                <w:sz w:val="21"/>
              </w:rPr>
              <w:t>Títulos</w:t>
            </w:r>
            <w:r>
              <w:rPr>
                <w:spacing w:val="-8"/>
                <w:sz w:val="21"/>
              </w:rPr>
              <w:t> </w:t>
            </w:r>
            <w:r>
              <w:rPr>
                <w:sz w:val="21"/>
              </w:rPr>
              <w:t>Privados</w:t>
            </w:r>
            <w:r>
              <w:rPr>
                <w:spacing w:val="-7"/>
                <w:sz w:val="21"/>
              </w:rPr>
              <w:t> </w:t>
            </w:r>
            <w:r>
              <w:rPr>
                <w:sz w:val="21"/>
              </w:rPr>
              <w:t>(Letra</w:t>
            </w:r>
            <w:r>
              <w:rPr>
                <w:spacing w:val="-9"/>
                <w:sz w:val="21"/>
              </w:rPr>
              <w:t> </w:t>
            </w:r>
            <w:r>
              <w:rPr>
                <w:sz w:val="21"/>
              </w:rPr>
              <w:t>financeira</w:t>
            </w:r>
            <w:r>
              <w:rPr>
                <w:spacing w:val="-4"/>
                <w:sz w:val="21"/>
              </w:rPr>
              <w:t> </w:t>
            </w:r>
            <w:r>
              <w:rPr>
                <w:sz w:val="21"/>
              </w:rPr>
              <w:t>e</w:t>
            </w:r>
            <w:r>
              <w:rPr>
                <w:spacing w:val="-8"/>
                <w:sz w:val="21"/>
              </w:rPr>
              <w:t> </w:t>
            </w:r>
            <w:r>
              <w:rPr>
                <w:spacing w:val="-4"/>
                <w:sz w:val="21"/>
              </w:rPr>
              <w:t>CDB)</w:t>
            </w:r>
          </w:p>
        </w:tc>
        <w:tc>
          <w:tcPr>
            <w:tcW w:w="1123" w:type="dxa"/>
            <w:tcBorders>
              <w:top w:val="nil"/>
              <w:bottom w:val="nil"/>
            </w:tcBorders>
          </w:tcPr>
          <w:p>
            <w:pPr>
              <w:pStyle w:val="TableParagraph"/>
              <w:spacing w:before="67"/>
              <w:rPr>
                <w:sz w:val="22"/>
              </w:rPr>
            </w:pPr>
            <w:r>
              <w:rPr>
                <w:spacing w:val="-5"/>
                <w:sz w:val="22"/>
              </w:rPr>
              <w:t>10%</w:t>
            </w:r>
          </w:p>
        </w:tc>
      </w:tr>
      <w:tr>
        <w:trPr>
          <w:trHeight w:val="444" w:hRule="atLeast"/>
        </w:trPr>
        <w:tc>
          <w:tcPr>
            <w:tcW w:w="7566" w:type="dxa"/>
            <w:tcBorders>
              <w:top w:val="nil"/>
              <w:bottom w:val="nil"/>
            </w:tcBorders>
          </w:tcPr>
          <w:p>
            <w:pPr>
              <w:pStyle w:val="TableParagraph"/>
              <w:spacing w:before="78"/>
              <w:ind w:left="114"/>
              <w:rPr>
                <w:b/>
                <w:sz w:val="21"/>
              </w:rPr>
            </w:pPr>
            <w:r>
              <w:rPr>
                <w:b/>
                <w:sz w:val="21"/>
                <w:u w:val="single"/>
              </w:rPr>
              <w:t>Renda</w:t>
            </w:r>
            <w:r>
              <w:rPr>
                <w:b/>
                <w:spacing w:val="-6"/>
                <w:sz w:val="21"/>
                <w:u w:val="single"/>
              </w:rPr>
              <w:t> </w:t>
            </w:r>
            <w:r>
              <w:rPr>
                <w:b/>
                <w:spacing w:val="-2"/>
                <w:sz w:val="21"/>
                <w:u w:val="single"/>
              </w:rPr>
              <w:t>Variáve</w:t>
            </w:r>
            <w:r>
              <w:rPr>
                <w:b/>
                <w:spacing w:val="-2"/>
                <w:sz w:val="21"/>
              </w:rPr>
              <w:t>l</w:t>
            </w:r>
          </w:p>
        </w:tc>
        <w:tc>
          <w:tcPr>
            <w:tcW w:w="1123" w:type="dxa"/>
            <w:tcBorders>
              <w:top w:val="nil"/>
              <w:bottom w:val="nil"/>
            </w:tcBorders>
          </w:tcPr>
          <w:p>
            <w:pPr>
              <w:pStyle w:val="TableParagraph"/>
              <w:spacing w:before="78"/>
              <w:rPr>
                <w:b/>
                <w:sz w:val="21"/>
              </w:rPr>
            </w:pPr>
            <w:r>
              <w:rPr>
                <w:b/>
                <w:spacing w:val="-5"/>
                <w:sz w:val="21"/>
              </w:rPr>
              <w:t>40%</w:t>
            </w:r>
          </w:p>
        </w:tc>
      </w:tr>
      <w:tr>
        <w:trPr>
          <w:trHeight w:val="448" w:hRule="atLeast"/>
        </w:trPr>
        <w:tc>
          <w:tcPr>
            <w:tcW w:w="7566" w:type="dxa"/>
            <w:tcBorders>
              <w:top w:val="nil"/>
              <w:bottom w:val="nil"/>
            </w:tcBorders>
          </w:tcPr>
          <w:p>
            <w:pPr>
              <w:pStyle w:val="TableParagraph"/>
              <w:spacing w:before="81"/>
              <w:ind w:left="114"/>
              <w:rPr>
                <w:sz w:val="21"/>
              </w:rPr>
            </w:pPr>
            <w:r>
              <w:rPr>
                <w:sz w:val="21"/>
              </w:rPr>
              <w:t>Fundos</w:t>
            </w:r>
            <w:r>
              <w:rPr>
                <w:spacing w:val="-5"/>
                <w:sz w:val="21"/>
              </w:rPr>
              <w:t> </w:t>
            </w:r>
            <w:r>
              <w:rPr>
                <w:sz w:val="21"/>
              </w:rPr>
              <w:t>de</w:t>
            </w:r>
            <w:r>
              <w:rPr>
                <w:spacing w:val="-8"/>
                <w:sz w:val="21"/>
              </w:rPr>
              <w:t> </w:t>
            </w:r>
            <w:r>
              <w:rPr>
                <w:spacing w:val="-2"/>
                <w:sz w:val="21"/>
              </w:rPr>
              <w:t>Ações</w:t>
            </w:r>
          </w:p>
        </w:tc>
        <w:tc>
          <w:tcPr>
            <w:tcW w:w="1123" w:type="dxa"/>
            <w:tcBorders>
              <w:top w:val="nil"/>
              <w:bottom w:val="nil"/>
            </w:tcBorders>
          </w:tcPr>
          <w:p>
            <w:pPr>
              <w:pStyle w:val="TableParagraph"/>
              <w:spacing w:before="69"/>
              <w:rPr>
                <w:sz w:val="22"/>
              </w:rPr>
            </w:pPr>
            <w:r>
              <w:rPr>
                <w:spacing w:val="-5"/>
                <w:sz w:val="22"/>
              </w:rPr>
              <w:t>30%</w:t>
            </w:r>
          </w:p>
        </w:tc>
      </w:tr>
      <w:tr>
        <w:trPr>
          <w:trHeight w:val="452" w:hRule="atLeast"/>
        </w:trPr>
        <w:tc>
          <w:tcPr>
            <w:tcW w:w="7566" w:type="dxa"/>
            <w:tcBorders>
              <w:top w:val="nil"/>
              <w:bottom w:val="nil"/>
            </w:tcBorders>
          </w:tcPr>
          <w:p>
            <w:pPr>
              <w:pStyle w:val="TableParagraph"/>
              <w:spacing w:before="85"/>
              <w:ind w:left="114"/>
              <w:rPr>
                <w:sz w:val="21"/>
              </w:rPr>
            </w:pPr>
            <w:r>
              <w:rPr>
                <w:spacing w:val="-2"/>
                <w:sz w:val="21"/>
              </w:rPr>
              <w:t>Multimercados</w:t>
            </w:r>
          </w:p>
        </w:tc>
        <w:tc>
          <w:tcPr>
            <w:tcW w:w="1123" w:type="dxa"/>
            <w:tcBorders>
              <w:top w:val="nil"/>
              <w:bottom w:val="nil"/>
            </w:tcBorders>
          </w:tcPr>
          <w:p>
            <w:pPr>
              <w:pStyle w:val="TableParagraph"/>
              <w:rPr>
                <w:sz w:val="22"/>
              </w:rPr>
            </w:pPr>
            <w:r>
              <w:rPr>
                <w:spacing w:val="-5"/>
                <w:sz w:val="22"/>
              </w:rPr>
              <w:t>5%</w:t>
            </w:r>
          </w:p>
        </w:tc>
      </w:tr>
      <w:tr>
        <w:trPr>
          <w:trHeight w:val="448" w:hRule="atLeast"/>
        </w:trPr>
        <w:tc>
          <w:tcPr>
            <w:tcW w:w="7566" w:type="dxa"/>
            <w:tcBorders>
              <w:top w:val="nil"/>
              <w:bottom w:val="nil"/>
            </w:tcBorders>
          </w:tcPr>
          <w:p>
            <w:pPr>
              <w:pStyle w:val="TableParagraph"/>
              <w:spacing w:before="82"/>
              <w:ind w:left="114"/>
              <w:rPr>
                <w:sz w:val="21"/>
              </w:rPr>
            </w:pPr>
            <w:r>
              <w:rPr>
                <w:sz w:val="21"/>
              </w:rPr>
              <w:t>Fundos</w:t>
            </w:r>
            <w:r>
              <w:rPr>
                <w:spacing w:val="-7"/>
                <w:sz w:val="21"/>
              </w:rPr>
              <w:t> </w:t>
            </w:r>
            <w:r>
              <w:rPr>
                <w:sz w:val="21"/>
              </w:rPr>
              <w:t>de</w:t>
            </w:r>
            <w:r>
              <w:rPr>
                <w:spacing w:val="-10"/>
                <w:sz w:val="21"/>
              </w:rPr>
              <w:t> </w:t>
            </w:r>
            <w:r>
              <w:rPr>
                <w:sz w:val="21"/>
              </w:rPr>
              <w:t>Participações</w:t>
            </w:r>
            <w:r>
              <w:rPr>
                <w:spacing w:val="-7"/>
                <w:sz w:val="21"/>
              </w:rPr>
              <w:t> </w:t>
            </w:r>
            <w:r>
              <w:rPr>
                <w:spacing w:val="-10"/>
                <w:sz w:val="21"/>
              </w:rPr>
              <w:t>*</w:t>
            </w:r>
          </w:p>
        </w:tc>
        <w:tc>
          <w:tcPr>
            <w:tcW w:w="1123" w:type="dxa"/>
            <w:tcBorders>
              <w:top w:val="nil"/>
              <w:bottom w:val="nil"/>
            </w:tcBorders>
          </w:tcPr>
          <w:p>
            <w:pPr>
              <w:pStyle w:val="TableParagraph"/>
              <w:spacing w:before="70"/>
              <w:rPr>
                <w:sz w:val="22"/>
              </w:rPr>
            </w:pPr>
            <w:r>
              <w:rPr>
                <w:spacing w:val="-4"/>
                <w:sz w:val="22"/>
              </w:rPr>
              <w:t>2,5%</w:t>
            </w:r>
          </w:p>
        </w:tc>
      </w:tr>
      <w:tr>
        <w:trPr>
          <w:trHeight w:val="450" w:hRule="atLeast"/>
        </w:trPr>
        <w:tc>
          <w:tcPr>
            <w:tcW w:w="7566" w:type="dxa"/>
            <w:tcBorders>
              <w:top w:val="nil"/>
              <w:bottom w:val="nil"/>
            </w:tcBorders>
          </w:tcPr>
          <w:p>
            <w:pPr>
              <w:pStyle w:val="TableParagraph"/>
              <w:spacing w:before="79"/>
              <w:ind w:left="114"/>
              <w:rPr>
                <w:sz w:val="21"/>
              </w:rPr>
            </w:pPr>
            <w:r>
              <w:rPr>
                <w:sz w:val="21"/>
              </w:rPr>
              <w:t>Fundos</w:t>
            </w:r>
            <w:r>
              <w:rPr>
                <w:spacing w:val="-10"/>
                <w:sz w:val="21"/>
              </w:rPr>
              <w:t> </w:t>
            </w:r>
            <w:r>
              <w:rPr>
                <w:sz w:val="21"/>
              </w:rPr>
              <w:t>Imobiliários</w:t>
            </w:r>
            <w:r>
              <w:rPr>
                <w:spacing w:val="-8"/>
                <w:sz w:val="21"/>
              </w:rPr>
              <w:t> </w:t>
            </w:r>
            <w:r>
              <w:rPr>
                <w:spacing w:val="-10"/>
                <w:sz w:val="21"/>
              </w:rPr>
              <w:t>*</w:t>
            </w:r>
          </w:p>
        </w:tc>
        <w:tc>
          <w:tcPr>
            <w:tcW w:w="1123" w:type="dxa"/>
            <w:tcBorders>
              <w:top w:val="nil"/>
              <w:bottom w:val="nil"/>
            </w:tcBorders>
          </w:tcPr>
          <w:p>
            <w:pPr>
              <w:pStyle w:val="TableParagraph"/>
              <w:spacing w:before="70"/>
              <w:rPr>
                <w:sz w:val="22"/>
              </w:rPr>
            </w:pPr>
            <w:r>
              <w:rPr>
                <w:spacing w:val="-4"/>
                <w:sz w:val="22"/>
              </w:rPr>
              <w:t>2,5%</w:t>
            </w:r>
          </w:p>
        </w:tc>
      </w:tr>
      <w:tr>
        <w:trPr>
          <w:trHeight w:val="445" w:hRule="atLeast"/>
        </w:trPr>
        <w:tc>
          <w:tcPr>
            <w:tcW w:w="7566" w:type="dxa"/>
            <w:tcBorders>
              <w:top w:val="nil"/>
              <w:bottom w:val="nil"/>
            </w:tcBorders>
          </w:tcPr>
          <w:p>
            <w:pPr>
              <w:pStyle w:val="TableParagraph"/>
              <w:spacing w:before="88"/>
              <w:ind w:left="114"/>
              <w:rPr>
                <w:b/>
                <w:sz w:val="21"/>
              </w:rPr>
            </w:pPr>
            <w:r>
              <w:rPr>
                <w:b/>
                <w:sz w:val="21"/>
                <w:u w:val="single"/>
              </w:rPr>
              <w:t>Investimento</w:t>
            </w:r>
            <w:r>
              <w:rPr>
                <w:b/>
                <w:spacing w:val="-8"/>
                <w:sz w:val="21"/>
                <w:u w:val="single"/>
              </w:rPr>
              <w:t> </w:t>
            </w:r>
            <w:r>
              <w:rPr>
                <w:b/>
                <w:sz w:val="21"/>
                <w:u w:val="single"/>
              </w:rPr>
              <w:t>no</w:t>
            </w:r>
            <w:r>
              <w:rPr>
                <w:b/>
                <w:spacing w:val="-7"/>
                <w:sz w:val="21"/>
                <w:u w:val="single"/>
              </w:rPr>
              <w:t> </w:t>
            </w:r>
            <w:r>
              <w:rPr>
                <w:b/>
                <w:spacing w:val="-2"/>
                <w:sz w:val="21"/>
                <w:u w:val="single"/>
              </w:rPr>
              <w:t>Exterior</w:t>
            </w:r>
          </w:p>
        </w:tc>
        <w:tc>
          <w:tcPr>
            <w:tcW w:w="1123" w:type="dxa"/>
            <w:tcBorders>
              <w:top w:val="nil"/>
              <w:bottom w:val="nil"/>
            </w:tcBorders>
          </w:tcPr>
          <w:p>
            <w:pPr>
              <w:pStyle w:val="TableParagraph"/>
              <w:spacing w:before="73"/>
              <w:rPr>
                <w:b/>
                <w:sz w:val="21"/>
              </w:rPr>
            </w:pPr>
            <w:r>
              <w:rPr>
                <w:b/>
                <w:spacing w:val="-5"/>
                <w:sz w:val="21"/>
              </w:rPr>
              <w:t>10%</w:t>
            </w:r>
          </w:p>
        </w:tc>
      </w:tr>
      <w:tr>
        <w:trPr>
          <w:trHeight w:val="444" w:hRule="atLeast"/>
        </w:trPr>
        <w:tc>
          <w:tcPr>
            <w:tcW w:w="7566" w:type="dxa"/>
            <w:tcBorders>
              <w:top w:val="nil"/>
              <w:bottom w:val="nil"/>
            </w:tcBorders>
          </w:tcPr>
          <w:p>
            <w:pPr>
              <w:pStyle w:val="TableParagraph"/>
              <w:spacing w:before="80"/>
              <w:ind w:left="114"/>
              <w:rPr>
                <w:sz w:val="21"/>
              </w:rPr>
            </w:pPr>
            <w:r>
              <w:rPr>
                <w:sz w:val="21"/>
              </w:rPr>
              <w:t>Fundos</w:t>
            </w:r>
            <w:r>
              <w:rPr>
                <w:spacing w:val="-9"/>
                <w:sz w:val="21"/>
              </w:rPr>
              <w:t> </w:t>
            </w:r>
            <w:r>
              <w:rPr>
                <w:sz w:val="21"/>
              </w:rPr>
              <w:t>de</w:t>
            </w:r>
            <w:r>
              <w:rPr>
                <w:spacing w:val="-7"/>
                <w:sz w:val="21"/>
              </w:rPr>
              <w:t> </w:t>
            </w:r>
            <w:r>
              <w:rPr>
                <w:sz w:val="21"/>
              </w:rPr>
              <w:t>Investimentos</w:t>
            </w:r>
            <w:r>
              <w:rPr>
                <w:spacing w:val="-9"/>
                <w:sz w:val="21"/>
              </w:rPr>
              <w:t> </w:t>
            </w:r>
            <w:r>
              <w:rPr>
                <w:sz w:val="21"/>
              </w:rPr>
              <w:t>no</w:t>
            </w:r>
            <w:r>
              <w:rPr>
                <w:spacing w:val="-12"/>
                <w:sz w:val="21"/>
              </w:rPr>
              <w:t> </w:t>
            </w:r>
            <w:r>
              <w:rPr>
                <w:sz w:val="21"/>
              </w:rPr>
              <w:t>Exterior</w:t>
            </w:r>
            <w:r>
              <w:rPr>
                <w:spacing w:val="-7"/>
                <w:sz w:val="21"/>
              </w:rPr>
              <w:t> </w:t>
            </w:r>
            <w:r>
              <w:rPr>
                <w:spacing w:val="-2"/>
                <w:sz w:val="21"/>
              </w:rPr>
              <w:t>(Hedge)</w:t>
            </w:r>
          </w:p>
        </w:tc>
        <w:tc>
          <w:tcPr>
            <w:tcW w:w="1123" w:type="dxa"/>
            <w:tcBorders>
              <w:top w:val="nil"/>
              <w:bottom w:val="nil"/>
            </w:tcBorders>
          </w:tcPr>
          <w:p>
            <w:pPr>
              <w:pStyle w:val="TableParagraph"/>
              <w:spacing w:before="60"/>
              <w:rPr>
                <w:sz w:val="22"/>
              </w:rPr>
            </w:pPr>
            <w:r>
              <w:rPr>
                <w:spacing w:val="-5"/>
                <w:sz w:val="22"/>
              </w:rPr>
              <w:t>5%</w:t>
            </w:r>
          </w:p>
        </w:tc>
      </w:tr>
      <w:tr>
        <w:trPr>
          <w:trHeight w:val="519" w:hRule="atLeast"/>
        </w:trPr>
        <w:tc>
          <w:tcPr>
            <w:tcW w:w="7566" w:type="dxa"/>
            <w:tcBorders>
              <w:top w:val="nil"/>
            </w:tcBorders>
          </w:tcPr>
          <w:p>
            <w:pPr>
              <w:pStyle w:val="TableParagraph"/>
              <w:spacing w:before="70"/>
              <w:ind w:left="114"/>
              <w:rPr>
                <w:sz w:val="21"/>
              </w:rPr>
            </w:pPr>
            <w:r>
              <w:rPr>
                <w:sz w:val="21"/>
              </w:rPr>
              <w:t>Fundos</w:t>
            </w:r>
            <w:r>
              <w:rPr>
                <w:spacing w:val="-6"/>
                <w:sz w:val="21"/>
              </w:rPr>
              <w:t> </w:t>
            </w:r>
            <w:r>
              <w:rPr>
                <w:sz w:val="21"/>
              </w:rPr>
              <w:t>de</w:t>
            </w:r>
            <w:r>
              <w:rPr>
                <w:spacing w:val="-6"/>
                <w:sz w:val="21"/>
              </w:rPr>
              <w:t> </w:t>
            </w:r>
            <w:r>
              <w:rPr>
                <w:sz w:val="21"/>
              </w:rPr>
              <w:t>Investimentos</w:t>
            </w:r>
            <w:r>
              <w:rPr>
                <w:spacing w:val="-10"/>
                <w:sz w:val="21"/>
              </w:rPr>
              <w:t> </w:t>
            </w:r>
            <w:r>
              <w:rPr>
                <w:sz w:val="21"/>
              </w:rPr>
              <w:t>no</w:t>
            </w:r>
            <w:r>
              <w:rPr>
                <w:spacing w:val="-11"/>
                <w:sz w:val="21"/>
              </w:rPr>
              <w:t> </w:t>
            </w:r>
            <w:r>
              <w:rPr>
                <w:spacing w:val="-2"/>
                <w:sz w:val="21"/>
              </w:rPr>
              <w:t>Exterior</w:t>
            </w:r>
          </w:p>
        </w:tc>
        <w:tc>
          <w:tcPr>
            <w:tcW w:w="1123" w:type="dxa"/>
            <w:tcBorders>
              <w:top w:val="nil"/>
            </w:tcBorders>
          </w:tcPr>
          <w:p>
            <w:pPr>
              <w:pStyle w:val="TableParagraph"/>
              <w:spacing w:before="67"/>
              <w:rPr>
                <w:sz w:val="22"/>
              </w:rPr>
            </w:pPr>
            <w:r>
              <w:rPr>
                <w:spacing w:val="-5"/>
                <w:sz w:val="22"/>
              </w:rPr>
              <w:t>5%</w:t>
            </w:r>
          </w:p>
        </w:tc>
      </w:tr>
    </w:tbl>
    <w:p>
      <w:pPr>
        <w:spacing w:line="259" w:lineRule="auto" w:before="8"/>
        <w:ind w:left="143" w:right="1335" w:firstLine="0"/>
        <w:jc w:val="left"/>
        <w:rPr>
          <w:sz w:val="20"/>
        </w:rPr>
      </w:pPr>
      <w:r>
        <w:rPr>
          <w:sz w:val="20"/>
        </w:rPr>
        <w:t>*</w:t>
      </w:r>
      <w:r>
        <w:rPr>
          <w:spacing w:val="-4"/>
          <w:sz w:val="20"/>
        </w:rPr>
        <w:t> </w:t>
      </w:r>
      <w:r>
        <w:rPr>
          <w:sz w:val="20"/>
        </w:rPr>
        <w:t>Aos</w:t>
      </w:r>
      <w:r>
        <w:rPr>
          <w:spacing w:val="-4"/>
          <w:sz w:val="20"/>
        </w:rPr>
        <w:t> </w:t>
      </w:r>
      <w:r>
        <w:rPr>
          <w:sz w:val="20"/>
        </w:rPr>
        <w:t>clientes</w:t>
      </w:r>
      <w:r>
        <w:rPr>
          <w:spacing w:val="-4"/>
          <w:sz w:val="20"/>
        </w:rPr>
        <w:t> </w:t>
      </w:r>
      <w:r>
        <w:rPr>
          <w:sz w:val="20"/>
        </w:rPr>
        <w:t>que</w:t>
      </w:r>
      <w:r>
        <w:rPr>
          <w:spacing w:val="-9"/>
          <w:sz w:val="20"/>
        </w:rPr>
        <w:t> </w:t>
      </w:r>
      <w:r>
        <w:rPr>
          <w:sz w:val="20"/>
        </w:rPr>
        <w:t>investem</w:t>
      </w:r>
      <w:r>
        <w:rPr>
          <w:spacing w:val="-8"/>
          <w:sz w:val="20"/>
        </w:rPr>
        <w:t> </w:t>
      </w:r>
      <w:r>
        <w:rPr>
          <w:sz w:val="20"/>
        </w:rPr>
        <w:t>em</w:t>
      </w:r>
      <w:r>
        <w:rPr>
          <w:spacing w:val="-6"/>
          <w:sz w:val="20"/>
        </w:rPr>
        <w:t> </w:t>
      </w:r>
      <w:r>
        <w:rPr>
          <w:sz w:val="20"/>
        </w:rPr>
        <w:t>Fundos</w:t>
      </w:r>
      <w:r>
        <w:rPr>
          <w:spacing w:val="-3"/>
          <w:sz w:val="20"/>
        </w:rPr>
        <w:t> </w:t>
      </w:r>
      <w:r>
        <w:rPr>
          <w:sz w:val="20"/>
        </w:rPr>
        <w:t>de</w:t>
      </w:r>
      <w:r>
        <w:rPr>
          <w:spacing w:val="-9"/>
          <w:sz w:val="20"/>
        </w:rPr>
        <w:t> </w:t>
      </w:r>
      <w:r>
        <w:rPr>
          <w:sz w:val="20"/>
        </w:rPr>
        <w:t>Participações</w:t>
      </w:r>
      <w:r>
        <w:rPr>
          <w:spacing w:val="-2"/>
          <w:sz w:val="20"/>
        </w:rPr>
        <w:t> </w:t>
      </w:r>
      <w:r>
        <w:rPr>
          <w:sz w:val="20"/>
        </w:rPr>
        <w:t>e</w:t>
      </w:r>
      <w:r>
        <w:rPr>
          <w:spacing w:val="-9"/>
          <w:sz w:val="20"/>
        </w:rPr>
        <w:t> </w:t>
      </w:r>
      <w:r>
        <w:rPr>
          <w:sz w:val="20"/>
        </w:rPr>
        <w:t>Fundos</w:t>
      </w:r>
      <w:r>
        <w:rPr>
          <w:spacing w:val="-3"/>
          <w:sz w:val="20"/>
        </w:rPr>
        <w:t> </w:t>
      </w:r>
      <w:r>
        <w:rPr>
          <w:sz w:val="20"/>
        </w:rPr>
        <w:t>Imobiliários</w:t>
      </w:r>
      <w:r>
        <w:rPr>
          <w:spacing w:val="-2"/>
          <w:sz w:val="20"/>
        </w:rPr>
        <w:t> </w:t>
      </w:r>
      <w:r>
        <w:rPr>
          <w:sz w:val="20"/>
        </w:rPr>
        <w:t>em</w:t>
      </w:r>
      <w:r>
        <w:rPr>
          <w:spacing w:val="-6"/>
          <w:sz w:val="20"/>
        </w:rPr>
        <w:t> </w:t>
      </w:r>
      <w:r>
        <w:rPr>
          <w:sz w:val="20"/>
        </w:rPr>
        <w:t>percentual</w:t>
      </w:r>
      <w:r>
        <w:rPr>
          <w:spacing w:val="-4"/>
          <w:sz w:val="20"/>
        </w:rPr>
        <w:t> </w:t>
      </w:r>
      <w:r>
        <w:rPr>
          <w:sz w:val="20"/>
        </w:rPr>
        <w:t>superior</w:t>
      </w:r>
      <w:r>
        <w:rPr>
          <w:spacing w:val="-9"/>
          <w:sz w:val="20"/>
        </w:rPr>
        <w:t> </w:t>
      </w:r>
      <w:r>
        <w:rPr>
          <w:sz w:val="20"/>
        </w:rPr>
        <w:t>a 2,5% em cada, reduzir a exposição aos Fundos de Ações na proporção desse excesso.</w:t>
      </w:r>
    </w:p>
    <w:p>
      <w:pPr>
        <w:spacing w:after="0" w:line="259" w:lineRule="auto"/>
        <w:jc w:val="left"/>
        <w:rPr>
          <w:sz w:val="20"/>
        </w:rPr>
        <w:sectPr>
          <w:pgSz w:w="11920" w:h="16850"/>
          <w:pgMar w:top="1880" w:bottom="280" w:left="1559" w:right="141"/>
        </w:sectPr>
      </w:pPr>
    </w:p>
    <w:p>
      <w:pPr>
        <w:pStyle w:val="BodyText"/>
        <w:spacing w:before="37"/>
        <w:ind w:right="418"/>
        <w:jc w:val="center"/>
      </w:pPr>
      <w:r>
        <w:rPr>
          <w:color w:val="0D0E0E"/>
        </w:rPr>
        <w:t>PRÓ</w:t>
      </w:r>
      <w:r>
        <w:rPr>
          <w:color w:val="0D0E0E"/>
          <w:spacing w:val="-8"/>
        </w:rPr>
        <w:t> </w:t>
      </w:r>
      <w:r>
        <w:rPr>
          <w:color w:val="0D0E0E"/>
        </w:rPr>
        <w:t>GESTÃO</w:t>
      </w:r>
      <w:r>
        <w:rPr>
          <w:color w:val="0D0E0E"/>
          <w:spacing w:val="-5"/>
        </w:rPr>
        <w:t> </w:t>
      </w:r>
      <w:r>
        <w:rPr>
          <w:color w:val="0D0E0E"/>
        </w:rPr>
        <w:t>NÍVEL</w:t>
      </w:r>
      <w:r>
        <w:rPr>
          <w:color w:val="0D0E0E"/>
          <w:spacing w:val="-6"/>
        </w:rPr>
        <w:t> </w:t>
      </w:r>
      <w:r>
        <w:rPr>
          <w:color w:val="0D0E0E"/>
          <w:spacing w:val="-10"/>
        </w:rPr>
        <w:t>3</w:t>
      </w:r>
    </w:p>
    <w:p>
      <w:pPr>
        <w:pStyle w:val="BodyText"/>
        <w:spacing w:before="181"/>
        <w:rPr>
          <w:sz w:val="20"/>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66"/>
        <w:gridCol w:w="1123"/>
      </w:tblGrid>
      <w:tr>
        <w:trPr>
          <w:trHeight w:val="436" w:hRule="atLeast"/>
        </w:trPr>
        <w:tc>
          <w:tcPr>
            <w:tcW w:w="8689" w:type="dxa"/>
            <w:gridSpan w:val="2"/>
          </w:tcPr>
          <w:p>
            <w:pPr>
              <w:pStyle w:val="TableParagraph"/>
              <w:spacing w:before="3"/>
              <w:ind w:left="450"/>
              <w:rPr>
                <w:sz w:val="21"/>
              </w:rPr>
            </w:pPr>
            <w:r>
              <w:rPr>
                <w:sz w:val="21"/>
              </w:rPr>
              <w:t>Estratégia</w:t>
            </w:r>
            <w:r>
              <w:rPr>
                <w:spacing w:val="-11"/>
                <w:sz w:val="21"/>
              </w:rPr>
              <w:t> </w:t>
            </w:r>
            <w:r>
              <w:rPr>
                <w:sz w:val="21"/>
              </w:rPr>
              <w:t>de</w:t>
            </w:r>
            <w:r>
              <w:rPr>
                <w:spacing w:val="-7"/>
                <w:sz w:val="21"/>
              </w:rPr>
              <w:t> </w:t>
            </w:r>
            <w:r>
              <w:rPr>
                <w:sz w:val="21"/>
              </w:rPr>
              <w:t>Alocação</w:t>
            </w:r>
            <w:r>
              <w:rPr>
                <w:spacing w:val="-4"/>
                <w:sz w:val="21"/>
              </w:rPr>
              <w:t> </w:t>
            </w:r>
            <w:r>
              <w:rPr>
                <w:sz w:val="21"/>
              </w:rPr>
              <w:t>dos</w:t>
            </w:r>
            <w:r>
              <w:rPr>
                <w:spacing w:val="-9"/>
                <w:sz w:val="21"/>
              </w:rPr>
              <w:t> </w:t>
            </w:r>
            <w:r>
              <w:rPr>
                <w:sz w:val="21"/>
              </w:rPr>
              <w:t>Recursos</w:t>
            </w:r>
            <w:r>
              <w:rPr>
                <w:spacing w:val="-9"/>
                <w:sz w:val="21"/>
              </w:rPr>
              <w:t> </w:t>
            </w:r>
            <w:r>
              <w:rPr>
                <w:sz w:val="21"/>
              </w:rPr>
              <w:t>no</w:t>
            </w:r>
            <w:r>
              <w:rPr>
                <w:spacing w:val="-5"/>
                <w:sz w:val="21"/>
              </w:rPr>
              <w:t> </w:t>
            </w:r>
            <w:r>
              <w:rPr>
                <w:sz w:val="21"/>
              </w:rPr>
              <w:t>Longo</w:t>
            </w:r>
            <w:r>
              <w:rPr>
                <w:spacing w:val="-8"/>
                <w:sz w:val="21"/>
              </w:rPr>
              <w:t> </w:t>
            </w:r>
            <w:r>
              <w:rPr>
                <w:sz w:val="21"/>
              </w:rPr>
              <w:t>Prazo</w:t>
            </w:r>
            <w:r>
              <w:rPr>
                <w:spacing w:val="-2"/>
                <w:sz w:val="21"/>
              </w:rPr>
              <w:t> </w:t>
            </w:r>
            <w:r>
              <w:rPr>
                <w:sz w:val="21"/>
              </w:rPr>
              <w:t>–</w:t>
            </w:r>
            <w:r>
              <w:rPr>
                <w:spacing w:val="-7"/>
                <w:sz w:val="21"/>
              </w:rPr>
              <w:t> </w:t>
            </w:r>
            <w:r>
              <w:rPr>
                <w:sz w:val="21"/>
              </w:rPr>
              <w:t>Renda</w:t>
            </w:r>
            <w:r>
              <w:rPr>
                <w:spacing w:val="-7"/>
                <w:sz w:val="21"/>
              </w:rPr>
              <w:t> </w:t>
            </w:r>
            <w:r>
              <w:rPr>
                <w:sz w:val="21"/>
              </w:rPr>
              <w:t>Fixa</w:t>
            </w:r>
            <w:r>
              <w:rPr>
                <w:spacing w:val="-6"/>
                <w:sz w:val="21"/>
              </w:rPr>
              <w:t> </w:t>
            </w:r>
            <w:r>
              <w:rPr>
                <w:sz w:val="21"/>
              </w:rPr>
              <w:t>e</w:t>
            </w:r>
            <w:r>
              <w:rPr>
                <w:spacing w:val="-7"/>
                <w:sz w:val="21"/>
              </w:rPr>
              <w:t> </w:t>
            </w:r>
            <w:r>
              <w:rPr>
                <w:spacing w:val="-2"/>
                <w:sz w:val="21"/>
              </w:rPr>
              <w:t>Variável</w:t>
            </w:r>
          </w:p>
        </w:tc>
      </w:tr>
      <w:tr>
        <w:trPr>
          <w:trHeight w:val="383" w:hRule="atLeast"/>
        </w:trPr>
        <w:tc>
          <w:tcPr>
            <w:tcW w:w="7566" w:type="dxa"/>
            <w:tcBorders>
              <w:bottom w:val="nil"/>
            </w:tcBorders>
          </w:tcPr>
          <w:p>
            <w:pPr>
              <w:pStyle w:val="TableParagraph"/>
              <w:spacing w:before="6"/>
              <w:ind w:left="114"/>
              <w:rPr>
                <w:b/>
                <w:sz w:val="21"/>
              </w:rPr>
            </w:pPr>
            <w:r>
              <w:rPr>
                <w:b/>
                <w:sz w:val="21"/>
                <w:u w:val="single"/>
              </w:rPr>
              <w:t>Renda</w:t>
            </w:r>
            <w:r>
              <w:rPr>
                <w:b/>
                <w:spacing w:val="-6"/>
                <w:sz w:val="21"/>
                <w:u w:val="single"/>
              </w:rPr>
              <w:t> </w:t>
            </w:r>
            <w:r>
              <w:rPr>
                <w:b/>
                <w:spacing w:val="-4"/>
                <w:sz w:val="21"/>
                <w:u w:val="single"/>
              </w:rPr>
              <w:t>Fixa</w:t>
            </w:r>
          </w:p>
        </w:tc>
        <w:tc>
          <w:tcPr>
            <w:tcW w:w="1123" w:type="dxa"/>
            <w:tcBorders>
              <w:bottom w:val="nil"/>
            </w:tcBorders>
          </w:tcPr>
          <w:p>
            <w:pPr>
              <w:pStyle w:val="TableParagraph"/>
              <w:spacing w:before="6"/>
              <w:rPr>
                <w:b/>
                <w:sz w:val="21"/>
              </w:rPr>
            </w:pPr>
            <w:r>
              <w:rPr>
                <w:b/>
                <w:spacing w:val="-5"/>
                <w:sz w:val="21"/>
              </w:rPr>
              <w:t>40%</w:t>
            </w:r>
          </w:p>
        </w:tc>
      </w:tr>
      <w:tr>
        <w:trPr>
          <w:trHeight w:val="450" w:hRule="atLeast"/>
        </w:trPr>
        <w:tc>
          <w:tcPr>
            <w:tcW w:w="7566" w:type="dxa"/>
            <w:tcBorders>
              <w:top w:val="nil"/>
              <w:bottom w:val="nil"/>
            </w:tcBorders>
          </w:tcPr>
          <w:p>
            <w:pPr>
              <w:pStyle w:val="TableParagraph"/>
              <w:spacing w:before="83"/>
              <w:ind w:left="114"/>
              <w:rPr>
                <w:sz w:val="21"/>
              </w:rPr>
            </w:pPr>
            <w:r>
              <w:rPr>
                <w:sz w:val="21"/>
              </w:rPr>
              <w:t>Longuíssimo</w:t>
            </w:r>
            <w:r>
              <w:rPr>
                <w:spacing w:val="-8"/>
                <w:sz w:val="21"/>
              </w:rPr>
              <w:t> </w:t>
            </w:r>
            <w:r>
              <w:rPr>
                <w:sz w:val="21"/>
              </w:rPr>
              <w:t>Prazo</w:t>
            </w:r>
            <w:r>
              <w:rPr>
                <w:spacing w:val="-7"/>
                <w:sz w:val="21"/>
              </w:rPr>
              <w:t> </w:t>
            </w:r>
            <w:r>
              <w:rPr>
                <w:sz w:val="21"/>
              </w:rPr>
              <w:t>(IMA-B</w:t>
            </w:r>
            <w:r>
              <w:rPr>
                <w:spacing w:val="-6"/>
                <w:sz w:val="21"/>
              </w:rPr>
              <w:t> </w:t>
            </w:r>
            <w:r>
              <w:rPr>
                <w:sz w:val="21"/>
              </w:rPr>
              <w:t>5+</w:t>
            </w:r>
            <w:r>
              <w:rPr>
                <w:spacing w:val="-6"/>
                <w:sz w:val="21"/>
              </w:rPr>
              <w:t> </w:t>
            </w:r>
            <w:r>
              <w:rPr>
                <w:sz w:val="21"/>
              </w:rPr>
              <w:t>e</w:t>
            </w:r>
            <w:r>
              <w:rPr>
                <w:spacing w:val="-6"/>
                <w:sz w:val="21"/>
              </w:rPr>
              <w:t> </w:t>
            </w:r>
            <w:r>
              <w:rPr>
                <w:sz w:val="21"/>
              </w:rPr>
              <w:t>IDKA</w:t>
            </w:r>
            <w:r>
              <w:rPr>
                <w:spacing w:val="-9"/>
                <w:sz w:val="21"/>
              </w:rPr>
              <w:t> </w:t>
            </w:r>
            <w:r>
              <w:rPr>
                <w:spacing w:val="-4"/>
                <w:sz w:val="21"/>
              </w:rPr>
              <w:t>20A)</w:t>
            </w:r>
          </w:p>
        </w:tc>
        <w:tc>
          <w:tcPr>
            <w:tcW w:w="1123" w:type="dxa"/>
            <w:tcBorders>
              <w:top w:val="nil"/>
              <w:bottom w:val="nil"/>
            </w:tcBorders>
          </w:tcPr>
          <w:p>
            <w:pPr>
              <w:pStyle w:val="TableParagraph"/>
              <w:spacing w:before="83"/>
              <w:rPr>
                <w:sz w:val="21"/>
              </w:rPr>
            </w:pPr>
            <w:r>
              <w:rPr>
                <w:spacing w:val="-5"/>
                <w:sz w:val="21"/>
              </w:rPr>
              <w:t>0%</w:t>
            </w:r>
          </w:p>
        </w:tc>
      </w:tr>
      <w:tr>
        <w:trPr>
          <w:trHeight w:val="442" w:hRule="atLeast"/>
        </w:trPr>
        <w:tc>
          <w:tcPr>
            <w:tcW w:w="7566" w:type="dxa"/>
            <w:tcBorders>
              <w:top w:val="nil"/>
              <w:bottom w:val="nil"/>
            </w:tcBorders>
          </w:tcPr>
          <w:p>
            <w:pPr>
              <w:pStyle w:val="TableParagraph"/>
              <w:spacing w:before="72"/>
              <w:ind w:left="114"/>
              <w:rPr>
                <w:sz w:val="21"/>
              </w:rPr>
            </w:pPr>
            <w:r>
              <w:rPr>
                <w:sz w:val="21"/>
              </w:rPr>
              <w:t>Longo</w:t>
            </w:r>
            <w:r>
              <w:rPr>
                <w:spacing w:val="-11"/>
                <w:sz w:val="21"/>
              </w:rPr>
              <w:t> </w:t>
            </w:r>
            <w:r>
              <w:rPr>
                <w:sz w:val="21"/>
              </w:rPr>
              <w:t>Prazo</w:t>
            </w:r>
            <w:r>
              <w:rPr>
                <w:spacing w:val="-9"/>
                <w:sz w:val="21"/>
              </w:rPr>
              <w:t> </w:t>
            </w:r>
            <w:r>
              <w:rPr>
                <w:sz w:val="21"/>
              </w:rPr>
              <w:t>(IMA-Geral/</w:t>
            </w:r>
            <w:r>
              <w:rPr>
                <w:spacing w:val="-7"/>
                <w:sz w:val="21"/>
              </w:rPr>
              <w:t> </w:t>
            </w:r>
            <w:r>
              <w:rPr>
                <w:sz w:val="21"/>
              </w:rPr>
              <w:t>IMA-B</w:t>
            </w:r>
            <w:r>
              <w:rPr>
                <w:spacing w:val="-9"/>
                <w:sz w:val="21"/>
              </w:rPr>
              <w:t> </w:t>
            </w:r>
            <w:r>
              <w:rPr>
                <w:sz w:val="21"/>
              </w:rPr>
              <w:t>Total</w:t>
            </w:r>
            <w:r>
              <w:rPr>
                <w:spacing w:val="-10"/>
                <w:sz w:val="21"/>
              </w:rPr>
              <w:t> </w:t>
            </w:r>
            <w:r>
              <w:rPr>
                <w:sz w:val="21"/>
              </w:rPr>
              <w:t>e</w:t>
            </w:r>
            <w:r>
              <w:rPr>
                <w:spacing w:val="-6"/>
                <w:sz w:val="21"/>
              </w:rPr>
              <w:t> </w:t>
            </w:r>
            <w:r>
              <w:rPr>
                <w:sz w:val="21"/>
              </w:rPr>
              <w:t>FIDC/</w:t>
            </w:r>
            <w:r>
              <w:rPr>
                <w:spacing w:val="-5"/>
                <w:sz w:val="21"/>
              </w:rPr>
              <w:t> </w:t>
            </w:r>
            <w:r>
              <w:rPr>
                <w:sz w:val="21"/>
              </w:rPr>
              <w:t>Crédito</w:t>
            </w:r>
            <w:r>
              <w:rPr>
                <w:spacing w:val="-9"/>
                <w:sz w:val="21"/>
              </w:rPr>
              <w:t> </w:t>
            </w:r>
            <w:r>
              <w:rPr>
                <w:sz w:val="21"/>
              </w:rPr>
              <w:t>Privado/</w:t>
            </w:r>
            <w:r>
              <w:rPr>
                <w:spacing w:val="-6"/>
                <w:sz w:val="21"/>
              </w:rPr>
              <w:t> </w:t>
            </w:r>
            <w:r>
              <w:rPr>
                <w:sz w:val="21"/>
              </w:rPr>
              <w:t>Fundo</w:t>
            </w:r>
            <w:r>
              <w:rPr>
                <w:spacing w:val="-10"/>
                <w:sz w:val="21"/>
              </w:rPr>
              <w:t> </w:t>
            </w:r>
            <w:r>
              <w:rPr>
                <w:spacing w:val="-2"/>
                <w:sz w:val="21"/>
              </w:rPr>
              <w:t>Debênture)</w:t>
            </w:r>
          </w:p>
        </w:tc>
        <w:tc>
          <w:tcPr>
            <w:tcW w:w="1123" w:type="dxa"/>
            <w:tcBorders>
              <w:top w:val="nil"/>
              <w:bottom w:val="nil"/>
            </w:tcBorders>
          </w:tcPr>
          <w:p>
            <w:pPr>
              <w:pStyle w:val="TableParagraph"/>
              <w:spacing w:before="72"/>
              <w:rPr>
                <w:sz w:val="21"/>
              </w:rPr>
            </w:pPr>
            <w:r>
              <w:rPr>
                <w:spacing w:val="-5"/>
                <w:sz w:val="21"/>
              </w:rPr>
              <w:t>10%</w:t>
            </w:r>
          </w:p>
        </w:tc>
      </w:tr>
      <w:tr>
        <w:trPr>
          <w:trHeight w:val="441" w:hRule="atLeast"/>
        </w:trPr>
        <w:tc>
          <w:tcPr>
            <w:tcW w:w="7566" w:type="dxa"/>
            <w:tcBorders>
              <w:top w:val="nil"/>
              <w:bottom w:val="nil"/>
            </w:tcBorders>
          </w:tcPr>
          <w:p>
            <w:pPr>
              <w:pStyle w:val="TableParagraph"/>
              <w:spacing w:before="76"/>
              <w:ind w:left="114"/>
              <w:rPr>
                <w:sz w:val="21"/>
              </w:rPr>
            </w:pPr>
            <w:r>
              <w:rPr>
                <w:sz w:val="21"/>
              </w:rPr>
              <w:t>Gestão</w:t>
            </w:r>
            <w:r>
              <w:rPr>
                <w:spacing w:val="-6"/>
                <w:sz w:val="21"/>
              </w:rPr>
              <w:t> </w:t>
            </w:r>
            <w:r>
              <w:rPr>
                <w:sz w:val="21"/>
              </w:rPr>
              <w:t>do</w:t>
            </w:r>
            <w:r>
              <w:rPr>
                <w:spacing w:val="-5"/>
                <w:sz w:val="21"/>
              </w:rPr>
              <w:t> </w:t>
            </w:r>
            <w:r>
              <w:rPr>
                <w:spacing w:val="-2"/>
                <w:sz w:val="21"/>
              </w:rPr>
              <w:t>Duration</w:t>
            </w:r>
          </w:p>
        </w:tc>
        <w:tc>
          <w:tcPr>
            <w:tcW w:w="1123" w:type="dxa"/>
            <w:tcBorders>
              <w:top w:val="nil"/>
              <w:bottom w:val="nil"/>
            </w:tcBorders>
          </w:tcPr>
          <w:p>
            <w:pPr>
              <w:pStyle w:val="TableParagraph"/>
              <w:spacing w:before="76"/>
              <w:rPr>
                <w:sz w:val="21"/>
              </w:rPr>
            </w:pPr>
            <w:r>
              <w:rPr>
                <w:spacing w:val="-5"/>
                <w:sz w:val="21"/>
              </w:rPr>
              <w:t>5%</w:t>
            </w:r>
          </w:p>
        </w:tc>
      </w:tr>
      <w:tr>
        <w:trPr>
          <w:trHeight w:val="435" w:hRule="atLeast"/>
        </w:trPr>
        <w:tc>
          <w:tcPr>
            <w:tcW w:w="7566" w:type="dxa"/>
            <w:tcBorders>
              <w:top w:val="nil"/>
              <w:bottom w:val="nil"/>
            </w:tcBorders>
          </w:tcPr>
          <w:p>
            <w:pPr>
              <w:pStyle w:val="TableParagraph"/>
              <w:ind w:left="114"/>
              <w:rPr>
                <w:sz w:val="21"/>
              </w:rPr>
            </w:pPr>
            <w:r>
              <w:rPr>
                <w:sz w:val="21"/>
              </w:rPr>
              <w:t>Médio</w:t>
            </w:r>
            <w:r>
              <w:rPr>
                <w:spacing w:val="-8"/>
                <w:sz w:val="21"/>
              </w:rPr>
              <w:t> </w:t>
            </w:r>
            <w:r>
              <w:rPr>
                <w:sz w:val="21"/>
              </w:rPr>
              <w:t>Prazo</w:t>
            </w:r>
            <w:r>
              <w:rPr>
                <w:spacing w:val="-3"/>
                <w:sz w:val="21"/>
              </w:rPr>
              <w:t> </w:t>
            </w:r>
            <w:r>
              <w:rPr>
                <w:sz w:val="21"/>
              </w:rPr>
              <w:t>(IMA-B</w:t>
            </w:r>
            <w:r>
              <w:rPr>
                <w:spacing w:val="-4"/>
                <w:sz w:val="21"/>
              </w:rPr>
              <w:t> </w:t>
            </w:r>
            <w:r>
              <w:rPr>
                <w:sz w:val="21"/>
              </w:rPr>
              <w:t>5</w:t>
            </w:r>
            <w:r>
              <w:rPr>
                <w:spacing w:val="-6"/>
                <w:sz w:val="21"/>
              </w:rPr>
              <w:t> </w:t>
            </w:r>
            <w:r>
              <w:rPr>
                <w:sz w:val="21"/>
              </w:rPr>
              <w:t>e</w:t>
            </w:r>
            <w:r>
              <w:rPr>
                <w:spacing w:val="-5"/>
                <w:sz w:val="21"/>
              </w:rPr>
              <w:t> </w:t>
            </w:r>
            <w:r>
              <w:rPr>
                <w:sz w:val="21"/>
              </w:rPr>
              <w:t>IDKA</w:t>
            </w:r>
            <w:r>
              <w:rPr>
                <w:spacing w:val="-5"/>
                <w:sz w:val="21"/>
              </w:rPr>
              <w:t> 2)</w:t>
            </w:r>
          </w:p>
        </w:tc>
        <w:tc>
          <w:tcPr>
            <w:tcW w:w="1123" w:type="dxa"/>
            <w:tcBorders>
              <w:top w:val="nil"/>
              <w:bottom w:val="nil"/>
            </w:tcBorders>
          </w:tcPr>
          <w:p>
            <w:pPr>
              <w:pStyle w:val="TableParagraph"/>
              <w:rPr>
                <w:sz w:val="21"/>
              </w:rPr>
            </w:pPr>
            <w:r>
              <w:rPr>
                <w:spacing w:val="-5"/>
                <w:sz w:val="21"/>
              </w:rPr>
              <w:t>10%</w:t>
            </w:r>
          </w:p>
        </w:tc>
      </w:tr>
      <w:tr>
        <w:trPr>
          <w:trHeight w:val="435" w:hRule="atLeast"/>
        </w:trPr>
        <w:tc>
          <w:tcPr>
            <w:tcW w:w="7566" w:type="dxa"/>
            <w:tcBorders>
              <w:top w:val="nil"/>
              <w:bottom w:val="nil"/>
            </w:tcBorders>
          </w:tcPr>
          <w:p>
            <w:pPr>
              <w:pStyle w:val="TableParagraph"/>
              <w:spacing w:before="70"/>
              <w:ind w:left="114"/>
              <w:rPr>
                <w:sz w:val="21"/>
              </w:rPr>
            </w:pPr>
            <w:r>
              <w:rPr>
                <w:sz w:val="21"/>
              </w:rPr>
              <w:t>Curto</w:t>
            </w:r>
            <w:r>
              <w:rPr>
                <w:spacing w:val="-8"/>
                <w:sz w:val="21"/>
              </w:rPr>
              <w:t> </w:t>
            </w:r>
            <w:r>
              <w:rPr>
                <w:sz w:val="21"/>
              </w:rPr>
              <w:t>Prazo</w:t>
            </w:r>
            <w:r>
              <w:rPr>
                <w:spacing w:val="-2"/>
                <w:sz w:val="21"/>
              </w:rPr>
              <w:t> </w:t>
            </w:r>
            <w:r>
              <w:rPr>
                <w:sz w:val="21"/>
              </w:rPr>
              <w:t>(CDI</w:t>
            </w:r>
            <w:r>
              <w:rPr>
                <w:spacing w:val="-5"/>
                <w:sz w:val="21"/>
              </w:rPr>
              <w:t> </w:t>
            </w:r>
            <w:r>
              <w:rPr>
                <w:sz w:val="21"/>
              </w:rPr>
              <w:t>e</w:t>
            </w:r>
            <w:r>
              <w:rPr>
                <w:spacing w:val="-2"/>
                <w:sz w:val="21"/>
              </w:rPr>
              <w:t> </w:t>
            </w:r>
            <w:r>
              <w:rPr>
                <w:sz w:val="21"/>
              </w:rPr>
              <w:t>IRF-M</w:t>
            </w:r>
            <w:r>
              <w:rPr>
                <w:spacing w:val="-4"/>
                <w:sz w:val="21"/>
              </w:rPr>
              <w:t> </w:t>
            </w:r>
            <w:r>
              <w:rPr>
                <w:spacing w:val="-5"/>
                <w:sz w:val="21"/>
              </w:rPr>
              <w:t>1)</w:t>
            </w:r>
          </w:p>
        </w:tc>
        <w:tc>
          <w:tcPr>
            <w:tcW w:w="1123" w:type="dxa"/>
            <w:tcBorders>
              <w:top w:val="nil"/>
              <w:bottom w:val="nil"/>
            </w:tcBorders>
          </w:tcPr>
          <w:p>
            <w:pPr>
              <w:pStyle w:val="TableParagraph"/>
              <w:spacing w:before="70"/>
              <w:rPr>
                <w:sz w:val="21"/>
              </w:rPr>
            </w:pPr>
            <w:r>
              <w:rPr>
                <w:spacing w:val="-5"/>
                <w:sz w:val="21"/>
              </w:rPr>
              <w:t>5%</w:t>
            </w:r>
          </w:p>
        </w:tc>
      </w:tr>
      <w:tr>
        <w:trPr>
          <w:trHeight w:val="440" w:hRule="atLeast"/>
        </w:trPr>
        <w:tc>
          <w:tcPr>
            <w:tcW w:w="7566" w:type="dxa"/>
            <w:tcBorders>
              <w:top w:val="nil"/>
              <w:bottom w:val="nil"/>
            </w:tcBorders>
          </w:tcPr>
          <w:p>
            <w:pPr>
              <w:pStyle w:val="TableParagraph"/>
              <w:ind w:left="114"/>
              <w:rPr>
                <w:sz w:val="21"/>
              </w:rPr>
            </w:pPr>
            <w:r>
              <w:rPr>
                <w:sz w:val="21"/>
              </w:rPr>
              <w:t>Títulos</w:t>
            </w:r>
            <w:r>
              <w:rPr>
                <w:spacing w:val="-13"/>
                <w:sz w:val="21"/>
              </w:rPr>
              <w:t> </w:t>
            </w:r>
            <w:r>
              <w:rPr>
                <w:sz w:val="21"/>
              </w:rPr>
              <w:t>Privados</w:t>
            </w:r>
            <w:r>
              <w:rPr>
                <w:spacing w:val="-7"/>
                <w:sz w:val="21"/>
              </w:rPr>
              <w:t> </w:t>
            </w:r>
            <w:r>
              <w:rPr>
                <w:sz w:val="21"/>
              </w:rPr>
              <w:t>(Letra</w:t>
            </w:r>
            <w:r>
              <w:rPr>
                <w:spacing w:val="-9"/>
                <w:sz w:val="21"/>
              </w:rPr>
              <w:t> </w:t>
            </w:r>
            <w:r>
              <w:rPr>
                <w:sz w:val="21"/>
              </w:rPr>
              <w:t>financeira</w:t>
            </w:r>
            <w:r>
              <w:rPr>
                <w:spacing w:val="-7"/>
                <w:sz w:val="21"/>
              </w:rPr>
              <w:t> </w:t>
            </w:r>
            <w:r>
              <w:rPr>
                <w:sz w:val="21"/>
              </w:rPr>
              <w:t>e</w:t>
            </w:r>
            <w:r>
              <w:rPr>
                <w:spacing w:val="-4"/>
                <w:sz w:val="21"/>
              </w:rPr>
              <w:t> </w:t>
            </w:r>
            <w:r>
              <w:rPr>
                <w:spacing w:val="-5"/>
                <w:sz w:val="21"/>
              </w:rPr>
              <w:t>CD)</w:t>
            </w:r>
          </w:p>
        </w:tc>
        <w:tc>
          <w:tcPr>
            <w:tcW w:w="1123" w:type="dxa"/>
            <w:tcBorders>
              <w:top w:val="nil"/>
              <w:bottom w:val="nil"/>
            </w:tcBorders>
          </w:tcPr>
          <w:p>
            <w:pPr>
              <w:pStyle w:val="TableParagraph"/>
              <w:rPr>
                <w:sz w:val="21"/>
              </w:rPr>
            </w:pPr>
            <w:r>
              <w:rPr>
                <w:spacing w:val="-5"/>
                <w:sz w:val="21"/>
              </w:rPr>
              <w:t>10%</w:t>
            </w:r>
          </w:p>
        </w:tc>
      </w:tr>
      <w:tr>
        <w:trPr>
          <w:trHeight w:val="446" w:hRule="atLeast"/>
        </w:trPr>
        <w:tc>
          <w:tcPr>
            <w:tcW w:w="7566" w:type="dxa"/>
            <w:tcBorders>
              <w:top w:val="nil"/>
              <w:bottom w:val="nil"/>
            </w:tcBorders>
          </w:tcPr>
          <w:p>
            <w:pPr>
              <w:pStyle w:val="TableParagraph"/>
              <w:spacing w:before="75"/>
              <w:ind w:left="114"/>
              <w:rPr>
                <w:b/>
                <w:sz w:val="21"/>
              </w:rPr>
            </w:pPr>
            <w:r>
              <w:rPr>
                <w:b/>
                <w:sz w:val="21"/>
                <w:u w:val="single"/>
              </w:rPr>
              <w:t>Renda</w:t>
            </w:r>
            <w:r>
              <w:rPr>
                <w:b/>
                <w:spacing w:val="-6"/>
                <w:sz w:val="21"/>
                <w:u w:val="single"/>
              </w:rPr>
              <w:t> </w:t>
            </w:r>
            <w:r>
              <w:rPr>
                <w:b/>
                <w:spacing w:val="-2"/>
                <w:sz w:val="21"/>
                <w:u w:val="single"/>
              </w:rPr>
              <w:t>Variáve</w:t>
            </w:r>
            <w:r>
              <w:rPr>
                <w:b/>
                <w:spacing w:val="-2"/>
                <w:sz w:val="21"/>
              </w:rPr>
              <w:t>l</w:t>
            </w:r>
          </w:p>
        </w:tc>
        <w:tc>
          <w:tcPr>
            <w:tcW w:w="1123" w:type="dxa"/>
            <w:tcBorders>
              <w:top w:val="nil"/>
              <w:bottom w:val="nil"/>
            </w:tcBorders>
          </w:tcPr>
          <w:p>
            <w:pPr>
              <w:pStyle w:val="TableParagraph"/>
              <w:spacing w:before="75"/>
              <w:rPr>
                <w:b/>
                <w:sz w:val="21"/>
              </w:rPr>
            </w:pPr>
            <w:r>
              <w:rPr>
                <w:b/>
                <w:spacing w:val="-5"/>
                <w:sz w:val="21"/>
              </w:rPr>
              <w:t>50%</w:t>
            </w:r>
          </w:p>
        </w:tc>
      </w:tr>
      <w:tr>
        <w:trPr>
          <w:trHeight w:val="449" w:hRule="atLeast"/>
        </w:trPr>
        <w:tc>
          <w:tcPr>
            <w:tcW w:w="7566" w:type="dxa"/>
            <w:tcBorders>
              <w:top w:val="nil"/>
              <w:bottom w:val="nil"/>
            </w:tcBorders>
          </w:tcPr>
          <w:p>
            <w:pPr>
              <w:pStyle w:val="TableParagraph"/>
              <w:spacing w:before="77"/>
              <w:ind w:left="114"/>
              <w:rPr>
                <w:sz w:val="21"/>
              </w:rPr>
            </w:pPr>
            <w:r>
              <w:rPr>
                <w:sz w:val="21"/>
              </w:rPr>
              <w:t>Fundos</w:t>
            </w:r>
            <w:r>
              <w:rPr>
                <w:spacing w:val="-5"/>
                <w:sz w:val="21"/>
              </w:rPr>
              <w:t> </w:t>
            </w:r>
            <w:r>
              <w:rPr>
                <w:sz w:val="21"/>
              </w:rPr>
              <w:t>de</w:t>
            </w:r>
            <w:r>
              <w:rPr>
                <w:spacing w:val="-8"/>
                <w:sz w:val="21"/>
              </w:rPr>
              <w:t> </w:t>
            </w:r>
            <w:r>
              <w:rPr>
                <w:spacing w:val="-2"/>
                <w:sz w:val="21"/>
              </w:rPr>
              <w:t>Ações</w:t>
            </w:r>
          </w:p>
        </w:tc>
        <w:tc>
          <w:tcPr>
            <w:tcW w:w="1123" w:type="dxa"/>
            <w:tcBorders>
              <w:top w:val="nil"/>
              <w:bottom w:val="nil"/>
            </w:tcBorders>
          </w:tcPr>
          <w:p>
            <w:pPr>
              <w:pStyle w:val="TableParagraph"/>
              <w:spacing w:before="77"/>
              <w:rPr>
                <w:sz w:val="21"/>
              </w:rPr>
            </w:pPr>
            <w:r>
              <w:rPr>
                <w:spacing w:val="-5"/>
                <w:sz w:val="21"/>
              </w:rPr>
              <w:t>40%</w:t>
            </w:r>
          </w:p>
        </w:tc>
      </w:tr>
      <w:tr>
        <w:trPr>
          <w:trHeight w:val="450" w:hRule="atLeast"/>
        </w:trPr>
        <w:tc>
          <w:tcPr>
            <w:tcW w:w="7566" w:type="dxa"/>
            <w:tcBorders>
              <w:top w:val="nil"/>
              <w:bottom w:val="nil"/>
            </w:tcBorders>
          </w:tcPr>
          <w:p>
            <w:pPr>
              <w:pStyle w:val="TableParagraph"/>
              <w:spacing w:before="78"/>
              <w:ind w:left="114"/>
              <w:rPr>
                <w:sz w:val="21"/>
              </w:rPr>
            </w:pPr>
            <w:r>
              <w:rPr>
                <w:spacing w:val="-2"/>
                <w:sz w:val="21"/>
              </w:rPr>
              <w:t>Multimercados</w:t>
            </w:r>
          </w:p>
        </w:tc>
        <w:tc>
          <w:tcPr>
            <w:tcW w:w="1123" w:type="dxa"/>
            <w:tcBorders>
              <w:top w:val="nil"/>
              <w:bottom w:val="nil"/>
            </w:tcBorders>
          </w:tcPr>
          <w:p>
            <w:pPr>
              <w:pStyle w:val="TableParagraph"/>
              <w:spacing w:before="78"/>
              <w:rPr>
                <w:sz w:val="21"/>
              </w:rPr>
            </w:pPr>
            <w:r>
              <w:rPr>
                <w:spacing w:val="-5"/>
                <w:sz w:val="21"/>
              </w:rPr>
              <w:t>5%</w:t>
            </w:r>
          </w:p>
        </w:tc>
      </w:tr>
      <w:tr>
        <w:trPr>
          <w:trHeight w:val="447" w:hRule="atLeast"/>
        </w:trPr>
        <w:tc>
          <w:tcPr>
            <w:tcW w:w="7566" w:type="dxa"/>
            <w:tcBorders>
              <w:top w:val="nil"/>
              <w:bottom w:val="nil"/>
            </w:tcBorders>
          </w:tcPr>
          <w:p>
            <w:pPr>
              <w:pStyle w:val="TableParagraph"/>
              <w:spacing w:before="77"/>
              <w:ind w:left="114"/>
              <w:rPr>
                <w:sz w:val="21"/>
              </w:rPr>
            </w:pPr>
            <w:r>
              <w:rPr>
                <w:sz w:val="21"/>
              </w:rPr>
              <w:t>Fundos</w:t>
            </w:r>
            <w:r>
              <w:rPr>
                <w:spacing w:val="-7"/>
                <w:sz w:val="21"/>
              </w:rPr>
              <w:t> </w:t>
            </w:r>
            <w:r>
              <w:rPr>
                <w:sz w:val="21"/>
              </w:rPr>
              <w:t>de</w:t>
            </w:r>
            <w:r>
              <w:rPr>
                <w:spacing w:val="-10"/>
                <w:sz w:val="21"/>
              </w:rPr>
              <w:t> </w:t>
            </w:r>
            <w:r>
              <w:rPr>
                <w:sz w:val="21"/>
              </w:rPr>
              <w:t>Participações</w:t>
            </w:r>
            <w:r>
              <w:rPr>
                <w:spacing w:val="-7"/>
                <w:sz w:val="21"/>
              </w:rPr>
              <w:t> </w:t>
            </w:r>
            <w:r>
              <w:rPr>
                <w:spacing w:val="-10"/>
                <w:sz w:val="21"/>
              </w:rPr>
              <w:t>*</w:t>
            </w:r>
          </w:p>
        </w:tc>
        <w:tc>
          <w:tcPr>
            <w:tcW w:w="1123" w:type="dxa"/>
            <w:tcBorders>
              <w:top w:val="nil"/>
              <w:bottom w:val="nil"/>
            </w:tcBorders>
          </w:tcPr>
          <w:p>
            <w:pPr>
              <w:pStyle w:val="TableParagraph"/>
              <w:spacing w:before="77"/>
              <w:rPr>
                <w:sz w:val="21"/>
              </w:rPr>
            </w:pPr>
            <w:r>
              <w:rPr>
                <w:spacing w:val="-4"/>
                <w:sz w:val="21"/>
              </w:rPr>
              <w:t>2,5%</w:t>
            </w:r>
          </w:p>
        </w:tc>
      </w:tr>
      <w:tr>
        <w:trPr>
          <w:trHeight w:val="445" w:hRule="atLeast"/>
        </w:trPr>
        <w:tc>
          <w:tcPr>
            <w:tcW w:w="7566" w:type="dxa"/>
            <w:tcBorders>
              <w:top w:val="nil"/>
              <w:bottom w:val="nil"/>
            </w:tcBorders>
          </w:tcPr>
          <w:p>
            <w:pPr>
              <w:pStyle w:val="TableParagraph"/>
              <w:spacing w:before="76"/>
              <w:ind w:left="114"/>
              <w:rPr>
                <w:sz w:val="21"/>
              </w:rPr>
            </w:pPr>
            <w:r>
              <w:rPr>
                <w:sz w:val="21"/>
              </w:rPr>
              <w:t>Fundos</w:t>
            </w:r>
            <w:r>
              <w:rPr>
                <w:spacing w:val="-10"/>
                <w:sz w:val="21"/>
              </w:rPr>
              <w:t> </w:t>
            </w:r>
            <w:r>
              <w:rPr>
                <w:sz w:val="21"/>
              </w:rPr>
              <w:t>Imobiliários</w:t>
            </w:r>
            <w:r>
              <w:rPr>
                <w:spacing w:val="-9"/>
                <w:sz w:val="21"/>
              </w:rPr>
              <w:t> </w:t>
            </w:r>
            <w:r>
              <w:rPr>
                <w:spacing w:val="-10"/>
                <w:sz w:val="21"/>
              </w:rPr>
              <w:t>*</w:t>
            </w:r>
          </w:p>
        </w:tc>
        <w:tc>
          <w:tcPr>
            <w:tcW w:w="1123" w:type="dxa"/>
            <w:tcBorders>
              <w:top w:val="nil"/>
              <w:bottom w:val="nil"/>
            </w:tcBorders>
          </w:tcPr>
          <w:p>
            <w:pPr>
              <w:pStyle w:val="TableParagraph"/>
              <w:spacing w:before="76"/>
              <w:rPr>
                <w:sz w:val="21"/>
              </w:rPr>
            </w:pPr>
            <w:r>
              <w:rPr>
                <w:spacing w:val="-4"/>
                <w:sz w:val="21"/>
              </w:rPr>
              <w:t>2,5%</w:t>
            </w:r>
          </w:p>
        </w:tc>
      </w:tr>
      <w:tr>
        <w:trPr>
          <w:trHeight w:val="440" w:hRule="atLeast"/>
        </w:trPr>
        <w:tc>
          <w:tcPr>
            <w:tcW w:w="7566" w:type="dxa"/>
            <w:tcBorders>
              <w:top w:val="nil"/>
              <w:bottom w:val="nil"/>
            </w:tcBorders>
          </w:tcPr>
          <w:p>
            <w:pPr>
              <w:pStyle w:val="TableParagraph"/>
              <w:spacing w:before="75"/>
              <w:ind w:left="114"/>
              <w:rPr>
                <w:b/>
                <w:sz w:val="21"/>
              </w:rPr>
            </w:pPr>
            <w:r>
              <w:rPr>
                <w:b/>
                <w:sz w:val="21"/>
                <w:u w:val="single"/>
              </w:rPr>
              <w:t>Investimento</w:t>
            </w:r>
            <w:r>
              <w:rPr>
                <w:b/>
                <w:spacing w:val="-8"/>
                <w:sz w:val="21"/>
                <w:u w:val="single"/>
              </w:rPr>
              <w:t> </w:t>
            </w:r>
            <w:r>
              <w:rPr>
                <w:b/>
                <w:sz w:val="21"/>
                <w:u w:val="single"/>
              </w:rPr>
              <w:t>no</w:t>
            </w:r>
            <w:r>
              <w:rPr>
                <w:b/>
                <w:spacing w:val="-7"/>
                <w:sz w:val="21"/>
                <w:u w:val="single"/>
              </w:rPr>
              <w:t> </w:t>
            </w:r>
            <w:r>
              <w:rPr>
                <w:b/>
                <w:spacing w:val="-2"/>
                <w:sz w:val="21"/>
                <w:u w:val="single"/>
              </w:rPr>
              <w:t>Exterior</w:t>
            </w:r>
          </w:p>
        </w:tc>
        <w:tc>
          <w:tcPr>
            <w:tcW w:w="1123" w:type="dxa"/>
            <w:tcBorders>
              <w:top w:val="nil"/>
              <w:bottom w:val="nil"/>
            </w:tcBorders>
          </w:tcPr>
          <w:p>
            <w:pPr>
              <w:pStyle w:val="TableParagraph"/>
              <w:spacing w:before="75"/>
              <w:rPr>
                <w:b/>
                <w:sz w:val="21"/>
              </w:rPr>
            </w:pPr>
            <w:r>
              <w:rPr>
                <w:b/>
                <w:spacing w:val="-5"/>
                <w:sz w:val="21"/>
              </w:rPr>
              <w:t>10%</w:t>
            </w:r>
          </w:p>
        </w:tc>
      </w:tr>
      <w:tr>
        <w:trPr>
          <w:trHeight w:val="437" w:hRule="atLeast"/>
        </w:trPr>
        <w:tc>
          <w:tcPr>
            <w:tcW w:w="7566" w:type="dxa"/>
            <w:tcBorders>
              <w:top w:val="nil"/>
              <w:bottom w:val="nil"/>
            </w:tcBorders>
          </w:tcPr>
          <w:p>
            <w:pPr>
              <w:pStyle w:val="TableParagraph"/>
              <w:ind w:left="114"/>
              <w:rPr>
                <w:sz w:val="21"/>
              </w:rPr>
            </w:pPr>
            <w:r>
              <w:rPr>
                <w:sz w:val="21"/>
              </w:rPr>
              <w:t>Fundos</w:t>
            </w:r>
            <w:r>
              <w:rPr>
                <w:spacing w:val="-9"/>
                <w:sz w:val="21"/>
              </w:rPr>
              <w:t> </w:t>
            </w:r>
            <w:r>
              <w:rPr>
                <w:sz w:val="21"/>
              </w:rPr>
              <w:t>de</w:t>
            </w:r>
            <w:r>
              <w:rPr>
                <w:spacing w:val="-7"/>
                <w:sz w:val="21"/>
              </w:rPr>
              <w:t> </w:t>
            </w:r>
            <w:r>
              <w:rPr>
                <w:sz w:val="21"/>
              </w:rPr>
              <w:t>Investimentos</w:t>
            </w:r>
            <w:r>
              <w:rPr>
                <w:spacing w:val="-9"/>
                <w:sz w:val="21"/>
              </w:rPr>
              <w:t> </w:t>
            </w:r>
            <w:r>
              <w:rPr>
                <w:sz w:val="21"/>
              </w:rPr>
              <w:t>no</w:t>
            </w:r>
            <w:r>
              <w:rPr>
                <w:spacing w:val="-12"/>
                <w:sz w:val="21"/>
              </w:rPr>
              <w:t> </w:t>
            </w:r>
            <w:r>
              <w:rPr>
                <w:sz w:val="21"/>
              </w:rPr>
              <w:t>Exterior</w:t>
            </w:r>
            <w:r>
              <w:rPr>
                <w:spacing w:val="-7"/>
                <w:sz w:val="21"/>
              </w:rPr>
              <w:t> </w:t>
            </w:r>
            <w:r>
              <w:rPr>
                <w:spacing w:val="-2"/>
                <w:sz w:val="21"/>
              </w:rPr>
              <w:t>(Hedge)</w:t>
            </w:r>
          </w:p>
        </w:tc>
        <w:tc>
          <w:tcPr>
            <w:tcW w:w="1123" w:type="dxa"/>
            <w:tcBorders>
              <w:top w:val="nil"/>
              <w:bottom w:val="nil"/>
            </w:tcBorders>
          </w:tcPr>
          <w:p>
            <w:pPr>
              <w:pStyle w:val="TableParagraph"/>
              <w:rPr>
                <w:sz w:val="21"/>
              </w:rPr>
            </w:pPr>
            <w:r>
              <w:rPr>
                <w:spacing w:val="-5"/>
                <w:sz w:val="21"/>
              </w:rPr>
              <w:t>5%</w:t>
            </w:r>
          </w:p>
        </w:tc>
      </w:tr>
      <w:tr>
        <w:trPr>
          <w:trHeight w:val="509" w:hRule="atLeast"/>
        </w:trPr>
        <w:tc>
          <w:tcPr>
            <w:tcW w:w="7566" w:type="dxa"/>
            <w:tcBorders>
              <w:top w:val="nil"/>
            </w:tcBorders>
          </w:tcPr>
          <w:p>
            <w:pPr>
              <w:pStyle w:val="TableParagraph"/>
              <w:spacing w:before="72"/>
              <w:ind w:left="114"/>
              <w:rPr>
                <w:sz w:val="21"/>
              </w:rPr>
            </w:pPr>
            <w:r>
              <w:rPr>
                <w:sz w:val="21"/>
              </w:rPr>
              <w:t>Fundos</w:t>
            </w:r>
            <w:r>
              <w:rPr>
                <w:spacing w:val="-9"/>
                <w:sz w:val="21"/>
              </w:rPr>
              <w:t> </w:t>
            </w:r>
            <w:r>
              <w:rPr>
                <w:sz w:val="21"/>
              </w:rPr>
              <w:t>de</w:t>
            </w:r>
            <w:r>
              <w:rPr>
                <w:spacing w:val="-8"/>
                <w:sz w:val="21"/>
              </w:rPr>
              <w:t> </w:t>
            </w:r>
            <w:r>
              <w:rPr>
                <w:sz w:val="21"/>
              </w:rPr>
              <w:t>Investimentos</w:t>
            </w:r>
            <w:r>
              <w:rPr>
                <w:spacing w:val="-10"/>
                <w:sz w:val="21"/>
              </w:rPr>
              <w:t> </w:t>
            </w:r>
            <w:r>
              <w:rPr>
                <w:sz w:val="21"/>
              </w:rPr>
              <w:t>no</w:t>
            </w:r>
            <w:r>
              <w:rPr>
                <w:spacing w:val="-11"/>
                <w:sz w:val="21"/>
              </w:rPr>
              <w:t> </w:t>
            </w:r>
            <w:r>
              <w:rPr>
                <w:spacing w:val="-2"/>
                <w:sz w:val="21"/>
              </w:rPr>
              <w:t>Exterior</w:t>
            </w:r>
          </w:p>
        </w:tc>
        <w:tc>
          <w:tcPr>
            <w:tcW w:w="1123" w:type="dxa"/>
            <w:tcBorders>
              <w:top w:val="nil"/>
            </w:tcBorders>
          </w:tcPr>
          <w:p>
            <w:pPr>
              <w:pStyle w:val="TableParagraph"/>
              <w:spacing w:before="72"/>
              <w:rPr>
                <w:sz w:val="21"/>
              </w:rPr>
            </w:pPr>
            <w:r>
              <w:rPr>
                <w:spacing w:val="-5"/>
                <w:sz w:val="21"/>
              </w:rPr>
              <w:t>5%</w:t>
            </w:r>
          </w:p>
        </w:tc>
      </w:tr>
    </w:tbl>
    <w:p>
      <w:pPr>
        <w:spacing w:line="254" w:lineRule="auto" w:before="10"/>
        <w:ind w:left="102" w:right="590" w:firstLine="0"/>
        <w:jc w:val="left"/>
        <w:rPr>
          <w:sz w:val="20"/>
        </w:rPr>
      </w:pPr>
      <w:r>
        <w:rPr>
          <w:sz w:val="20"/>
        </w:rPr>
        <w:t>* Aos clientes que investem em Fundos de Participações e Fundos Imobiliários em percentual superior</w:t>
      </w:r>
      <w:r>
        <w:rPr>
          <w:spacing w:val="-9"/>
          <w:sz w:val="20"/>
        </w:rPr>
        <w:t> </w:t>
      </w:r>
      <w:r>
        <w:rPr>
          <w:sz w:val="20"/>
        </w:rPr>
        <w:t>a</w:t>
      </w:r>
      <w:r>
        <w:rPr>
          <w:spacing w:val="-3"/>
          <w:sz w:val="20"/>
        </w:rPr>
        <w:t> </w:t>
      </w:r>
      <w:r>
        <w:rPr>
          <w:sz w:val="20"/>
        </w:rPr>
        <w:t>2,5%</w:t>
      </w:r>
      <w:r>
        <w:rPr>
          <w:spacing w:val="-4"/>
          <w:sz w:val="20"/>
        </w:rPr>
        <w:t> </w:t>
      </w:r>
      <w:r>
        <w:rPr>
          <w:sz w:val="20"/>
        </w:rPr>
        <w:t>em</w:t>
      </w:r>
      <w:r>
        <w:rPr>
          <w:spacing w:val="-4"/>
          <w:sz w:val="20"/>
        </w:rPr>
        <w:t> </w:t>
      </w:r>
      <w:r>
        <w:rPr>
          <w:sz w:val="20"/>
        </w:rPr>
        <w:t>cada,</w:t>
      </w:r>
      <w:r>
        <w:rPr>
          <w:spacing w:val="-1"/>
          <w:sz w:val="20"/>
        </w:rPr>
        <w:t> </w:t>
      </w:r>
      <w:r>
        <w:rPr>
          <w:sz w:val="20"/>
        </w:rPr>
        <w:t>reduzir</w:t>
      </w:r>
      <w:r>
        <w:rPr>
          <w:spacing w:val="-5"/>
          <w:sz w:val="20"/>
        </w:rPr>
        <w:t> </w:t>
      </w:r>
      <w:r>
        <w:rPr>
          <w:sz w:val="20"/>
        </w:rPr>
        <w:t>a</w:t>
      </w:r>
      <w:r>
        <w:rPr>
          <w:spacing w:val="-3"/>
          <w:sz w:val="20"/>
        </w:rPr>
        <w:t> </w:t>
      </w:r>
      <w:r>
        <w:rPr>
          <w:sz w:val="20"/>
        </w:rPr>
        <w:t>exposição</w:t>
      </w:r>
      <w:r>
        <w:rPr>
          <w:spacing w:val="-6"/>
          <w:sz w:val="20"/>
        </w:rPr>
        <w:t> </w:t>
      </w:r>
      <w:r>
        <w:rPr>
          <w:sz w:val="20"/>
        </w:rPr>
        <w:t>aos</w:t>
      </w:r>
      <w:r>
        <w:rPr>
          <w:spacing w:val="-4"/>
          <w:sz w:val="20"/>
        </w:rPr>
        <w:t> </w:t>
      </w:r>
      <w:r>
        <w:rPr>
          <w:sz w:val="20"/>
        </w:rPr>
        <w:t>Fundos</w:t>
      </w:r>
      <w:r>
        <w:rPr>
          <w:spacing w:val="-5"/>
          <w:sz w:val="20"/>
        </w:rPr>
        <w:t> </w:t>
      </w:r>
      <w:r>
        <w:rPr>
          <w:sz w:val="20"/>
        </w:rPr>
        <w:t>de Ações</w:t>
      </w:r>
      <w:r>
        <w:rPr>
          <w:spacing w:val="-3"/>
          <w:sz w:val="20"/>
        </w:rPr>
        <w:t> </w:t>
      </w:r>
      <w:r>
        <w:rPr>
          <w:sz w:val="20"/>
        </w:rPr>
        <w:t>na</w:t>
      </w:r>
      <w:r>
        <w:rPr>
          <w:spacing w:val="-4"/>
          <w:sz w:val="20"/>
        </w:rPr>
        <w:t> </w:t>
      </w:r>
      <w:r>
        <w:rPr>
          <w:sz w:val="20"/>
        </w:rPr>
        <w:t>proporção</w:t>
      </w:r>
      <w:r>
        <w:rPr>
          <w:spacing w:val="-3"/>
          <w:sz w:val="20"/>
        </w:rPr>
        <w:t> </w:t>
      </w:r>
      <w:r>
        <w:rPr>
          <w:sz w:val="20"/>
        </w:rPr>
        <w:t>desse</w:t>
      </w:r>
      <w:r>
        <w:rPr>
          <w:spacing w:val="-1"/>
          <w:sz w:val="20"/>
        </w:rPr>
        <w:t> </w:t>
      </w:r>
      <w:r>
        <w:rPr>
          <w:sz w:val="20"/>
        </w:rPr>
        <w:t>excesso.</w:t>
      </w:r>
    </w:p>
    <w:sectPr>
      <w:pgSz w:w="11910" w:h="16840"/>
      <w:pgMar w:top="1360" w:bottom="280" w:left="1700"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 w:name="Cambria">
    <w:altName w:val="Cambr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2" w:hanging="219"/>
      </w:pPr>
      <w:rPr>
        <w:rFonts w:hint="default" w:ascii="Calibri" w:hAnsi="Calibri" w:eastAsia="Calibri" w:cs="Calibri"/>
        <w:b w:val="0"/>
        <w:bCs w:val="0"/>
        <w:i w:val="0"/>
        <w:iCs w:val="0"/>
        <w:color w:val="0D0E0E"/>
        <w:spacing w:val="0"/>
        <w:w w:val="100"/>
        <w:sz w:val="24"/>
        <w:szCs w:val="24"/>
        <w:lang w:val="pt-PT" w:eastAsia="en-US" w:bidi="ar-SA"/>
      </w:rPr>
    </w:lvl>
    <w:lvl w:ilvl="1">
      <w:start w:val="0"/>
      <w:numFmt w:val="bullet"/>
      <w:lvlText w:val="•"/>
      <w:lvlJc w:val="left"/>
      <w:pPr>
        <w:ind w:left="1057" w:hanging="219"/>
      </w:pPr>
      <w:rPr>
        <w:rFonts w:hint="default"/>
        <w:lang w:val="pt-PT" w:eastAsia="en-US" w:bidi="ar-SA"/>
      </w:rPr>
    </w:lvl>
    <w:lvl w:ilvl="2">
      <w:start w:val="0"/>
      <w:numFmt w:val="bullet"/>
      <w:lvlText w:val="•"/>
      <w:lvlJc w:val="left"/>
      <w:pPr>
        <w:ind w:left="2074" w:hanging="219"/>
      </w:pPr>
      <w:rPr>
        <w:rFonts w:hint="default"/>
        <w:lang w:val="pt-PT" w:eastAsia="en-US" w:bidi="ar-SA"/>
      </w:rPr>
    </w:lvl>
    <w:lvl w:ilvl="3">
      <w:start w:val="0"/>
      <w:numFmt w:val="bullet"/>
      <w:lvlText w:val="•"/>
      <w:lvlJc w:val="left"/>
      <w:pPr>
        <w:ind w:left="3091" w:hanging="219"/>
      </w:pPr>
      <w:rPr>
        <w:rFonts w:hint="default"/>
        <w:lang w:val="pt-PT" w:eastAsia="en-US" w:bidi="ar-SA"/>
      </w:rPr>
    </w:lvl>
    <w:lvl w:ilvl="4">
      <w:start w:val="0"/>
      <w:numFmt w:val="bullet"/>
      <w:lvlText w:val="•"/>
      <w:lvlJc w:val="left"/>
      <w:pPr>
        <w:ind w:left="4108" w:hanging="219"/>
      </w:pPr>
      <w:rPr>
        <w:rFonts w:hint="default"/>
        <w:lang w:val="pt-PT" w:eastAsia="en-US" w:bidi="ar-SA"/>
      </w:rPr>
    </w:lvl>
    <w:lvl w:ilvl="5">
      <w:start w:val="0"/>
      <w:numFmt w:val="bullet"/>
      <w:lvlText w:val="•"/>
      <w:lvlJc w:val="left"/>
      <w:pPr>
        <w:ind w:left="5125" w:hanging="219"/>
      </w:pPr>
      <w:rPr>
        <w:rFonts w:hint="default"/>
        <w:lang w:val="pt-PT" w:eastAsia="en-US" w:bidi="ar-SA"/>
      </w:rPr>
    </w:lvl>
    <w:lvl w:ilvl="6">
      <w:start w:val="0"/>
      <w:numFmt w:val="bullet"/>
      <w:lvlText w:val="•"/>
      <w:lvlJc w:val="left"/>
      <w:pPr>
        <w:ind w:left="6142" w:hanging="219"/>
      </w:pPr>
      <w:rPr>
        <w:rFonts w:hint="default"/>
        <w:lang w:val="pt-PT" w:eastAsia="en-US" w:bidi="ar-SA"/>
      </w:rPr>
    </w:lvl>
    <w:lvl w:ilvl="7">
      <w:start w:val="0"/>
      <w:numFmt w:val="bullet"/>
      <w:lvlText w:val="•"/>
      <w:lvlJc w:val="left"/>
      <w:pPr>
        <w:ind w:left="7159" w:hanging="219"/>
      </w:pPr>
      <w:rPr>
        <w:rFonts w:hint="default"/>
        <w:lang w:val="pt-PT" w:eastAsia="en-US" w:bidi="ar-SA"/>
      </w:rPr>
    </w:lvl>
    <w:lvl w:ilvl="8">
      <w:start w:val="0"/>
      <w:numFmt w:val="bullet"/>
      <w:lvlText w:val="•"/>
      <w:lvlJc w:val="left"/>
      <w:pPr>
        <w:ind w:left="8176" w:hanging="219"/>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4"/>
      <w:szCs w:val="24"/>
      <w:lang w:val="pt-PT" w:eastAsia="en-US" w:bidi="ar-SA"/>
    </w:rPr>
  </w:style>
  <w:style w:styleId="Heading1" w:type="paragraph">
    <w:name w:val="Heading 1"/>
    <w:basedOn w:val="Normal"/>
    <w:uiPriority w:val="1"/>
    <w:qFormat/>
    <w:pPr>
      <w:spacing w:before="19"/>
      <w:ind w:left="42"/>
      <w:outlineLvl w:val="1"/>
    </w:pPr>
    <w:rPr>
      <w:rFonts w:ascii="Calibri" w:hAnsi="Calibri" w:eastAsia="Calibri" w:cs="Calibri"/>
      <w:b/>
      <w:bCs/>
      <w:sz w:val="28"/>
      <w:szCs w:val="28"/>
      <w:lang w:val="pt-PT" w:eastAsia="en-US" w:bidi="ar-SA"/>
    </w:rPr>
  </w:style>
  <w:style w:styleId="Heading2" w:type="paragraph">
    <w:name w:val="Heading 2"/>
    <w:basedOn w:val="Normal"/>
    <w:uiPriority w:val="1"/>
    <w:qFormat/>
    <w:pPr>
      <w:spacing w:before="240"/>
      <w:ind w:left="42"/>
      <w:outlineLvl w:val="2"/>
    </w:pPr>
    <w:rPr>
      <w:rFonts w:ascii="Calibri" w:hAnsi="Calibri" w:eastAsia="Calibri" w:cs="Calibri"/>
      <w:sz w:val="28"/>
      <w:szCs w:val="28"/>
      <w:lang w:val="pt-PT" w:eastAsia="en-US" w:bidi="ar-SA"/>
    </w:rPr>
  </w:style>
  <w:style w:styleId="Title" w:type="paragraph">
    <w:name w:val="Title"/>
    <w:basedOn w:val="Normal"/>
    <w:uiPriority w:val="1"/>
    <w:qFormat/>
    <w:pPr>
      <w:ind w:left="3340"/>
    </w:pPr>
    <w:rPr>
      <w:rFonts w:ascii="Calibri" w:hAnsi="Calibri" w:eastAsia="Calibri" w:cs="Calibri"/>
      <w:b/>
      <w:bCs/>
      <w:sz w:val="64"/>
      <w:szCs w:val="64"/>
      <w:lang w:val="pt-PT" w:eastAsia="en-US" w:bidi="ar-SA"/>
    </w:rPr>
  </w:style>
  <w:style w:styleId="ListParagraph" w:type="paragraph">
    <w:name w:val="List Paragraph"/>
    <w:basedOn w:val="Normal"/>
    <w:uiPriority w:val="1"/>
    <w:qFormat/>
    <w:pPr>
      <w:spacing w:before="236"/>
      <w:ind w:left="42" w:right="1252" w:firstLine="707"/>
      <w:jc w:val="both"/>
    </w:pPr>
    <w:rPr>
      <w:rFonts w:ascii="Calibri" w:hAnsi="Calibri" w:eastAsia="Calibri" w:cs="Calibri"/>
      <w:lang w:val="pt-PT" w:eastAsia="en-US" w:bidi="ar-SA"/>
    </w:rPr>
  </w:style>
  <w:style w:styleId="TableParagraph" w:type="paragraph">
    <w:name w:val="Table Paragraph"/>
    <w:basedOn w:val="Normal"/>
    <w:uiPriority w:val="1"/>
    <w:qFormat/>
    <w:pPr>
      <w:spacing w:before="71"/>
      <w:ind w:left="112"/>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pn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hyperlink" Target="http://www.ecb.europa.eu/pub/projections/html/index.pt.html#%3A~%3Atext%3DS%C3%ADntese%26text%3DA%252" TargetMode="External"/><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jpeg"/><Relationship Id="rId38" Type="http://schemas.openxmlformats.org/officeDocument/2006/relationships/image" Target="media/image33.png"/><Relationship Id="rId3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2025-05-16T16:49:57Z</dcterms:created>
  <dcterms:modified xsi:type="dcterms:W3CDTF">2025-05-16T16:49:57Z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2025-05-16T00:00:00Z</vt:filetime>
  </property>
  <property fmtid="{D5CDD505-2E9C-101B-9397-08002B2CF9AE}" pid="4" name="Producer">
    <vt:lpwstr>3-Heights(TM) PDF Security Shell 4.8.25.2 (http://www.pdf-tools.com)</vt:lpwstr>
  </property>
</Properties>
</file>