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17"/>
        <w:gridCol w:w="1967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2.463.488,88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37.015.511,12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2.164.222,58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32.060.777,42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2.164.222,58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32.060.777,42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2.164.222,58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32.060.777,42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2.435,70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52.564,30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2.435,70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47.564,30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2.435,70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47.564,30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340,38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340,38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2.096.037,71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31.138.962,29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2.096.037,71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31.138.962,29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2.096.037,71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31.138.962,29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294.051,41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32.940.948,59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19.461,86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19.461,86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1.117.145,34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1.117.145,34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1.707,79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1.707,79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169,37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169,37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36.510,07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36.510,07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625.558,52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625.558,52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170,19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170,19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line="164" w:lineRule="exact"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line="164" w:lineRule="exact"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47"/>
        <w:gridCol w:w="1437"/>
        <w:gridCol w:w="2220"/>
        <w:gridCol w:w="1718"/>
        <w:gridCol w:w="1412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7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57.728,95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732.271,05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57.728,95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732.271,05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8.020,22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136.979,78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8.020,22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136.979,78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11.365,37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288.634,63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11.365,37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288.634,63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11.365,37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288.634,63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11.365,37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288.634,63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11.365,37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288.634,63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11.365,37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288.634,63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3.534,78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21.465,22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3.534,78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21.465,22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3.534,78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21.465,22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3.534,78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21.465,22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3.534,78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21.465,22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3.534,78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21.465,22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284.366,15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4.644.633,85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28.245,63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6.245,63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754,37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754,37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754,37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704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407"/>
        <w:gridCol w:w="1411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4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283.611,78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4.616.388,22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281.849,39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4.618.150,61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281.849,39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4.618.150,61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41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281.849,39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4.618.150,61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1.762,39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1.762,39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40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41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1.762,39</w:t>
            </w:r>
          </w:p>
        </w:tc>
        <w:tc>
          <w:tcPr>
            <w:tcW w:w="1801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1.762,39</w:t>
            </w:r>
          </w:p>
        </w:tc>
        <w:tc>
          <w:tcPr>
            <w:tcW w:w="1458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40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1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3" w:type="dxa"/>
          </w:tcPr>
          <w:p>
            <w:pPr>
              <w:pStyle w:val="TableParagraph"/>
              <w:spacing w:line="164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1.762,39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1.762,39</w:t>
            </w:r>
          </w:p>
        </w:tc>
        <w:tc>
          <w:tcPr>
            <w:tcW w:w="1458" w:type="dxa"/>
          </w:tcPr>
          <w:p>
            <w:pPr>
              <w:pStyle w:val="TableParagraph"/>
              <w:spacing w:line="164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1.762,39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1.762,39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2.463.488,88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1.805.678,58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38.821.189,70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30"/>
        <w:gridCol w:w="1953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8.076.908,66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74.384.091,34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74.362.891,34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74.362.891,34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8.076.108,66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5.382.731,03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5.382.731,03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38.923,68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38.923,68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2.234.290,44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2.234.290,44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3.307,93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1.251.117,04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1.251.117,04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73.020,15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73.020,15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589.102,73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589.102,73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903.893,70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903.893,70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97.654,44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191.420,92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191.420,92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2.693.377,63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2.693.377,63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2.487.371,82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2.487.371,82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64.566,61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64.566,61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141.439,20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141.439,20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653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953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7454"/>
        <w:gridCol w:w="15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4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4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71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454" w:type="dxa"/>
          </w:tcPr>
          <w:p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0" w:hRule="atLeast"/>
        </w:trPr>
        <w:tc>
          <w:tcPr>
            <w:tcW w:w="1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4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53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74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8.076.908,66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8.076.908,66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4784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4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3760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MARÇO/2018</w:t>
      </w:r>
    </w:p>
    <w:p>
      <w:pPr>
        <w:tabs>
          <w:tab w:pos="9033" w:val="left" w:leader="none"/>
          <w:tab w:pos="10968" w:val="left" w:leader="none"/>
          <w:tab w:pos="12903" w:val="left" w:leader="none"/>
          <w:tab w:pos="14568" w:val="left" w:leader="none"/>
        </w:tabs>
        <w:spacing w:before="123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361950</wp:posOffset>
                </wp:positionH>
                <wp:positionV relativeFrom="paragraph">
                  <wp:posOffset>201954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5.901953pt;width:785.25pt;height:.75pt;mso-position-horizontal-relative:page;mso-position-vertical-relative:paragraph;z-index:15734272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GERAL DA </w:t>
      </w:r>
      <w:r>
        <w:rPr>
          <w:b/>
          <w:spacing w:val="-2"/>
          <w:position w:val="3"/>
          <w:sz w:val="16"/>
        </w:rPr>
        <w:t>RECEITA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121.940.000,00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10.540.397,54</w:t>
      </w:r>
      <w:r>
        <w:rPr>
          <w:b/>
          <w:sz w:val="16"/>
        </w:rPr>
        <w:tab/>
      </w:r>
      <w:r>
        <w:rPr>
          <w:b/>
          <w:spacing w:val="-2"/>
          <w:sz w:val="16"/>
        </w:rPr>
        <w:t>9.882.587,24</w:t>
      </w:r>
      <w:r>
        <w:rPr>
          <w:b/>
          <w:sz w:val="16"/>
        </w:rPr>
        <w:tab/>
      </w:r>
      <w:r>
        <w:rPr>
          <w:b/>
          <w:spacing w:val="-2"/>
          <w:sz w:val="16"/>
        </w:rPr>
        <w:t>121.282.189,70</w:t>
      </w:r>
    </w:p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699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5948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750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9589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801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5846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5545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596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605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648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600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2025-06-23T19:46:35Z</dcterms:created>
  <dcterms:modified xsi:type="dcterms:W3CDTF">2025-06-23T19:46:35Z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