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159"/>
        <w:gridCol w:w="173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39.215.000,00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2.718.886,78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36.496.113,22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2.374.247,60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32.594.752,40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2.374.247,60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32.594.752,40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2.374.247,60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32.594.752,40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2.096,69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33.903,31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508,74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1.260,18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Contribuição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Ministério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Público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682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327,77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327,77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33.998.000,00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2.312.411,05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31.685.588,95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258.000,00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18.691,36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239.308,64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4.100.000,00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294.208,87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3.805.791,13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645.834,90</w:t>
            </w:r>
          </w:p>
        </w:tc>
        <w:tc>
          <w:tcPr>
            <w:tcW w:w="1732" w:type="dxa"/>
          </w:tcPr>
          <w:p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645.834,90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19.450.000,00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sz w:val="16"/>
              </w:rPr>
            </w:pPr>
            <w:r>
              <w:rPr>
                <w:spacing w:val="-2"/>
                <w:sz w:val="16"/>
              </w:rPr>
              <w:t>1.331.541,34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18.118.458,66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2.125,70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7.874,30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254,37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431,00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2.569,00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272.000,00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17.892,66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254.107,34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1.266,96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4.733,04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9.600.000,00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Ministério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682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163,89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163,89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51.459,50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738.540,50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145.000,00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8.280,36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136.719,64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28.925,81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571.074,19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59" w:type="dxa"/>
          </w:tcPr>
          <w:p>
            <w:pPr>
              <w:pStyle w:val="TableParagraph"/>
              <w:spacing w:line="164" w:lineRule="exact"/>
              <w:ind w:right="5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28.925,81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571.074,19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28.925,81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571.074,19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28.925,81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571.074,19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sz w:val="16"/>
              </w:rPr>
            </w:pPr>
            <w:r>
              <w:rPr>
                <w:spacing w:val="-2"/>
                <w:sz w:val="16"/>
              </w:rPr>
              <w:t>28.925,81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471.074,19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2.024,06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17.975,94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2.024,06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17.975,94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2.024,06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17.975,94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3.626.000,00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313.689,31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3.312.310,69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311.868,92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3.289.131,08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311.868,92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3.289.131,08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sz w:val="16"/>
              </w:rPr>
            </w:pPr>
            <w:r>
              <w:rPr>
                <w:spacing w:val="-2"/>
                <w:sz w:val="16"/>
              </w:rPr>
              <w:t>311.269,13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3.288.730,87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599,79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400,21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599,79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400,21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599,79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400,21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1.820,39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18.179,61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1.820,39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18.179,61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1.820,39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18.179,61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2.718.886,78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646.326,56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37.142.439,78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5.150.594,07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66.192.845,93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4.873.265,44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62.278.174,56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4.873.265,44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62.278.174,56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4.873.265,44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62.278.174,56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4.621.589,31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59.343.850,69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37.382,69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468.057,31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2"/>
                <w:sz w:val="16"/>
              </w:rPr>
              <w:t>589.417,55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7.510.582,45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2"/>
                <w:sz w:val="16"/>
              </w:rPr>
              <w:t>1.291.669,80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1.291.669,80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2"/>
                <w:sz w:val="16"/>
              </w:rPr>
              <w:t>2.663.082,48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36.166.917,52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2"/>
                <w:sz w:val="16"/>
              </w:rPr>
              <w:t>4.251,41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15.748,59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35.785,38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514.214,62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251.676,13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2.934.323,87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2.492.861,55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537.172,78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119.200,00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276.528,63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3.790.471,37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276.528,63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3.790.471,37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276.528,63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3.790.471,37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JUNHO/2017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756"/>
        <w:gridCol w:w="1503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4.065.000,00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276.528,63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3.788.471,37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4.065.000,00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sz w:val="16"/>
              </w:rPr>
            </w:pPr>
            <w:r>
              <w:rPr>
                <w:spacing w:val="-2"/>
                <w:sz w:val="16"/>
              </w:rPr>
              <w:t>276.528,63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3.788.471,37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71.343.440,00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5.150.594,07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1.387.380,26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67.580.226,19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7.869.480,85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2.033.706,82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104.722.665,97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63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800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68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795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740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790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792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7856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348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53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811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358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806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2025-06-25T17:37:51Z</dcterms:created>
  <dcterms:modified xsi:type="dcterms:W3CDTF">2025-06-25T17:37:51Z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2017-07-19T00:00:00Z</vt:filetime>
  </property>
</Properties>
</file>