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b w:val="0"/>
        </w:rPr>
      </w:pPr>
    </w:p>
    <w:p>
      <w:pPr>
        <w:pStyle w:val="BodyText"/>
        <w:ind w:left="17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MARÇO/2023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7347"/>
        <w:gridCol w:w="1442"/>
        <w:gridCol w:w="2107"/>
        <w:gridCol w:w="1760"/>
        <w:gridCol w:w="1392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7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3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3.130.642,96</w:t>
            </w:r>
          </w:p>
        </w:tc>
        <w:tc>
          <w:tcPr>
            <w:tcW w:w="17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36.342.857,04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2.199.459,27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33.809.040,73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2.199.459,27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33.809.040,73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2.199.459,27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33.809.040,73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2.199.459,27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33.809.040,73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2.080.060,82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33.928.439,18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2.080.060,82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33.928.439,18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2.080.060,82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33.928.439,18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Humanos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SADRH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2"/>
                <w:sz w:val="14"/>
              </w:rPr>
              <w:t> Civil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4.450.000,00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289.145,15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4.160.854,85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341.000,00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31.436,15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309.563,85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21.300.000,00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1.032.750,52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20.267.249,48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25.300,00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1.855,67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23.444,33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1.2.1.5.01.01.01.01.07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45.102,32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294.897,68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9.500.000,00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459.086,92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9.040.913,08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2"/>
                <w:sz w:val="14"/>
              </w:rPr>
              <w:t> JUROS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1.2.1.5.01.01.01.01.28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151.005,96</w:t>
            </w:r>
          </w:p>
        </w:tc>
        <w:tc>
          <w:tcPr>
            <w:tcW w:w="176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151.005,96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56.219,72</w:t>
            </w:r>
          </w:p>
        </w:tc>
        <w:tc>
          <w:tcPr>
            <w:tcW w:w="176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56.219,72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1.2.1.5.01.01.01.01.30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13.458,41</w:t>
            </w:r>
          </w:p>
        </w:tc>
        <w:tc>
          <w:tcPr>
            <w:tcW w:w="176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13.458,41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</w:t>
            </w:r>
          </w:p>
        </w:tc>
        <w:tc>
          <w:tcPr>
            <w:tcW w:w="7347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spacing w:line="141" w:lineRule="exact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104.818,98</w:t>
            </w:r>
          </w:p>
        </w:tc>
        <w:tc>
          <w:tcPr>
            <w:tcW w:w="1760" w:type="dxa"/>
          </w:tcPr>
          <w:p>
            <w:pPr>
              <w:pStyle w:val="TableParagraph"/>
              <w:spacing w:line="141" w:lineRule="exact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104.818,98</w:t>
            </w:r>
          </w:p>
        </w:tc>
        <w:tc>
          <w:tcPr>
            <w:tcW w:w="1392" w:type="dxa"/>
          </w:tcPr>
          <w:p>
            <w:pPr>
              <w:pStyle w:val="TableParagraph"/>
              <w:spacing w:line="141" w:lineRule="exact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566" w:right="566"/>
          <w:pgNumType w:start="1"/>
        </w:sectPr>
      </w:pPr>
    </w:p>
    <w:p>
      <w:pPr>
        <w:pStyle w:val="BodyText"/>
        <w:spacing w:before="184"/>
      </w:pPr>
    </w:p>
    <w:p>
      <w:pPr>
        <w:pStyle w:val="BodyText"/>
        <w:ind w:left="17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MARÇO/2023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716"/>
        <w:gridCol w:w="2074"/>
        <w:gridCol w:w="2107"/>
        <w:gridCol w:w="1797"/>
        <w:gridCol w:w="1354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1.2.1.5.01.02.01</w:t>
            </w:r>
          </w:p>
        </w:tc>
        <w:tc>
          <w:tcPr>
            <w:tcW w:w="6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Inativo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104.818,98</w:t>
            </w:r>
          </w:p>
        </w:tc>
        <w:tc>
          <w:tcPr>
            <w:tcW w:w="17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104.818,98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10.665,20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10.665,20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Principal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94.153,78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94.153,78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14.579,47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14.579,47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Pensionistas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14.579,47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14.579,47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Principal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14.579,47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14.579,47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525.013,00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85.013,00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525.013,00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85.013,00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525.013,00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85.013,00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1.3.2.1.04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525.013,00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85.013,00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1.3.2.1.04.00.01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525.013,00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85.013,00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1.884,45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3.115,55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1.884,45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3.115,55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1.884,45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3.115,55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1.884,45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3.115,55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1.884,45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3.115,55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1.6.1.1.01.00.01.05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Receitas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Serviços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Administrativos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Comerciais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1.884,45</w:t>
            </w:r>
          </w:p>
        </w:tc>
        <w:tc>
          <w:tcPr>
            <w:tcW w:w="1797" w:type="dxa"/>
          </w:tcPr>
          <w:p>
            <w:pPr>
              <w:pStyle w:val="TableParagraph"/>
              <w:ind w:right="5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1.884,45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404.286,24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2.615.713,76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232,58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19.767,42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232,58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19.767,42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232,58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19.767,42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232,58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19.767,42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1.9.2.2.99.00.01.09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- INPAS - Recursos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232,58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19.767,42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Financeiros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232,58</w:t>
            </w:r>
          </w:p>
        </w:tc>
        <w:tc>
          <w:tcPr>
            <w:tcW w:w="1797" w:type="dxa"/>
          </w:tcPr>
          <w:p>
            <w:pPr>
              <w:pStyle w:val="TableParagraph"/>
              <w:ind w:right="5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232,58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1.9.2.2.99.00.01.09.04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404.053,66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2.595.946,34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</w:t>
            </w:r>
          </w:p>
        </w:tc>
        <w:tc>
          <w:tcPr>
            <w:tcW w:w="6716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spacing w:line="141" w:lineRule="exact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107" w:type="dxa"/>
          </w:tcPr>
          <w:p>
            <w:pPr>
              <w:pStyle w:val="TableParagraph"/>
              <w:spacing w:line="141" w:lineRule="exact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404.053,66</w:t>
            </w:r>
          </w:p>
        </w:tc>
        <w:tc>
          <w:tcPr>
            <w:tcW w:w="1797" w:type="dxa"/>
          </w:tcPr>
          <w:p>
            <w:pPr>
              <w:pStyle w:val="TableParagraph"/>
              <w:spacing w:line="141" w:lineRule="exact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spacing w:line="141" w:lineRule="exact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2.595.946,34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17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MARÇO/2023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34"/>
        <w:gridCol w:w="1422"/>
        <w:gridCol w:w="2107"/>
        <w:gridCol w:w="1760"/>
        <w:gridCol w:w="1392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7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</w:t>
            </w:r>
          </w:p>
        </w:tc>
        <w:tc>
          <w:tcPr>
            <w:tcW w:w="71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</w:t>
            </w:r>
            <w:r>
              <w:rPr>
                <w:b/>
                <w:spacing w:val="-2"/>
                <w:sz w:val="14"/>
              </w:rPr>
              <w:t>Previdência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404.053,66</w:t>
            </w:r>
          </w:p>
        </w:tc>
        <w:tc>
          <w:tcPr>
            <w:tcW w:w="17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2.595.946,34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1.9.9.9.03.00.01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Previdência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404.053,66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2.595.946,34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392.593,38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2.607.406,62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1.9.9.9.03.00.01.02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Mun</w:t>
            </w:r>
          </w:p>
        </w:tc>
        <w:tc>
          <w:tcPr>
            <w:tcW w:w="142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8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6.048,71</w:t>
            </w:r>
          </w:p>
        </w:tc>
        <w:tc>
          <w:tcPr>
            <w:tcW w:w="1760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6.048,71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1.9.9.9.03.00.01.03</w:t>
            </w:r>
          </w:p>
        </w:tc>
        <w:tc>
          <w:tcPr>
            <w:tcW w:w="713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Esta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8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5.411,57</w:t>
            </w:r>
          </w:p>
        </w:tc>
        <w:tc>
          <w:tcPr>
            <w:tcW w:w="17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5.411,57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3.130.642,96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438.672,85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36.781.529,89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17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MARÇO/2023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590"/>
        <w:gridCol w:w="2199"/>
        <w:gridCol w:w="2047"/>
        <w:gridCol w:w="1782"/>
        <w:gridCol w:w="1429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2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9.946.709,02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123.078.178,41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9.830.537,36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123.194.350,07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9.830.537,36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123.194.350,07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9.830.537,36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123.194.350,07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9.830.537,36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123.194.350,07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9.830.537,36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123.194.350,07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9.830.537,36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123.194.350,07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9.830.537,36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123.194.350,07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695.887,43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62.872,30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633.015,13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MUNICPAL DE </w:t>
            </w:r>
            <w:r>
              <w:rPr>
                <w:b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86.217.181,00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6.872.001,09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79.345.179,91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86.217.181,00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6.872.001,09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79.345.179,91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7.2.1.5.02.01.01.01.03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3.711,34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61.288,66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MUNICIPAL DE </w:t>
            </w:r>
            <w:r>
              <w:rPr>
                <w:b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14.312.000,00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918.173,84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13.393.826,16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14.312.000,00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918.173,84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13.393.826,16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7.2.1.5.02.01.01.01.07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90.204,64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689.795,36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9.970.000,00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590.733,48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9.379.266,52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9.970.000,00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590.733,48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9.379.266,52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7.2.1.5.02.01.01.01.09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5.250.000,00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5.250.000,00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6.500.000,00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6.500.000,00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7.2.1.5.02.01.01.01.16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RPPS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1.150.615,34</w:t>
            </w:r>
          </w:p>
        </w:tc>
        <w:tc>
          <w:tcPr>
            <w:tcW w:w="1782" w:type="dxa"/>
          </w:tcPr>
          <w:p>
            <w:pPr>
              <w:pStyle w:val="TableParagraph"/>
              <w:ind w:right="45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1.150.615,34</w:t>
            </w:r>
          </w:p>
        </w:tc>
        <w:tc>
          <w:tcPr>
            <w:tcW w:w="1429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7.2.1.5.02.01.01.01.20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112.439,44</w:t>
            </w:r>
          </w:p>
        </w:tc>
        <w:tc>
          <w:tcPr>
            <w:tcW w:w="1782" w:type="dxa"/>
          </w:tcPr>
          <w:p>
            <w:pPr>
              <w:pStyle w:val="TableParagraph"/>
              <w:ind w:right="45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112.439,44</w:t>
            </w:r>
          </w:p>
        </w:tc>
        <w:tc>
          <w:tcPr>
            <w:tcW w:w="1429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7.2.1.5.02.01.01.01.21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29.785,89</w:t>
            </w:r>
          </w:p>
        </w:tc>
        <w:tc>
          <w:tcPr>
            <w:tcW w:w="1782" w:type="dxa"/>
          </w:tcPr>
          <w:p>
            <w:pPr>
              <w:pStyle w:val="TableParagraph"/>
              <w:ind w:right="45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29.785,89</w:t>
            </w:r>
          </w:p>
        </w:tc>
        <w:tc>
          <w:tcPr>
            <w:tcW w:w="1429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116.171,66</w:t>
            </w:r>
          </w:p>
        </w:tc>
        <w:tc>
          <w:tcPr>
            <w:tcW w:w="1782" w:type="dxa"/>
          </w:tcPr>
          <w:p>
            <w:pPr>
              <w:pStyle w:val="TableParagraph"/>
              <w:ind w:right="45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116.171,66</w:t>
            </w:r>
          </w:p>
        </w:tc>
        <w:tc>
          <w:tcPr>
            <w:tcW w:w="1429" w:type="dxa"/>
          </w:tcPr>
          <w:p>
            <w:pPr>
              <w:pStyle w:val="TableParagraph"/>
              <w:ind w:right="4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116.171,66</w:t>
            </w:r>
          </w:p>
        </w:tc>
        <w:tc>
          <w:tcPr>
            <w:tcW w:w="1782" w:type="dxa"/>
          </w:tcPr>
          <w:p>
            <w:pPr>
              <w:pStyle w:val="TableParagraph"/>
              <w:ind w:right="45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116.171,66</w:t>
            </w:r>
          </w:p>
        </w:tc>
        <w:tc>
          <w:tcPr>
            <w:tcW w:w="1429" w:type="dxa"/>
          </w:tcPr>
          <w:p>
            <w:pPr>
              <w:pStyle w:val="TableParagraph"/>
              <w:ind w:right="4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116.171,66</w:t>
            </w:r>
          </w:p>
        </w:tc>
        <w:tc>
          <w:tcPr>
            <w:tcW w:w="1782" w:type="dxa"/>
          </w:tcPr>
          <w:p>
            <w:pPr>
              <w:pStyle w:val="TableParagraph"/>
              <w:ind w:right="45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116.171,66</w:t>
            </w:r>
          </w:p>
        </w:tc>
        <w:tc>
          <w:tcPr>
            <w:tcW w:w="1429" w:type="dxa"/>
          </w:tcPr>
          <w:p>
            <w:pPr>
              <w:pStyle w:val="TableParagraph"/>
              <w:ind w:right="4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116.171,66</w:t>
            </w:r>
          </w:p>
        </w:tc>
        <w:tc>
          <w:tcPr>
            <w:tcW w:w="1782" w:type="dxa"/>
          </w:tcPr>
          <w:p>
            <w:pPr>
              <w:pStyle w:val="TableParagraph"/>
              <w:ind w:right="45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116.171,66</w:t>
            </w:r>
          </w:p>
        </w:tc>
        <w:tc>
          <w:tcPr>
            <w:tcW w:w="1429" w:type="dxa"/>
          </w:tcPr>
          <w:p>
            <w:pPr>
              <w:pStyle w:val="TableParagraph"/>
              <w:ind w:right="4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590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99" w:type="dxa"/>
          </w:tcPr>
          <w:p>
            <w:pPr>
              <w:pStyle w:val="TableParagraph"/>
              <w:spacing w:line="141" w:lineRule="exact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116.171,66</w:t>
            </w:r>
          </w:p>
        </w:tc>
        <w:tc>
          <w:tcPr>
            <w:tcW w:w="1782" w:type="dxa"/>
          </w:tcPr>
          <w:p>
            <w:pPr>
              <w:pStyle w:val="TableParagraph"/>
              <w:spacing w:line="141" w:lineRule="exact"/>
              <w:ind w:right="45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116.171,66</w:t>
            </w:r>
          </w:p>
        </w:tc>
        <w:tc>
          <w:tcPr>
            <w:tcW w:w="1429" w:type="dxa"/>
          </w:tcPr>
          <w:p>
            <w:pPr>
              <w:pStyle w:val="TableParagraph"/>
              <w:spacing w:line="141" w:lineRule="exact"/>
              <w:ind w:right="4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17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MARÇO/2023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4940"/>
        <w:gridCol w:w="4042"/>
        <w:gridCol w:w="2046"/>
        <w:gridCol w:w="1781"/>
        <w:gridCol w:w="1428"/>
      </w:tblGrid>
      <w:tr>
        <w:trPr>
          <w:trHeight w:val="27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49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0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7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30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49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43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40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5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116.171,66</w:t>
            </w: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4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116.171,66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40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9.946.709,02</w:t>
            </w:r>
          </w:p>
        </w:tc>
        <w:tc>
          <w:tcPr>
            <w:tcW w:w="17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1.409.012,33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124.487.190,74</w:t>
            </w:r>
          </w:p>
        </w:tc>
      </w:tr>
      <w:tr>
        <w:trPr>
          <w:trHeight w:val="285" w:hRule="atLeast"/>
        </w:trPr>
        <w:tc>
          <w:tcPr>
            <w:tcW w:w="64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0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172.498.387,43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13.077.351,98</w:t>
            </w: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1.847.685,18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161.268.720,63</w:t>
            </w:r>
          </w:p>
        </w:tc>
      </w:tr>
    </w:tbl>
    <w:sectPr>
      <w:pgSz w:w="16850" w:h="11910" w:orient="landscape"/>
      <w:pgMar w:header="578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4576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70720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4627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70208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46784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48.45pt;height:9.85pt;mso-position-horizontal-relative:page;mso-position-vertical-relative:page;z-index:-16669696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43712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667276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44224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67225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44736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671744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45248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671232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2023 (INSTITUTO DE PREVIDÊNCIA E ASSISTÊNCIA SOCIAL DOS SERVIDORES PÚBLICOS DE PETRÓPOLIS - RJ)</dc:subject>
  <dc:title>COMPARATIVO DA RECEITA ORÇADA COM A ARRECADADA - EM MARÇO/2023</dc:title>
  <dcterms:created xsi:type="dcterms:W3CDTF">2025-06-23T18:39:14Z</dcterms:created>
  <dcterms:modified xsi:type="dcterms:W3CDTF">2025-06-23T18:39:14Z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(22/06/2023 19:00:24)</vt:lpwstr>
  </property>
  <property fmtid="{D5CDD505-2E9C-101B-9397-08002B2CF9AE}" pid="5" name="LastSaved">
    <vt:filetime>2023-06-22T00:00:00Z</vt:filetime>
  </property>
</Properties>
</file>