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200" w:val="left" w:leader="none"/>
        </w:tabs>
        <w:spacing w:before="73"/>
        <w:ind w:left="2765" w:right="1861" w:firstLine="0"/>
        <w:jc w:val="left"/>
        <w:rPr>
          <w:rFonts w:ascii="Arial" w:hAnsi="Arial"/>
          <w:b/>
          <w:sz w:val="24"/>
        </w:rPr>
      </w:pPr>
      <w:r>
        <w:rPr>
          <w:rFonts w:ascii="Arial" w:hAnsi="Arial"/>
          <w:b/>
          <w:sz w:val="24"/>
        </w:rPr>
        <w:drawing>
          <wp:anchor distT="0" distB="0" distL="0" distR="0" allowOverlap="1" layoutInCell="1" locked="0" behindDoc="0" simplePos="0" relativeHeight="15728640">
            <wp:simplePos x="0" y="0"/>
            <wp:positionH relativeFrom="page">
              <wp:posOffset>769619</wp:posOffset>
            </wp:positionH>
            <wp:positionV relativeFrom="paragraph">
              <wp:posOffset>49530</wp:posOffset>
            </wp:positionV>
            <wp:extent cx="1271270" cy="43815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271270" cy="438150"/>
                    </a:xfrm>
                    <a:prstGeom prst="rect">
                      <a:avLst/>
                    </a:prstGeom>
                  </pic:spPr>
                </pic:pic>
              </a:graphicData>
            </a:graphic>
          </wp:anchor>
        </w:drawing>
      </w:r>
      <w:r>
        <w:rPr>
          <w:rFonts w:ascii="Arial" w:hAnsi="Arial"/>
          <w:b/>
          <w:sz w:val="24"/>
        </w:rPr>
        <w:t>CONSELHO MUNICIPAL DE PREVIDÊNCIA DE PETRÓPOLIS</w:t>
      </w:r>
      <w:r>
        <w:rPr>
          <w:rFonts w:ascii="Arial" w:hAnsi="Arial"/>
          <w:b/>
          <w:spacing w:val="-3"/>
          <w:sz w:val="24"/>
        </w:rPr>
        <w:t> </w:t>
      </w:r>
      <w:r>
        <w:rPr>
          <w:rFonts w:ascii="Arial" w:hAnsi="Arial"/>
          <w:b/>
          <w:sz w:val="24"/>
        </w:rPr>
        <w:t>–</w:t>
      </w:r>
      <w:r>
        <w:rPr>
          <w:rFonts w:ascii="Arial" w:hAnsi="Arial"/>
          <w:b/>
          <w:spacing w:val="-3"/>
          <w:sz w:val="24"/>
        </w:rPr>
        <w:t> </w:t>
      </w:r>
      <w:r>
        <w:rPr>
          <w:rFonts w:ascii="Arial" w:hAnsi="Arial"/>
          <w:b/>
          <w:spacing w:val="-4"/>
          <w:sz w:val="24"/>
        </w:rPr>
        <w:t>CMPP</w:t>
      </w:r>
      <w:r>
        <w:rPr>
          <w:rFonts w:ascii="Arial" w:hAnsi="Arial"/>
          <w:b/>
          <w:sz w:val="24"/>
        </w:rPr>
        <w:tab/>
        <w:t>Livro:</w:t>
      </w:r>
      <w:r>
        <w:rPr>
          <w:rFonts w:ascii="Arial" w:hAnsi="Arial"/>
          <w:b/>
          <w:spacing w:val="-4"/>
          <w:sz w:val="24"/>
        </w:rPr>
        <w:t> </w:t>
      </w:r>
      <w:r>
        <w:rPr>
          <w:rFonts w:ascii="Arial" w:hAnsi="Arial"/>
          <w:b/>
          <w:spacing w:val="-5"/>
          <w:sz w:val="24"/>
        </w:rPr>
        <w:t>01</w:t>
      </w:r>
    </w:p>
    <w:p>
      <w:pPr>
        <w:tabs>
          <w:tab w:pos="7209" w:val="left" w:leader="none"/>
        </w:tabs>
        <w:spacing w:before="0"/>
        <w:ind w:left="3365" w:right="0" w:firstLine="0"/>
        <w:jc w:val="left"/>
        <w:rPr>
          <w:rFonts w:ascii="Arial" w:hAnsi="Arial"/>
          <w:b/>
          <w:sz w:val="24"/>
        </w:rPr>
      </w:pPr>
      <w:r>
        <w:rPr>
          <w:rFonts w:ascii="Arial" w:hAnsi="Arial"/>
          <w:b/>
          <w:sz w:val="24"/>
        </w:rPr>
        <w:t>Lei</w:t>
      </w:r>
      <w:r>
        <w:rPr>
          <w:rFonts w:ascii="Arial" w:hAnsi="Arial"/>
          <w:b/>
          <w:spacing w:val="-1"/>
          <w:sz w:val="24"/>
        </w:rPr>
        <w:t> </w:t>
      </w:r>
      <w:r>
        <w:rPr>
          <w:rFonts w:ascii="Arial" w:hAnsi="Arial"/>
          <w:b/>
          <w:sz w:val="24"/>
        </w:rPr>
        <w:t>nº </w:t>
      </w:r>
      <w:r>
        <w:rPr>
          <w:rFonts w:ascii="Arial" w:hAnsi="Arial"/>
          <w:b/>
          <w:spacing w:val="-2"/>
          <w:sz w:val="24"/>
        </w:rPr>
        <w:t>7.353/2015</w:t>
      </w:r>
      <w:r>
        <w:rPr>
          <w:rFonts w:ascii="Arial" w:hAnsi="Arial"/>
          <w:b/>
          <w:sz w:val="24"/>
        </w:rPr>
        <w:tab/>
        <w:t>Folha:</w:t>
      </w:r>
      <w:r>
        <w:rPr>
          <w:rFonts w:ascii="Arial" w:hAnsi="Arial"/>
          <w:b/>
          <w:spacing w:val="4"/>
          <w:sz w:val="24"/>
        </w:rPr>
        <w:t> </w:t>
      </w:r>
      <w:r>
        <w:rPr>
          <w:rFonts w:ascii="Arial" w:hAnsi="Arial"/>
          <w:b/>
          <w:spacing w:val="-5"/>
          <w:sz w:val="24"/>
        </w:rPr>
        <w:t>76</w:t>
      </w:r>
    </w:p>
    <w:p>
      <w:pPr>
        <w:tabs>
          <w:tab w:pos="7208" w:val="left" w:leader="none"/>
        </w:tabs>
        <w:spacing w:before="0"/>
        <w:ind w:left="3432" w:right="0" w:firstLine="0"/>
        <w:jc w:val="left"/>
        <w:rPr>
          <w:rFonts w:ascii="Arial" w:hAnsi="Arial"/>
          <w:b/>
          <w:sz w:val="24"/>
        </w:rPr>
      </w:pPr>
      <w:r>
        <w:rPr>
          <w:rFonts w:ascii="Arial" w:hAnsi="Arial"/>
          <w:b/>
          <w:sz w:val="24"/>
        </w:rPr>
        <w:t>Lei</w:t>
      </w:r>
      <w:r>
        <w:rPr>
          <w:rFonts w:ascii="Arial" w:hAnsi="Arial"/>
          <w:b/>
          <w:spacing w:val="-3"/>
          <w:sz w:val="24"/>
        </w:rPr>
        <w:t> </w:t>
      </w:r>
      <w:r>
        <w:rPr>
          <w:rFonts w:ascii="Arial" w:hAnsi="Arial"/>
          <w:b/>
          <w:sz w:val="24"/>
        </w:rPr>
        <w:t>n.º</w:t>
      </w:r>
      <w:r>
        <w:rPr>
          <w:rFonts w:ascii="Arial" w:hAnsi="Arial"/>
          <w:b/>
          <w:spacing w:val="-1"/>
          <w:sz w:val="24"/>
        </w:rPr>
        <w:t> </w:t>
      </w:r>
      <w:r>
        <w:rPr>
          <w:rFonts w:ascii="Arial" w:hAnsi="Arial"/>
          <w:b/>
          <w:spacing w:val="-2"/>
          <w:sz w:val="24"/>
        </w:rPr>
        <w:t>7.606/2017</w:t>
      </w:r>
      <w:r>
        <w:rPr>
          <w:rFonts w:ascii="Arial" w:hAnsi="Arial"/>
          <w:b/>
          <w:sz w:val="24"/>
        </w:rPr>
        <w:tab/>
        <w:t>Data:</w:t>
      </w:r>
      <w:r>
        <w:rPr>
          <w:rFonts w:ascii="Arial" w:hAnsi="Arial"/>
          <w:b/>
          <w:spacing w:val="-4"/>
          <w:sz w:val="24"/>
        </w:rPr>
        <w:t> </w:t>
      </w:r>
      <w:r>
        <w:rPr>
          <w:rFonts w:ascii="Arial" w:hAnsi="Arial"/>
          <w:b/>
          <w:spacing w:val="-2"/>
          <w:sz w:val="24"/>
        </w:rPr>
        <w:t>29/08/2019</w:t>
      </w:r>
    </w:p>
    <w:p>
      <w:pPr>
        <w:pStyle w:val="BodyText"/>
        <w:rPr>
          <w:rFonts w:ascii="Arial"/>
          <w:b/>
        </w:rPr>
      </w:pPr>
    </w:p>
    <w:p>
      <w:pPr>
        <w:pStyle w:val="BodyText"/>
        <w:spacing w:before="56"/>
        <w:rPr>
          <w:rFonts w:ascii="Arial"/>
          <w:b/>
        </w:rPr>
      </w:pPr>
    </w:p>
    <w:p>
      <w:pPr>
        <w:pStyle w:val="BodyText"/>
        <w:spacing w:line="360" w:lineRule="auto"/>
        <w:ind w:left="428"/>
        <w:jc w:val="both"/>
      </w:pPr>
      <w:r>
        <w:rPr/>
        <w:t>Às 10:30h do dia 29 de agosto de 2019, quinta-feira, foi realizada a reunião ordinária do Conselho Municipal de</w:t>
      </w:r>
      <w:r>
        <w:rPr>
          <w:spacing w:val="-1"/>
        </w:rPr>
        <w:t> </w:t>
      </w:r>
      <w:r>
        <w:rPr/>
        <w:t>Previdência</w:t>
      </w:r>
      <w:r>
        <w:rPr>
          <w:spacing w:val="-1"/>
        </w:rPr>
        <w:t> </w:t>
      </w:r>
      <w:r>
        <w:rPr/>
        <w:t>de Petrópolis -</w:t>
      </w:r>
      <w:r>
        <w:rPr>
          <w:spacing w:val="-2"/>
        </w:rPr>
        <w:t> </w:t>
      </w:r>
      <w:r>
        <w:rPr/>
        <w:t>CMPP. Presentes</w:t>
      </w:r>
      <w:r>
        <w:rPr>
          <w:spacing w:val="-1"/>
        </w:rPr>
        <w:t> </w:t>
      </w:r>
      <w:r>
        <w:rPr/>
        <w:t>os</w:t>
      </w:r>
      <w:r>
        <w:rPr>
          <w:spacing w:val="-1"/>
        </w:rPr>
        <w:t> </w:t>
      </w:r>
      <w:r>
        <w:rPr/>
        <w:t>Conselheiros</w:t>
      </w:r>
      <w:r>
        <w:rPr>
          <w:spacing w:val="-1"/>
        </w:rPr>
        <w:t> </w:t>
      </w:r>
      <w:r>
        <w:rPr/>
        <w:t>e servidores</w:t>
      </w:r>
      <w:r>
        <w:rPr>
          <w:spacing w:val="-1"/>
        </w:rPr>
        <w:t> </w:t>
      </w:r>
      <w:r>
        <w:rPr/>
        <w:t>do Inpas, que assinaram o livro de presença. O Presidente do Conselho, Sr. Fernando Leite Fortes, inicia a reunião, expondo o primeiro item da Pauta - Leitura da Ata anterior. Devido à ausência da Secretária do CMPP, Sra. Arlete Barbosa Valero,</w:t>
      </w:r>
      <w:r>
        <w:rPr>
          <w:spacing w:val="40"/>
        </w:rPr>
        <w:t> </w:t>
      </w:r>
      <w:r>
        <w:rPr/>
        <w:t>convida o conselheiro Dr. Thiago Sanches, representante da ASAP, para realizar a leitura;</w:t>
      </w:r>
      <w:r>
        <w:rPr>
          <w:spacing w:val="80"/>
        </w:rPr>
        <w:t> </w:t>
      </w:r>
      <w:r>
        <w:rPr/>
        <w:t>ao final, pergunta se existem correções a serem feitas. Nada havendo, é aprovada a ata. O Presidente passa para o segundo item da pauta</w:t>
      </w:r>
      <w:r>
        <w:rPr>
          <w:spacing w:val="40"/>
        </w:rPr>
        <w:t> </w:t>
      </w:r>
      <w:r>
        <w:rPr/>
        <w:t>–– Análise das contas/2017 </w:t>
      </w:r>
      <w:r>
        <w:rPr>
          <w:sz w:val="24"/>
        </w:rPr>
        <w:t>visando atendimento ao TCE/RJ ; </w:t>
      </w:r>
      <w:r>
        <w:rPr/>
        <w:t>convida o Controlador Interno do Inpas, Sr. Aluízio Manzini, inicia dando ciência aos conselheiros que as contas do ano de 2017 foram revisadas pelo Conselho Fiscal (CONFINS) em reunião realizada no mês de julho, tendo parecer favorável. Sr. Aluízio faz a leitura do parecer, explicando aos conselheiros todos os aspectos fundamentais das contas do ano de 2017. Os conselheiros concordam e aprovam o parecer. O controlador reforça a importância do conselho na tomada de decisões. O Presidente expõe o terceiro item da pauta – Regimento Interno. Fala que o Regimento Interno está sendo elaborado há cerca de 1 ano e sugere a consolidação dos trabalhos feitos, até o momento, para que até</w:t>
      </w:r>
      <w:r>
        <w:rPr>
          <w:spacing w:val="-2"/>
        </w:rPr>
        <w:t> </w:t>
      </w:r>
      <w:r>
        <w:rPr/>
        <w:t>o</w:t>
      </w:r>
      <w:r>
        <w:rPr>
          <w:spacing w:val="-2"/>
        </w:rPr>
        <w:t> </w:t>
      </w:r>
      <w:r>
        <w:rPr/>
        <w:t>fim</w:t>
      </w:r>
      <w:r>
        <w:rPr>
          <w:spacing w:val="-1"/>
        </w:rPr>
        <w:t> </w:t>
      </w:r>
      <w:r>
        <w:rPr/>
        <w:t>deste</w:t>
      </w:r>
      <w:r>
        <w:rPr>
          <w:spacing w:val="-2"/>
        </w:rPr>
        <w:t> </w:t>
      </w:r>
      <w:r>
        <w:rPr/>
        <w:t>ano sejam</w:t>
      </w:r>
      <w:r>
        <w:rPr>
          <w:spacing w:val="-1"/>
        </w:rPr>
        <w:t> </w:t>
      </w:r>
      <w:r>
        <w:rPr/>
        <w:t>apresentados ao</w:t>
      </w:r>
      <w:r>
        <w:rPr>
          <w:spacing w:val="-2"/>
        </w:rPr>
        <w:t> </w:t>
      </w:r>
      <w:r>
        <w:rPr/>
        <w:t>conselho,</w:t>
      </w:r>
      <w:r>
        <w:rPr>
          <w:spacing w:val="-1"/>
        </w:rPr>
        <w:t> </w:t>
      </w:r>
      <w:r>
        <w:rPr/>
        <w:t>ficando acordado o</w:t>
      </w:r>
      <w:r>
        <w:rPr>
          <w:spacing w:val="-2"/>
        </w:rPr>
        <w:t> </w:t>
      </w:r>
      <w:r>
        <w:rPr/>
        <w:t>envio de</w:t>
      </w:r>
      <w:r>
        <w:rPr>
          <w:spacing w:val="-2"/>
        </w:rPr>
        <w:t> </w:t>
      </w:r>
      <w:r>
        <w:rPr/>
        <w:t>uma</w:t>
      </w:r>
      <w:r>
        <w:rPr>
          <w:spacing w:val="-2"/>
        </w:rPr>
        <w:t> </w:t>
      </w:r>
      <w:r>
        <w:rPr/>
        <w:t>cópia, com antecedência, aos conselheiros. Passa ao quarto item da pauta – Assuntos Gerais. O Presidente pergunta se algum conselheiro tem algo a dizer, nada havendo, fala sobre a locação</w:t>
      </w:r>
      <w:r>
        <w:rPr>
          <w:spacing w:val="40"/>
        </w:rPr>
        <w:t> </w:t>
      </w:r>
      <w:r>
        <w:rPr/>
        <w:t>do prédio da Rua Teresa, explica que</w:t>
      </w:r>
      <w:r>
        <w:rPr>
          <w:spacing w:val="40"/>
        </w:rPr>
        <w:t> </w:t>
      </w:r>
      <w:r>
        <w:rPr/>
        <w:t>o prédio foi regularizado depois de 10 anos parado. O aluguel do imóvel ficou no valor de R$ 14.000,00 (quatorze mil reais), gerando receita para o Inpas. Todas as avaliações foram feitas pelo do Inpas e pela Prefeitura Municipal de Petrópolis, porém o valor será repassado</w:t>
      </w:r>
      <w:r>
        <w:rPr>
          <w:spacing w:val="40"/>
        </w:rPr>
        <w:t> </w:t>
      </w:r>
      <w:r>
        <w:rPr/>
        <w:t>a partir de 2020, e ficou acordado que a Secretária</w:t>
      </w:r>
      <w:r>
        <w:rPr>
          <w:spacing w:val="40"/>
        </w:rPr>
        <w:t> </w:t>
      </w:r>
      <w:r>
        <w:rPr/>
        <w:t>irá realizar as obras no local. O Presidente fala que nos últimos 13 anos ocorreram a venda de algumas salas que pertenciam ao patrimônio do Inpas, surgindo a oportunidade de recuperar algumas destas salas. O Presidente comunica ao conselho e pede a autorização para uma possível compra da sala localizada ao lado da presidência, no 1° andar do prédio. Diz que essa necessidade surgiu devido à demanda de trabalho e que passaria o arquivo, que fica localizado no 3°, andar para</w:t>
      </w:r>
      <w:r>
        <w:rPr>
          <w:spacing w:val="40"/>
        </w:rPr>
        <w:t> </w:t>
      </w:r>
      <w:r>
        <w:rPr/>
        <w:t>essa sala, realizando a ampliação do auditório do Inpas que fica no mesmo local. Todos os conselheiros concordam e aprovam. O Presidente termina, reforçando o assunto tratado na reunião anterior: a composição do conselho, esclarecendo que foram enviados diversos ofícios e</w:t>
      </w:r>
    </w:p>
    <w:p>
      <w:pPr>
        <w:pStyle w:val="BodyText"/>
        <w:spacing w:after="0" w:line="360" w:lineRule="auto"/>
        <w:jc w:val="both"/>
        <w:sectPr>
          <w:footerReference w:type="default" r:id="rId5"/>
          <w:type w:val="continuous"/>
          <w:pgSz w:w="11910" w:h="16840"/>
          <w:pgMar w:header="0" w:footer="1565" w:top="1460" w:bottom="1760" w:left="708" w:right="1133"/>
          <w:pgNumType w:start="1"/>
        </w:sectPr>
      </w:pPr>
    </w:p>
    <w:p>
      <w:pPr>
        <w:tabs>
          <w:tab w:pos="7200" w:val="left" w:leader="none"/>
        </w:tabs>
        <w:spacing w:before="79"/>
        <w:ind w:left="2765" w:right="1861" w:firstLine="0"/>
        <w:jc w:val="left"/>
        <w:rPr>
          <w:rFonts w:ascii="Arial" w:hAnsi="Arial"/>
          <w:b/>
          <w:sz w:val="24"/>
        </w:rPr>
      </w:pPr>
      <w:r>
        <w:rPr>
          <w:rFonts w:ascii="Arial" w:hAnsi="Arial"/>
          <w:b/>
          <w:sz w:val="24"/>
        </w:rPr>
        <w:drawing>
          <wp:anchor distT="0" distB="0" distL="0" distR="0" allowOverlap="1" layoutInCell="1" locked="0" behindDoc="0" simplePos="0" relativeHeight="15729152">
            <wp:simplePos x="0" y="0"/>
            <wp:positionH relativeFrom="page">
              <wp:posOffset>769619</wp:posOffset>
            </wp:positionH>
            <wp:positionV relativeFrom="paragraph">
              <wp:posOffset>53339</wp:posOffset>
            </wp:positionV>
            <wp:extent cx="1271270" cy="43815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271270" cy="438150"/>
                    </a:xfrm>
                    <a:prstGeom prst="rect">
                      <a:avLst/>
                    </a:prstGeom>
                  </pic:spPr>
                </pic:pic>
              </a:graphicData>
            </a:graphic>
          </wp:anchor>
        </w:drawing>
      </w:r>
      <w:r>
        <w:rPr>
          <w:rFonts w:ascii="Arial" w:hAnsi="Arial"/>
          <w:b/>
          <w:sz w:val="24"/>
        </w:rPr>
        <w:t>CONSELHO MUNICIPAL DE PREVIDÊNCIA DE PETRÓPOLIS</w:t>
      </w:r>
      <w:r>
        <w:rPr>
          <w:rFonts w:ascii="Arial" w:hAnsi="Arial"/>
          <w:b/>
          <w:spacing w:val="-3"/>
          <w:sz w:val="24"/>
        </w:rPr>
        <w:t> </w:t>
      </w:r>
      <w:r>
        <w:rPr>
          <w:rFonts w:ascii="Arial" w:hAnsi="Arial"/>
          <w:b/>
          <w:sz w:val="24"/>
        </w:rPr>
        <w:t>–</w:t>
      </w:r>
      <w:r>
        <w:rPr>
          <w:rFonts w:ascii="Arial" w:hAnsi="Arial"/>
          <w:b/>
          <w:spacing w:val="-3"/>
          <w:sz w:val="24"/>
        </w:rPr>
        <w:t> </w:t>
      </w:r>
      <w:r>
        <w:rPr>
          <w:rFonts w:ascii="Arial" w:hAnsi="Arial"/>
          <w:b/>
          <w:spacing w:val="-4"/>
          <w:sz w:val="24"/>
        </w:rPr>
        <w:t>CMPP</w:t>
      </w:r>
      <w:r>
        <w:rPr>
          <w:rFonts w:ascii="Arial" w:hAnsi="Arial"/>
          <w:b/>
          <w:sz w:val="24"/>
        </w:rPr>
        <w:tab/>
        <w:t>Livro:</w:t>
      </w:r>
      <w:r>
        <w:rPr>
          <w:rFonts w:ascii="Arial" w:hAnsi="Arial"/>
          <w:b/>
          <w:spacing w:val="-4"/>
          <w:sz w:val="24"/>
        </w:rPr>
        <w:t> </w:t>
      </w:r>
      <w:r>
        <w:rPr>
          <w:rFonts w:ascii="Arial" w:hAnsi="Arial"/>
          <w:b/>
          <w:spacing w:val="-5"/>
          <w:sz w:val="24"/>
        </w:rPr>
        <w:t>01</w:t>
      </w:r>
    </w:p>
    <w:p>
      <w:pPr>
        <w:tabs>
          <w:tab w:pos="7209" w:val="left" w:leader="none"/>
        </w:tabs>
        <w:spacing w:before="0"/>
        <w:ind w:left="3365" w:right="0" w:firstLine="0"/>
        <w:jc w:val="left"/>
        <w:rPr>
          <w:rFonts w:ascii="Arial" w:hAnsi="Arial"/>
          <w:b/>
          <w:sz w:val="24"/>
        </w:rPr>
      </w:pPr>
      <w:r>
        <w:rPr>
          <w:rFonts w:ascii="Arial" w:hAnsi="Arial"/>
          <w:b/>
          <w:sz w:val="24"/>
        </w:rPr>
        <w:t>Lei</w:t>
      </w:r>
      <w:r>
        <w:rPr>
          <w:rFonts w:ascii="Arial" w:hAnsi="Arial"/>
          <w:b/>
          <w:spacing w:val="-1"/>
          <w:sz w:val="24"/>
        </w:rPr>
        <w:t> </w:t>
      </w:r>
      <w:r>
        <w:rPr>
          <w:rFonts w:ascii="Arial" w:hAnsi="Arial"/>
          <w:b/>
          <w:sz w:val="24"/>
        </w:rPr>
        <w:t>nº </w:t>
      </w:r>
      <w:r>
        <w:rPr>
          <w:rFonts w:ascii="Arial" w:hAnsi="Arial"/>
          <w:b/>
          <w:spacing w:val="-2"/>
          <w:sz w:val="24"/>
        </w:rPr>
        <w:t>7.353/2015</w:t>
      </w:r>
      <w:r>
        <w:rPr>
          <w:rFonts w:ascii="Arial" w:hAnsi="Arial"/>
          <w:b/>
          <w:sz w:val="24"/>
        </w:rPr>
        <w:tab/>
        <w:t>Folha:</w:t>
      </w:r>
      <w:r>
        <w:rPr>
          <w:rFonts w:ascii="Arial" w:hAnsi="Arial"/>
          <w:b/>
          <w:spacing w:val="4"/>
          <w:sz w:val="24"/>
        </w:rPr>
        <w:t> </w:t>
      </w:r>
      <w:r>
        <w:rPr>
          <w:rFonts w:ascii="Arial" w:hAnsi="Arial"/>
          <w:b/>
          <w:spacing w:val="-5"/>
          <w:sz w:val="24"/>
        </w:rPr>
        <w:t>77</w:t>
      </w:r>
    </w:p>
    <w:p>
      <w:pPr>
        <w:tabs>
          <w:tab w:pos="7208" w:val="left" w:leader="none"/>
        </w:tabs>
        <w:spacing w:before="0"/>
        <w:ind w:left="3432" w:right="0" w:firstLine="0"/>
        <w:jc w:val="left"/>
        <w:rPr>
          <w:rFonts w:ascii="Arial" w:hAnsi="Arial"/>
          <w:b/>
          <w:sz w:val="24"/>
        </w:rPr>
      </w:pPr>
      <w:r>
        <w:rPr>
          <w:rFonts w:ascii="Arial" w:hAnsi="Arial"/>
          <w:b/>
          <w:sz w:val="24"/>
        </w:rPr>
        <w:t>Lei</w:t>
      </w:r>
      <w:r>
        <w:rPr>
          <w:rFonts w:ascii="Arial" w:hAnsi="Arial"/>
          <w:b/>
          <w:spacing w:val="-3"/>
          <w:sz w:val="24"/>
        </w:rPr>
        <w:t> </w:t>
      </w:r>
      <w:r>
        <w:rPr>
          <w:rFonts w:ascii="Arial" w:hAnsi="Arial"/>
          <w:b/>
          <w:sz w:val="24"/>
        </w:rPr>
        <w:t>n.º</w:t>
      </w:r>
      <w:r>
        <w:rPr>
          <w:rFonts w:ascii="Arial" w:hAnsi="Arial"/>
          <w:b/>
          <w:spacing w:val="-1"/>
          <w:sz w:val="24"/>
        </w:rPr>
        <w:t> </w:t>
      </w:r>
      <w:r>
        <w:rPr>
          <w:rFonts w:ascii="Arial" w:hAnsi="Arial"/>
          <w:b/>
          <w:spacing w:val="-2"/>
          <w:sz w:val="24"/>
        </w:rPr>
        <w:t>7.606/2017</w:t>
      </w:r>
      <w:r>
        <w:rPr>
          <w:rFonts w:ascii="Arial" w:hAnsi="Arial"/>
          <w:b/>
          <w:sz w:val="24"/>
        </w:rPr>
        <w:tab/>
        <w:t>Data:</w:t>
      </w:r>
      <w:r>
        <w:rPr>
          <w:rFonts w:ascii="Arial" w:hAnsi="Arial"/>
          <w:b/>
          <w:spacing w:val="-4"/>
          <w:sz w:val="24"/>
        </w:rPr>
        <w:t> </w:t>
      </w:r>
      <w:r>
        <w:rPr>
          <w:rFonts w:ascii="Arial" w:hAnsi="Arial"/>
          <w:b/>
          <w:spacing w:val="-2"/>
          <w:sz w:val="24"/>
        </w:rPr>
        <w:t>29/08/2019</w:t>
      </w:r>
    </w:p>
    <w:p>
      <w:pPr>
        <w:pStyle w:val="BodyText"/>
        <w:rPr>
          <w:rFonts w:ascii="Arial"/>
          <w:b/>
        </w:rPr>
      </w:pPr>
    </w:p>
    <w:p>
      <w:pPr>
        <w:pStyle w:val="BodyText"/>
        <w:spacing w:before="20"/>
        <w:rPr>
          <w:rFonts w:ascii="Arial"/>
          <w:b/>
        </w:rPr>
      </w:pPr>
    </w:p>
    <w:p>
      <w:pPr>
        <w:pStyle w:val="BodyText"/>
        <w:spacing w:line="360" w:lineRule="auto"/>
        <w:ind w:left="428" w:right="1"/>
        <w:jc w:val="both"/>
      </w:pPr>
      <w:r>
        <w:rPr/>
        <w:t>realizadas várias ligações para a indicação do suplente do Sindicato dos Médicos e que não obteve retorno. O conselheiro Dr. Thiago Sanches sugere que seja feito um edital de convocação para que os Sindicatos e Associações representativas dos Servidores do Município de Petrópolis</w:t>
      </w:r>
      <w:r>
        <w:rPr>
          <w:spacing w:val="40"/>
        </w:rPr>
        <w:t> </w:t>
      </w:r>
      <w:r>
        <w:rPr/>
        <w:t>a fim de que manifestem o interesse em permanecer ou ingressar no Conselho Municipal de Previdência, em uma das vagas destinadas, mediante o preenchimento dos requisitos da Lei; os conselheiros concordam. O Presidente fala que será estudada a melhor maneira para que essa situação seja resolvida brevemente. Nada mais havendo a tratar, agradece a presença de todos e encerra a reunião às 11:30h.</w:t>
      </w:r>
      <w:r>
        <w:rPr>
          <w:spacing w:val="40"/>
        </w:rPr>
        <w:t> </w:t>
      </w:r>
      <w:r>
        <w:rPr/>
        <w:t>Lavrada a presente ata que segue assinada pelos presentes e por mim, Michelle Lopes, quem a digitou.</w:t>
      </w:r>
    </w:p>
    <w:p>
      <w:pPr>
        <w:pStyle w:val="BodyText"/>
        <w:rPr>
          <w:sz w:val="20"/>
        </w:rPr>
      </w:pPr>
    </w:p>
    <w:p>
      <w:pPr>
        <w:pStyle w:val="BodyText"/>
        <w:rPr>
          <w:sz w:val="20"/>
        </w:rPr>
      </w:pPr>
    </w:p>
    <w:p>
      <w:pPr>
        <w:pStyle w:val="BodyText"/>
        <w:spacing w:before="142"/>
        <w:rPr>
          <w:sz w:val="20"/>
        </w:rPr>
      </w:pPr>
    </w:p>
    <w:tbl>
      <w:tblPr>
        <w:tblW w:w="0" w:type="auto"/>
        <w:jc w:val="left"/>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5"/>
        <w:gridCol w:w="2970"/>
        <w:gridCol w:w="3171"/>
      </w:tblGrid>
      <w:tr>
        <w:trPr>
          <w:trHeight w:val="525" w:hRule="atLeast"/>
        </w:trPr>
        <w:tc>
          <w:tcPr>
            <w:tcW w:w="3015" w:type="dxa"/>
          </w:tcPr>
          <w:p>
            <w:pPr>
              <w:pStyle w:val="TableParagraph"/>
              <w:spacing w:line="268" w:lineRule="exact"/>
              <w:rPr>
                <w:sz w:val="24"/>
              </w:rPr>
            </w:pPr>
            <w:r>
              <w:rPr>
                <w:sz w:val="24"/>
              </w:rPr>
              <w:t>Ricardo</w:t>
            </w:r>
            <w:r>
              <w:rPr>
                <w:spacing w:val="-5"/>
                <w:sz w:val="24"/>
              </w:rPr>
              <w:t> </w:t>
            </w:r>
            <w:r>
              <w:rPr>
                <w:spacing w:val="-2"/>
                <w:sz w:val="24"/>
              </w:rPr>
              <w:t>Tocantins</w:t>
            </w:r>
          </w:p>
        </w:tc>
        <w:tc>
          <w:tcPr>
            <w:tcW w:w="2970" w:type="dxa"/>
          </w:tcPr>
          <w:p>
            <w:pPr>
              <w:pStyle w:val="TableParagraph"/>
              <w:spacing w:line="268" w:lineRule="exact"/>
              <w:ind w:left="155"/>
              <w:rPr>
                <w:sz w:val="24"/>
              </w:rPr>
            </w:pPr>
            <w:r>
              <w:rPr>
                <w:sz w:val="24"/>
              </w:rPr>
              <w:t>Jair</w:t>
            </w:r>
            <w:r>
              <w:rPr>
                <w:spacing w:val="-5"/>
                <w:sz w:val="24"/>
              </w:rPr>
              <w:t> </w:t>
            </w:r>
            <w:r>
              <w:rPr>
                <w:sz w:val="24"/>
              </w:rPr>
              <w:t>Nunes</w:t>
            </w:r>
            <w:r>
              <w:rPr>
                <w:spacing w:val="-2"/>
                <w:sz w:val="24"/>
              </w:rPr>
              <w:t> </w:t>
            </w:r>
            <w:r>
              <w:rPr>
                <w:spacing w:val="-4"/>
                <w:sz w:val="24"/>
              </w:rPr>
              <w:t>Almas</w:t>
            </w:r>
          </w:p>
        </w:tc>
        <w:tc>
          <w:tcPr>
            <w:tcW w:w="3171" w:type="dxa"/>
          </w:tcPr>
          <w:p>
            <w:pPr>
              <w:pStyle w:val="TableParagraph"/>
              <w:spacing w:line="268" w:lineRule="exact"/>
              <w:ind w:left="588"/>
              <w:rPr>
                <w:sz w:val="24"/>
              </w:rPr>
            </w:pPr>
            <w:r>
              <w:rPr>
                <w:sz w:val="24"/>
              </w:rPr>
              <w:t>Fernando</w:t>
            </w:r>
            <w:r>
              <w:rPr>
                <w:spacing w:val="-4"/>
                <w:sz w:val="24"/>
              </w:rPr>
              <w:t> </w:t>
            </w:r>
            <w:r>
              <w:rPr>
                <w:sz w:val="24"/>
              </w:rPr>
              <w:t>Leite</w:t>
            </w:r>
            <w:r>
              <w:rPr>
                <w:spacing w:val="-3"/>
                <w:sz w:val="24"/>
              </w:rPr>
              <w:t> </w:t>
            </w:r>
            <w:r>
              <w:rPr>
                <w:spacing w:val="-2"/>
                <w:sz w:val="24"/>
              </w:rPr>
              <w:t>Fortes</w:t>
            </w:r>
          </w:p>
        </w:tc>
      </w:tr>
      <w:tr>
        <w:trPr>
          <w:trHeight w:val="787" w:hRule="atLeast"/>
        </w:trPr>
        <w:tc>
          <w:tcPr>
            <w:tcW w:w="3015" w:type="dxa"/>
          </w:tcPr>
          <w:p>
            <w:pPr>
              <w:pStyle w:val="TableParagraph"/>
              <w:spacing w:before="249"/>
              <w:rPr>
                <w:sz w:val="24"/>
              </w:rPr>
            </w:pPr>
            <w:r>
              <w:rPr>
                <w:sz w:val="24"/>
              </w:rPr>
              <w:t>Miriam</w:t>
            </w:r>
            <w:r>
              <w:rPr>
                <w:spacing w:val="-4"/>
                <w:sz w:val="24"/>
              </w:rPr>
              <w:t> </w:t>
            </w:r>
            <w:r>
              <w:rPr>
                <w:sz w:val="24"/>
              </w:rPr>
              <w:t>Branco</w:t>
            </w:r>
            <w:r>
              <w:rPr>
                <w:spacing w:val="-2"/>
                <w:sz w:val="24"/>
              </w:rPr>
              <w:t> </w:t>
            </w:r>
            <w:r>
              <w:rPr>
                <w:sz w:val="24"/>
              </w:rPr>
              <w:t>dos</w:t>
            </w:r>
            <w:r>
              <w:rPr>
                <w:spacing w:val="-2"/>
                <w:sz w:val="24"/>
              </w:rPr>
              <w:t> Santos</w:t>
            </w:r>
          </w:p>
        </w:tc>
        <w:tc>
          <w:tcPr>
            <w:tcW w:w="2970" w:type="dxa"/>
          </w:tcPr>
          <w:p>
            <w:pPr>
              <w:pStyle w:val="TableParagraph"/>
              <w:spacing w:before="249"/>
              <w:ind w:left="155"/>
              <w:rPr>
                <w:sz w:val="24"/>
              </w:rPr>
            </w:pPr>
            <w:r>
              <w:rPr>
                <w:sz w:val="24"/>
              </w:rPr>
              <w:t>Aluízio</w:t>
            </w:r>
            <w:r>
              <w:rPr>
                <w:spacing w:val="-6"/>
                <w:sz w:val="24"/>
              </w:rPr>
              <w:t> </w:t>
            </w:r>
            <w:r>
              <w:rPr>
                <w:spacing w:val="-2"/>
                <w:sz w:val="24"/>
              </w:rPr>
              <w:t>Manzini</w:t>
            </w:r>
          </w:p>
        </w:tc>
        <w:tc>
          <w:tcPr>
            <w:tcW w:w="3171" w:type="dxa"/>
          </w:tcPr>
          <w:p>
            <w:pPr>
              <w:pStyle w:val="TableParagraph"/>
              <w:spacing w:before="249"/>
              <w:ind w:left="588"/>
              <w:rPr>
                <w:sz w:val="24"/>
              </w:rPr>
            </w:pPr>
            <w:r>
              <w:rPr>
                <w:sz w:val="24"/>
              </w:rPr>
              <w:t>Luciane</w:t>
            </w:r>
            <w:r>
              <w:rPr>
                <w:spacing w:val="-5"/>
                <w:sz w:val="24"/>
              </w:rPr>
              <w:t> </w:t>
            </w:r>
            <w:r>
              <w:rPr>
                <w:sz w:val="24"/>
              </w:rPr>
              <w:t>Amaral</w:t>
            </w:r>
            <w:r>
              <w:rPr>
                <w:spacing w:val="-2"/>
                <w:sz w:val="24"/>
              </w:rPr>
              <w:t> Michelli</w:t>
            </w:r>
          </w:p>
        </w:tc>
      </w:tr>
      <w:tr>
        <w:trPr>
          <w:trHeight w:val="793" w:hRule="atLeast"/>
        </w:trPr>
        <w:tc>
          <w:tcPr>
            <w:tcW w:w="3015" w:type="dxa"/>
          </w:tcPr>
          <w:p>
            <w:pPr>
              <w:pStyle w:val="TableParagraph"/>
              <w:spacing w:before="255"/>
              <w:rPr>
                <w:sz w:val="24"/>
              </w:rPr>
            </w:pPr>
            <w:r>
              <w:rPr>
                <w:sz w:val="24"/>
              </w:rPr>
              <w:t>Fernanda</w:t>
            </w:r>
            <w:r>
              <w:rPr>
                <w:spacing w:val="-5"/>
                <w:sz w:val="24"/>
              </w:rPr>
              <w:t> </w:t>
            </w:r>
            <w:r>
              <w:rPr>
                <w:spacing w:val="-2"/>
                <w:sz w:val="24"/>
              </w:rPr>
              <w:t>Lemos</w:t>
            </w:r>
          </w:p>
        </w:tc>
        <w:tc>
          <w:tcPr>
            <w:tcW w:w="2970" w:type="dxa"/>
          </w:tcPr>
          <w:p>
            <w:pPr>
              <w:pStyle w:val="TableParagraph"/>
              <w:spacing w:before="255"/>
              <w:ind w:left="155"/>
              <w:rPr>
                <w:sz w:val="24"/>
              </w:rPr>
            </w:pPr>
            <w:r>
              <w:rPr>
                <w:sz w:val="24"/>
              </w:rPr>
              <w:t>José</w:t>
            </w:r>
            <w:r>
              <w:rPr>
                <w:spacing w:val="-3"/>
                <w:sz w:val="24"/>
              </w:rPr>
              <w:t> </w:t>
            </w:r>
            <w:r>
              <w:rPr>
                <w:sz w:val="24"/>
              </w:rPr>
              <w:t>Carlos</w:t>
            </w:r>
            <w:r>
              <w:rPr>
                <w:spacing w:val="-3"/>
                <w:sz w:val="24"/>
              </w:rPr>
              <w:t> </w:t>
            </w:r>
            <w:r>
              <w:rPr>
                <w:spacing w:val="-2"/>
                <w:sz w:val="24"/>
              </w:rPr>
              <w:t>Recarey</w:t>
            </w:r>
          </w:p>
        </w:tc>
        <w:tc>
          <w:tcPr>
            <w:tcW w:w="3171" w:type="dxa"/>
          </w:tcPr>
          <w:p>
            <w:pPr>
              <w:pStyle w:val="TableParagraph"/>
              <w:spacing w:before="255"/>
              <w:ind w:left="588"/>
              <w:rPr>
                <w:sz w:val="24"/>
              </w:rPr>
            </w:pPr>
            <w:r>
              <w:rPr>
                <w:sz w:val="24"/>
              </w:rPr>
              <w:t>João</w:t>
            </w:r>
            <w:r>
              <w:rPr>
                <w:spacing w:val="-3"/>
                <w:sz w:val="24"/>
              </w:rPr>
              <w:t> </w:t>
            </w:r>
            <w:r>
              <w:rPr>
                <w:sz w:val="24"/>
              </w:rPr>
              <w:t>Carlos</w:t>
            </w:r>
            <w:r>
              <w:rPr>
                <w:spacing w:val="-3"/>
                <w:sz w:val="24"/>
              </w:rPr>
              <w:t> </w:t>
            </w:r>
            <w:r>
              <w:rPr>
                <w:spacing w:val="-2"/>
                <w:sz w:val="24"/>
              </w:rPr>
              <w:t>Raeder</w:t>
            </w:r>
          </w:p>
        </w:tc>
      </w:tr>
      <w:tr>
        <w:trPr>
          <w:trHeight w:val="1284" w:hRule="atLeast"/>
        </w:trPr>
        <w:tc>
          <w:tcPr>
            <w:tcW w:w="3015" w:type="dxa"/>
          </w:tcPr>
          <w:p>
            <w:pPr>
              <w:pStyle w:val="TableParagraph"/>
              <w:spacing w:before="254"/>
              <w:rPr>
                <w:sz w:val="24"/>
              </w:rPr>
            </w:pPr>
            <w:r>
              <w:rPr>
                <w:sz w:val="24"/>
              </w:rPr>
              <w:t>Reginaldo</w:t>
            </w:r>
            <w:r>
              <w:rPr>
                <w:spacing w:val="-5"/>
                <w:sz w:val="24"/>
              </w:rPr>
              <w:t> </w:t>
            </w:r>
            <w:r>
              <w:rPr>
                <w:spacing w:val="-2"/>
                <w:sz w:val="24"/>
              </w:rPr>
              <w:t>Xavier</w:t>
            </w:r>
          </w:p>
          <w:p>
            <w:pPr>
              <w:pStyle w:val="TableParagraph"/>
              <w:spacing w:before="202"/>
              <w:ind w:left="0"/>
              <w:rPr>
                <w:sz w:val="24"/>
              </w:rPr>
            </w:pPr>
          </w:p>
          <w:p>
            <w:pPr>
              <w:pStyle w:val="TableParagraph"/>
              <w:spacing w:line="256" w:lineRule="exact"/>
              <w:rPr>
                <w:sz w:val="24"/>
              </w:rPr>
            </w:pPr>
            <w:r>
              <w:rPr>
                <w:sz w:val="24"/>
              </w:rPr>
              <w:t>Andrea</w:t>
            </w:r>
            <w:r>
              <w:rPr>
                <w:spacing w:val="-4"/>
                <w:sz w:val="24"/>
              </w:rPr>
              <w:t> </w:t>
            </w:r>
            <w:r>
              <w:rPr>
                <w:sz w:val="24"/>
              </w:rPr>
              <w:t>dos</w:t>
            </w:r>
            <w:r>
              <w:rPr>
                <w:spacing w:val="-4"/>
                <w:sz w:val="24"/>
              </w:rPr>
              <w:t> </w:t>
            </w:r>
            <w:r>
              <w:rPr>
                <w:sz w:val="24"/>
              </w:rPr>
              <w:t>Santos</w:t>
            </w:r>
            <w:r>
              <w:rPr>
                <w:spacing w:val="-1"/>
                <w:sz w:val="24"/>
              </w:rPr>
              <w:t> </w:t>
            </w:r>
            <w:r>
              <w:rPr>
                <w:spacing w:val="-4"/>
                <w:sz w:val="24"/>
              </w:rPr>
              <w:t>Silva</w:t>
            </w:r>
          </w:p>
        </w:tc>
        <w:tc>
          <w:tcPr>
            <w:tcW w:w="2970" w:type="dxa"/>
          </w:tcPr>
          <w:p>
            <w:pPr>
              <w:pStyle w:val="TableParagraph"/>
              <w:spacing w:before="254"/>
              <w:ind w:left="155"/>
              <w:rPr>
                <w:sz w:val="24"/>
              </w:rPr>
            </w:pPr>
            <w:r>
              <w:rPr>
                <w:sz w:val="24"/>
              </w:rPr>
              <w:t>Thiago</w:t>
            </w:r>
            <w:r>
              <w:rPr>
                <w:spacing w:val="-4"/>
                <w:sz w:val="24"/>
              </w:rPr>
              <w:t> </w:t>
            </w:r>
            <w:r>
              <w:rPr>
                <w:spacing w:val="-2"/>
                <w:sz w:val="24"/>
              </w:rPr>
              <w:t>Sanches</w:t>
            </w:r>
          </w:p>
          <w:p>
            <w:pPr>
              <w:pStyle w:val="TableParagraph"/>
              <w:spacing w:before="202"/>
              <w:ind w:left="0"/>
              <w:rPr>
                <w:sz w:val="24"/>
              </w:rPr>
            </w:pPr>
          </w:p>
          <w:p>
            <w:pPr>
              <w:pStyle w:val="TableParagraph"/>
              <w:spacing w:line="256" w:lineRule="exact"/>
              <w:ind w:left="155"/>
              <w:rPr>
                <w:sz w:val="24"/>
              </w:rPr>
            </w:pPr>
            <w:r>
              <w:rPr>
                <w:sz w:val="24"/>
              </w:rPr>
              <w:t>Michelle</w:t>
            </w:r>
            <w:r>
              <w:rPr>
                <w:spacing w:val="-6"/>
                <w:sz w:val="24"/>
              </w:rPr>
              <w:t> </w:t>
            </w:r>
            <w:r>
              <w:rPr>
                <w:spacing w:val="-2"/>
                <w:sz w:val="24"/>
              </w:rPr>
              <w:t>Lopes</w:t>
            </w:r>
          </w:p>
        </w:tc>
        <w:tc>
          <w:tcPr>
            <w:tcW w:w="3171" w:type="dxa"/>
          </w:tcPr>
          <w:p>
            <w:pPr>
              <w:pStyle w:val="TableParagraph"/>
              <w:spacing w:before="254"/>
              <w:ind w:left="588"/>
              <w:rPr>
                <w:sz w:val="24"/>
              </w:rPr>
            </w:pPr>
            <w:r>
              <w:rPr>
                <w:sz w:val="24"/>
              </w:rPr>
              <w:t>Iris</w:t>
            </w:r>
            <w:r>
              <w:rPr>
                <w:spacing w:val="-1"/>
                <w:sz w:val="24"/>
              </w:rPr>
              <w:t> </w:t>
            </w:r>
            <w:r>
              <w:rPr>
                <w:spacing w:val="-2"/>
                <w:sz w:val="24"/>
              </w:rPr>
              <w:t>Palma</w:t>
            </w:r>
          </w:p>
        </w:tc>
      </w:tr>
    </w:tbl>
    <w:sectPr>
      <w:pgSz w:w="11910" w:h="16840"/>
      <w:pgMar w:header="0" w:footer="1565" w:top="1040" w:bottom="1760" w:left="708"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39200">
              <wp:simplePos x="0" y="0"/>
              <wp:positionH relativeFrom="page">
                <wp:posOffset>2438400</wp:posOffset>
              </wp:positionH>
              <wp:positionV relativeFrom="page">
                <wp:posOffset>9558390</wp:posOffset>
              </wp:positionV>
              <wp:extent cx="2684780" cy="3035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84780" cy="303530"/>
                      </a:xfrm>
                      <a:prstGeom prst="rect">
                        <a:avLst/>
                      </a:prstGeom>
                    </wps:spPr>
                    <wps:txbx>
                      <w:txbxContent>
                        <w:p>
                          <w:pPr>
                            <w:spacing w:before="20"/>
                            <w:ind w:left="1" w:right="0" w:firstLine="0"/>
                            <w:jc w:val="center"/>
                            <w:rPr>
                              <w:rFonts w:ascii="Verdana" w:hAnsi="Verdana"/>
                              <w:sz w:val="12"/>
                            </w:rPr>
                          </w:pPr>
                          <w:r>
                            <w:rPr>
                              <w:rFonts w:ascii="Verdana" w:hAnsi="Verdana"/>
                              <w:sz w:val="12"/>
                            </w:rPr>
                            <w:t>Rua</w:t>
                          </w:r>
                          <w:r>
                            <w:rPr>
                              <w:rFonts w:ascii="Verdana" w:hAnsi="Verdana"/>
                              <w:spacing w:val="-4"/>
                              <w:sz w:val="12"/>
                            </w:rPr>
                            <w:t> </w:t>
                          </w:r>
                          <w:r>
                            <w:rPr>
                              <w:rFonts w:ascii="Verdana" w:hAnsi="Verdana"/>
                              <w:sz w:val="12"/>
                            </w:rPr>
                            <w:t>Dr.</w:t>
                          </w:r>
                          <w:r>
                            <w:rPr>
                              <w:rFonts w:ascii="Verdana" w:hAnsi="Verdana"/>
                              <w:spacing w:val="-3"/>
                              <w:sz w:val="12"/>
                            </w:rPr>
                            <w:t> </w:t>
                          </w:r>
                          <w:r>
                            <w:rPr>
                              <w:rFonts w:ascii="Verdana" w:hAnsi="Verdana"/>
                              <w:sz w:val="12"/>
                            </w:rPr>
                            <w:t>Alencar</w:t>
                          </w:r>
                          <w:r>
                            <w:rPr>
                              <w:rFonts w:ascii="Verdana" w:hAnsi="Verdana"/>
                              <w:spacing w:val="-3"/>
                              <w:sz w:val="12"/>
                            </w:rPr>
                            <w:t> </w:t>
                          </w:r>
                          <w:r>
                            <w:rPr>
                              <w:rFonts w:ascii="Verdana" w:hAnsi="Verdana"/>
                              <w:sz w:val="12"/>
                            </w:rPr>
                            <w:t>Lima</w:t>
                          </w:r>
                          <w:r>
                            <w:rPr>
                              <w:rFonts w:ascii="Verdana" w:hAnsi="Verdana"/>
                              <w:spacing w:val="-4"/>
                              <w:sz w:val="12"/>
                            </w:rPr>
                            <w:t> </w:t>
                          </w:r>
                          <w:r>
                            <w:rPr>
                              <w:rFonts w:ascii="Verdana" w:hAnsi="Verdana"/>
                              <w:sz w:val="12"/>
                            </w:rPr>
                            <w:t>35,</w:t>
                          </w:r>
                          <w:r>
                            <w:rPr>
                              <w:rFonts w:ascii="Verdana" w:hAnsi="Verdana"/>
                              <w:spacing w:val="37"/>
                              <w:sz w:val="12"/>
                            </w:rPr>
                            <w:t> </w:t>
                          </w:r>
                          <w:r>
                            <w:rPr>
                              <w:rFonts w:ascii="Verdana" w:hAnsi="Verdana"/>
                              <w:sz w:val="12"/>
                            </w:rPr>
                            <w:t>Centro</w:t>
                          </w:r>
                          <w:r>
                            <w:rPr>
                              <w:rFonts w:ascii="Verdana" w:hAnsi="Verdana"/>
                              <w:spacing w:val="-5"/>
                              <w:sz w:val="12"/>
                            </w:rPr>
                            <w:t> </w:t>
                          </w:r>
                          <w:r>
                            <w:rPr>
                              <w:rFonts w:ascii="Verdana" w:hAnsi="Verdana"/>
                              <w:sz w:val="12"/>
                            </w:rPr>
                            <w:t>-</w:t>
                          </w:r>
                          <w:r>
                            <w:rPr>
                              <w:rFonts w:ascii="Verdana" w:hAnsi="Verdana"/>
                              <w:spacing w:val="-4"/>
                              <w:sz w:val="12"/>
                            </w:rPr>
                            <w:t> </w:t>
                          </w:r>
                          <w:r>
                            <w:rPr>
                              <w:rFonts w:ascii="Verdana" w:hAnsi="Verdana"/>
                              <w:sz w:val="12"/>
                            </w:rPr>
                            <w:t>Petrópolis</w:t>
                          </w:r>
                          <w:r>
                            <w:rPr>
                              <w:rFonts w:ascii="Verdana" w:hAnsi="Verdana"/>
                              <w:spacing w:val="-4"/>
                              <w:sz w:val="12"/>
                            </w:rPr>
                            <w:t> </w:t>
                          </w:r>
                          <w:r>
                            <w:rPr>
                              <w:rFonts w:ascii="Verdana" w:hAnsi="Verdana"/>
                              <w:sz w:val="12"/>
                            </w:rPr>
                            <w:t>-</w:t>
                          </w:r>
                          <w:r>
                            <w:rPr>
                              <w:rFonts w:ascii="Verdana" w:hAnsi="Verdana"/>
                              <w:spacing w:val="-2"/>
                              <w:sz w:val="12"/>
                            </w:rPr>
                            <w:t> </w:t>
                          </w:r>
                          <w:r>
                            <w:rPr>
                              <w:rFonts w:ascii="Verdana" w:hAnsi="Verdana"/>
                              <w:sz w:val="12"/>
                            </w:rPr>
                            <w:t>RJ</w:t>
                          </w:r>
                          <w:r>
                            <w:rPr>
                              <w:rFonts w:ascii="Verdana" w:hAnsi="Verdana"/>
                              <w:spacing w:val="-4"/>
                              <w:sz w:val="12"/>
                            </w:rPr>
                            <w:t> </w:t>
                          </w:r>
                          <w:r>
                            <w:rPr>
                              <w:rFonts w:ascii="Verdana" w:hAnsi="Verdana"/>
                              <w:sz w:val="12"/>
                            </w:rPr>
                            <w:t>-</w:t>
                          </w:r>
                          <w:r>
                            <w:rPr>
                              <w:rFonts w:ascii="Verdana" w:hAnsi="Verdana"/>
                              <w:spacing w:val="-4"/>
                              <w:sz w:val="12"/>
                            </w:rPr>
                            <w:t> </w:t>
                          </w:r>
                          <w:r>
                            <w:rPr>
                              <w:rFonts w:ascii="Verdana" w:hAnsi="Verdana"/>
                              <w:sz w:val="12"/>
                            </w:rPr>
                            <w:t>CEP.:</w:t>
                          </w:r>
                          <w:r>
                            <w:rPr>
                              <w:rFonts w:ascii="Verdana" w:hAnsi="Verdana"/>
                              <w:spacing w:val="-4"/>
                              <w:sz w:val="12"/>
                            </w:rPr>
                            <w:t> </w:t>
                          </w:r>
                          <w:r>
                            <w:rPr>
                              <w:rFonts w:ascii="Verdana" w:hAnsi="Verdana"/>
                              <w:sz w:val="12"/>
                            </w:rPr>
                            <w:t>25620-050 CNPJ 31.157.589/0001-60 - Tel/Fax: (24) 2220-9200, 2231-1660</w:t>
                          </w:r>
                        </w:p>
                        <w:p>
                          <w:pPr>
                            <w:spacing w:before="0"/>
                            <w:ind w:left="44" w:right="0" w:firstLine="0"/>
                            <w:jc w:val="center"/>
                            <w:rPr>
                              <w:rFonts w:ascii="Verdana"/>
                              <w:sz w:val="12"/>
                            </w:rPr>
                          </w:pPr>
                          <w:r>
                            <w:rPr>
                              <w:rFonts w:ascii="Verdana"/>
                              <w:sz w:val="12"/>
                            </w:rPr>
                            <w:t>E-mail:</w:t>
                          </w:r>
                          <w:r>
                            <w:rPr>
                              <w:rFonts w:ascii="Verdana"/>
                              <w:spacing w:val="-6"/>
                              <w:sz w:val="12"/>
                            </w:rPr>
                            <w:t> </w:t>
                          </w:r>
                          <w:hyperlink r:id="rId1">
                            <w:r>
                              <w:rPr>
                                <w:rFonts w:ascii="Verdana"/>
                                <w:spacing w:val="-2"/>
                                <w:sz w:val="12"/>
                              </w:rPr>
                              <w:t>gabinete@inpas.rj.gov.br</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2pt;margin-top:752.62915pt;width:211.4pt;height:23.9pt;mso-position-horizontal-relative:page;mso-position-vertical-relative:page;z-index:-15777280" type="#_x0000_t202" id="docshape1" filled="false" stroked="false">
              <v:textbox inset="0,0,0,0">
                <w:txbxContent>
                  <w:p>
                    <w:pPr>
                      <w:spacing w:before="20"/>
                      <w:ind w:left="1" w:right="0" w:firstLine="0"/>
                      <w:jc w:val="center"/>
                      <w:rPr>
                        <w:rFonts w:ascii="Verdana" w:hAnsi="Verdana"/>
                        <w:sz w:val="12"/>
                      </w:rPr>
                    </w:pPr>
                    <w:r>
                      <w:rPr>
                        <w:rFonts w:ascii="Verdana" w:hAnsi="Verdana"/>
                        <w:sz w:val="12"/>
                      </w:rPr>
                      <w:t>Rua</w:t>
                    </w:r>
                    <w:r>
                      <w:rPr>
                        <w:rFonts w:ascii="Verdana" w:hAnsi="Verdana"/>
                        <w:spacing w:val="-4"/>
                        <w:sz w:val="12"/>
                      </w:rPr>
                      <w:t> </w:t>
                    </w:r>
                    <w:r>
                      <w:rPr>
                        <w:rFonts w:ascii="Verdana" w:hAnsi="Verdana"/>
                        <w:sz w:val="12"/>
                      </w:rPr>
                      <w:t>Dr.</w:t>
                    </w:r>
                    <w:r>
                      <w:rPr>
                        <w:rFonts w:ascii="Verdana" w:hAnsi="Verdana"/>
                        <w:spacing w:val="-3"/>
                        <w:sz w:val="12"/>
                      </w:rPr>
                      <w:t> </w:t>
                    </w:r>
                    <w:r>
                      <w:rPr>
                        <w:rFonts w:ascii="Verdana" w:hAnsi="Verdana"/>
                        <w:sz w:val="12"/>
                      </w:rPr>
                      <w:t>Alencar</w:t>
                    </w:r>
                    <w:r>
                      <w:rPr>
                        <w:rFonts w:ascii="Verdana" w:hAnsi="Verdana"/>
                        <w:spacing w:val="-3"/>
                        <w:sz w:val="12"/>
                      </w:rPr>
                      <w:t> </w:t>
                    </w:r>
                    <w:r>
                      <w:rPr>
                        <w:rFonts w:ascii="Verdana" w:hAnsi="Verdana"/>
                        <w:sz w:val="12"/>
                      </w:rPr>
                      <w:t>Lima</w:t>
                    </w:r>
                    <w:r>
                      <w:rPr>
                        <w:rFonts w:ascii="Verdana" w:hAnsi="Verdana"/>
                        <w:spacing w:val="-4"/>
                        <w:sz w:val="12"/>
                      </w:rPr>
                      <w:t> </w:t>
                    </w:r>
                    <w:r>
                      <w:rPr>
                        <w:rFonts w:ascii="Verdana" w:hAnsi="Verdana"/>
                        <w:sz w:val="12"/>
                      </w:rPr>
                      <w:t>35,</w:t>
                    </w:r>
                    <w:r>
                      <w:rPr>
                        <w:rFonts w:ascii="Verdana" w:hAnsi="Verdana"/>
                        <w:spacing w:val="37"/>
                        <w:sz w:val="12"/>
                      </w:rPr>
                      <w:t> </w:t>
                    </w:r>
                    <w:r>
                      <w:rPr>
                        <w:rFonts w:ascii="Verdana" w:hAnsi="Verdana"/>
                        <w:sz w:val="12"/>
                      </w:rPr>
                      <w:t>Centro</w:t>
                    </w:r>
                    <w:r>
                      <w:rPr>
                        <w:rFonts w:ascii="Verdana" w:hAnsi="Verdana"/>
                        <w:spacing w:val="-5"/>
                        <w:sz w:val="12"/>
                      </w:rPr>
                      <w:t> </w:t>
                    </w:r>
                    <w:r>
                      <w:rPr>
                        <w:rFonts w:ascii="Verdana" w:hAnsi="Verdana"/>
                        <w:sz w:val="12"/>
                      </w:rPr>
                      <w:t>-</w:t>
                    </w:r>
                    <w:r>
                      <w:rPr>
                        <w:rFonts w:ascii="Verdana" w:hAnsi="Verdana"/>
                        <w:spacing w:val="-4"/>
                        <w:sz w:val="12"/>
                      </w:rPr>
                      <w:t> </w:t>
                    </w:r>
                    <w:r>
                      <w:rPr>
                        <w:rFonts w:ascii="Verdana" w:hAnsi="Verdana"/>
                        <w:sz w:val="12"/>
                      </w:rPr>
                      <w:t>Petrópolis</w:t>
                    </w:r>
                    <w:r>
                      <w:rPr>
                        <w:rFonts w:ascii="Verdana" w:hAnsi="Verdana"/>
                        <w:spacing w:val="-4"/>
                        <w:sz w:val="12"/>
                      </w:rPr>
                      <w:t> </w:t>
                    </w:r>
                    <w:r>
                      <w:rPr>
                        <w:rFonts w:ascii="Verdana" w:hAnsi="Verdana"/>
                        <w:sz w:val="12"/>
                      </w:rPr>
                      <w:t>-</w:t>
                    </w:r>
                    <w:r>
                      <w:rPr>
                        <w:rFonts w:ascii="Verdana" w:hAnsi="Verdana"/>
                        <w:spacing w:val="-2"/>
                        <w:sz w:val="12"/>
                      </w:rPr>
                      <w:t> </w:t>
                    </w:r>
                    <w:r>
                      <w:rPr>
                        <w:rFonts w:ascii="Verdana" w:hAnsi="Verdana"/>
                        <w:sz w:val="12"/>
                      </w:rPr>
                      <w:t>RJ</w:t>
                    </w:r>
                    <w:r>
                      <w:rPr>
                        <w:rFonts w:ascii="Verdana" w:hAnsi="Verdana"/>
                        <w:spacing w:val="-4"/>
                        <w:sz w:val="12"/>
                      </w:rPr>
                      <w:t> </w:t>
                    </w:r>
                    <w:r>
                      <w:rPr>
                        <w:rFonts w:ascii="Verdana" w:hAnsi="Verdana"/>
                        <w:sz w:val="12"/>
                      </w:rPr>
                      <w:t>-</w:t>
                    </w:r>
                    <w:r>
                      <w:rPr>
                        <w:rFonts w:ascii="Verdana" w:hAnsi="Verdana"/>
                        <w:spacing w:val="-4"/>
                        <w:sz w:val="12"/>
                      </w:rPr>
                      <w:t> </w:t>
                    </w:r>
                    <w:r>
                      <w:rPr>
                        <w:rFonts w:ascii="Verdana" w:hAnsi="Verdana"/>
                        <w:sz w:val="12"/>
                      </w:rPr>
                      <w:t>CEP.:</w:t>
                    </w:r>
                    <w:r>
                      <w:rPr>
                        <w:rFonts w:ascii="Verdana" w:hAnsi="Verdana"/>
                        <w:spacing w:val="-4"/>
                        <w:sz w:val="12"/>
                      </w:rPr>
                      <w:t> </w:t>
                    </w:r>
                    <w:r>
                      <w:rPr>
                        <w:rFonts w:ascii="Verdana" w:hAnsi="Verdana"/>
                        <w:sz w:val="12"/>
                      </w:rPr>
                      <w:t>25620-050 CNPJ 31.157.589/0001-60 - Tel/Fax: (24) 2220-9200, 2231-1660</w:t>
                    </w:r>
                  </w:p>
                  <w:p>
                    <w:pPr>
                      <w:spacing w:before="0"/>
                      <w:ind w:left="44" w:right="0" w:firstLine="0"/>
                      <w:jc w:val="center"/>
                      <w:rPr>
                        <w:rFonts w:ascii="Verdana"/>
                        <w:sz w:val="12"/>
                      </w:rPr>
                    </w:pPr>
                    <w:r>
                      <w:rPr>
                        <w:rFonts w:ascii="Verdana"/>
                        <w:sz w:val="12"/>
                      </w:rPr>
                      <w:t>E-mail:</w:t>
                    </w:r>
                    <w:r>
                      <w:rPr>
                        <w:rFonts w:ascii="Verdana"/>
                        <w:spacing w:val="-6"/>
                        <w:sz w:val="12"/>
                      </w:rPr>
                      <w:t> </w:t>
                    </w:r>
                    <w:hyperlink r:id="rId1">
                      <w:r>
                        <w:rPr>
                          <w:rFonts w:ascii="Verdana"/>
                          <w:spacing w:val="-2"/>
                          <w:sz w:val="12"/>
                        </w:rPr>
                        <w:t>gabinete@inpas.rj.gov.br</w:t>
                      </w:r>
                    </w:hyperlink>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ind w:left="50"/>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gabinete@inpas.rj.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2025-07-23T14:20:39Z</dcterms:created>
  <dcterms:modified xsi:type="dcterms:W3CDTF">2025-07-23T14:20:39Z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Writer</vt:lpwstr>
  </property>
  <property fmtid="{D5CDD505-2E9C-101B-9397-08002B2CF9AE}" pid="4" name="Producer">
    <vt:lpwstr>LibreOffice 5.4</vt:lpwstr>
  </property>
  <property fmtid="{D5CDD505-2E9C-101B-9397-08002B2CF9AE}" pid="5" name="LastSaved">
    <vt:filetime>2020-03-09T00:00:00Z</vt:filetime>
  </property>
</Properties>
</file>