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4"/>
        <w:rPr>
          <w:rFonts w:ascii="Times New Roman"/>
        </w:rPr>
      </w:pPr>
    </w:p>
    <w:p>
      <w:pPr>
        <w:pStyle w:val="BodyText"/>
        <w:spacing w:line="360" w:lineRule="auto" w:before="1"/>
        <w:ind w:left="429" w:right="138"/>
        <w:jc w:val="both"/>
      </w:pPr>
      <w:r>
        <w:rPr/>
        <w:t>Às 10:30h do dia 18 de setembro de 2018, terça-feira, foi realizada a reunião ordinária</w:t>
      </w:r>
      <w:r>
        <w:rPr>
          <w:spacing w:val="80"/>
        </w:rPr>
        <w:t> </w:t>
      </w:r>
      <w:r>
        <w:rPr/>
        <w:t>do Conselho Municipal de Previdência de Petrópolis - CMPP. Presentes os Conselheiros e servidores do Inpas, que assinaram o Livro de Presença. Dr.ª Patricia Ventura Dias Morais Marinho, suplente do Presidente do CMPP, abre a reunião, justificando a ausência</w:t>
      </w:r>
      <w:r>
        <w:rPr>
          <w:spacing w:val="40"/>
        </w:rPr>
        <w:t> </w:t>
      </w:r>
      <w:r>
        <w:rPr/>
        <w:t>do Presidente do Conselho, devido à convocação do Sr. Prefeito. Passa ao primeiro item da pauta – Leitura da Ata anterior, de 29/05/2018, e</w:t>
      </w:r>
      <w:r>
        <w:rPr>
          <w:spacing w:val="40"/>
        </w:rPr>
        <w:t> </w:t>
      </w:r>
      <w:r>
        <w:rPr/>
        <w:t>solicita que alguém a leia.</w:t>
      </w:r>
      <w:r>
        <w:rPr>
          <w:spacing w:val="80"/>
        </w:rPr>
        <w:t> </w:t>
      </w:r>
      <w:r>
        <w:rPr/>
        <w:t>Reginaldo Xavier Wenceslau faz a leitura; ao final, pergunta se existem correções a serem feitas. É aprovada a ata. Patricia Marinho expõe</w:t>
      </w:r>
      <w:r>
        <w:rPr>
          <w:spacing w:val="80"/>
        </w:rPr>
        <w:t> </w:t>
      </w:r>
      <w:r>
        <w:rPr/>
        <w:t>o</w:t>
      </w:r>
      <w:r>
        <w:rPr>
          <w:spacing w:val="40"/>
        </w:rPr>
        <w:t> </w:t>
      </w:r>
      <w:r>
        <w:rPr/>
        <w:t>segundo item de pauta – Apreciação da Política de Investimento, para exercício de 2019. Passa a palavra para a Presidente do Comitê de Investimentos,</w:t>
      </w:r>
      <w:r>
        <w:rPr>
          <w:spacing w:val="40"/>
        </w:rPr>
        <w:t> </w:t>
      </w:r>
      <w:r>
        <w:rPr/>
        <w:t>Lucimar da Gloria Gomes, que cumprimenta a todos e fala que a Política de Investimentos, elaborada pelo Comitê, para o exercício de 2019, é pautada pelo conservadorismo nos investimentos, tendo em vista</w:t>
      </w:r>
      <w:r>
        <w:rPr>
          <w:spacing w:val="40"/>
        </w:rPr>
        <w:t> </w:t>
      </w:r>
      <w:r>
        <w:rPr/>
        <w:t>que nossos recursos são escassos e a legislação vigente, que disciplina as aplicações dos RPPS. Diz que somos, constantemente, fiscalizados pela Secretaria de Previdência Social e que foi enviada aos conselheiros, via e- mail, a Política de Investimentos para apreciação. Alguns Conselheiros disseram que não receberam o e-mail. Lucimar Glória diz que será reenviado. Lucimar coloca-se à disposição para esclarecer dúvidas e</w:t>
      </w:r>
      <w:r>
        <w:rPr>
          <w:spacing w:val="40"/>
        </w:rPr>
        <w:t> </w:t>
      </w:r>
      <w:r>
        <w:rPr/>
        <w:t>fica para a próxima reunião do Conselho a aprovação da Política de Investimento. Patrícia Ventura passa ao terceiro item de pauta - Decisão de Recurso – processo 418/2017. Pergunta se todos leram os Relatórios, tendo em vista que é a segunda vez que entra em pauta, porém como o e-mail foi enviado para os titulares e os suplentes presentes não tiveram conhecimento do mesmo, fica acordado que será enviado ofício, encaminhando</w:t>
      </w:r>
      <w:r>
        <w:rPr>
          <w:spacing w:val="40"/>
        </w:rPr>
        <w:t> </w:t>
      </w:r>
      <w:r>
        <w:rPr/>
        <w:t>os Relatórios, impressos, para os Conselheiros. Patrícia Ventura lê o quarto item de pauta – Assuntos Gerais. Passa a palavra para a conselheira, Dr.ª Luciane Amaral Michelli, que cumprimenta a todos</w:t>
      </w:r>
      <w:r>
        <w:rPr>
          <w:spacing w:val="40"/>
        </w:rPr>
        <w:t> </w:t>
      </w:r>
      <w:r>
        <w:rPr/>
        <w:t>e fala que atendendo ao requerimento</w:t>
      </w:r>
      <w:r>
        <w:rPr>
          <w:spacing w:val="40"/>
        </w:rPr>
        <w:t> </w:t>
      </w:r>
      <w:r>
        <w:rPr/>
        <w:t>do SINDFISC, sobre os Precatórios, explica que a PGM não tem um controle de todos processos e que pediu uma certidão ao fórum de todos os processos em</w:t>
      </w:r>
      <w:r>
        <w:rPr>
          <w:spacing w:val="-1"/>
        </w:rPr>
        <w:t> </w:t>
      </w:r>
      <w:r>
        <w:rPr/>
        <w:t>face do Município, não são todos de servidores. A Conselheira, representante do SINDFISC, Rosane do Amaral, fala que não é sobre os precatórios, e sim sobre</w:t>
      </w:r>
      <w:r>
        <w:rPr>
          <w:spacing w:val="40"/>
        </w:rPr>
        <w:t> </w:t>
      </w:r>
      <w:r>
        <w:rPr/>
        <w:t>a retenção do</w:t>
      </w:r>
      <w:r>
        <w:rPr>
          <w:spacing w:val="40"/>
        </w:rPr>
        <w:t> </w:t>
      </w:r>
      <w:r>
        <w:rPr/>
        <w:t>valor da contribuição</w:t>
      </w:r>
      <w:r>
        <w:rPr>
          <w:spacing w:val="80"/>
        </w:rPr>
        <w:t> </w:t>
      </w:r>
      <w:r>
        <w:rPr/>
        <w:t>do servidor e da patronal que</w:t>
      </w:r>
      <w:r>
        <w:rPr>
          <w:spacing w:val="40"/>
        </w:rPr>
        <w:t> </w:t>
      </w:r>
      <w:r>
        <w:rPr/>
        <w:t>é retida nas sentenças judiciais e não são</w:t>
      </w:r>
      <w:r>
        <w:rPr>
          <w:spacing w:val="40"/>
        </w:rPr>
        <w:t> </w:t>
      </w:r>
      <w:r>
        <w:rPr/>
        <w:t>repassadas ao Inpas. Dr.ª Luciane fala que esta parte cabe à Secretaria de Fazenda. Lidiane Rosa Gomes da Silveira, representante da Secretaria de Fazenda, diz que desconhece este assunto e ira se informar e,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próxima</w:t>
      </w:r>
      <w:r>
        <w:rPr>
          <w:spacing w:val="-3"/>
        </w:rPr>
        <w:t> </w:t>
      </w:r>
      <w:r>
        <w:rPr/>
        <w:t>reunião,</w:t>
      </w:r>
      <w:r>
        <w:rPr>
          <w:spacing w:val="-2"/>
        </w:rPr>
        <w:t> </w:t>
      </w:r>
      <w:r>
        <w:rPr/>
        <w:t>trará</w:t>
      </w:r>
      <w:r>
        <w:rPr>
          <w:spacing w:val="-3"/>
        </w:rPr>
        <w:t> </w:t>
      </w:r>
      <w:r>
        <w:rPr/>
        <w:t>informações.</w:t>
      </w:r>
      <w:r>
        <w:rPr>
          <w:spacing w:val="-2"/>
        </w:rPr>
        <w:t> </w:t>
      </w:r>
      <w:r>
        <w:rPr/>
        <w:t>Rosane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Amaral</w:t>
      </w:r>
      <w:r>
        <w:rPr>
          <w:spacing w:val="-4"/>
        </w:rPr>
        <w:t> </w:t>
      </w:r>
      <w:r>
        <w:rPr/>
        <w:t>relata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participou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reunião</w:t>
      </w:r>
    </w:p>
    <w:p>
      <w:pPr>
        <w:pStyle w:val="BodyText"/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69" w:footer="483" w:top="2160" w:bottom="680" w:left="1275" w:right="992"/>
          <w:pgNumType w:start="67"/>
        </w:sectPr>
      </w:pPr>
    </w:p>
    <w:p>
      <w:pPr>
        <w:pStyle w:val="BodyText"/>
        <w:spacing w:before="125"/>
      </w:pPr>
    </w:p>
    <w:p>
      <w:pPr>
        <w:pStyle w:val="BodyText"/>
        <w:spacing w:line="360" w:lineRule="auto" w:before="1"/>
        <w:ind w:left="429" w:right="141"/>
        <w:jc w:val="both"/>
      </w:pPr>
      <w:r>
        <w:rPr/>
        <w:t>do CONFIS que escolheu o presidente do Conselho. Lembra da necessidade da criação do Regimento Interno do Conselho. Dr.ª Patricia Ventura agradece a presença de todos,</w:t>
      </w:r>
      <w:r>
        <w:rPr>
          <w:spacing w:val="40"/>
        </w:rPr>
        <w:t> </w:t>
      </w:r>
      <w:r>
        <w:rPr/>
        <w:t>nada mais havendo a tratar é encerrada a reunião às 11:00h.</w:t>
      </w:r>
      <w:r>
        <w:rPr>
          <w:spacing w:val="40"/>
        </w:rPr>
        <w:t> </w:t>
      </w:r>
      <w:r>
        <w:rPr/>
        <w:t>Lavrada a presente ata que segue assinada pelos presentes e por mim, Sonia Leão,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tabs>
          <w:tab w:pos="3256" w:val="left" w:leader="none"/>
          <w:tab w:pos="6662" w:val="left" w:leader="none"/>
        </w:tabs>
        <w:spacing w:line="720" w:lineRule="auto" w:before="1"/>
        <w:ind w:left="136" w:right="675" w:firstLine="0"/>
        <w:jc w:val="left"/>
        <w:rPr>
          <w:sz w:val="20"/>
        </w:rPr>
      </w:pPr>
      <w:r>
        <w:rPr>
          <w:sz w:val="20"/>
        </w:rPr>
        <w:t>Reginaldo Xavier Wenceslau</w:t>
        <w:tab/>
        <w:t>Patricia</w:t>
      </w:r>
      <w:r>
        <w:rPr>
          <w:spacing w:val="-8"/>
          <w:sz w:val="20"/>
        </w:rPr>
        <w:t> </w:t>
      </w:r>
      <w:r>
        <w:rPr>
          <w:sz w:val="20"/>
        </w:rPr>
        <w:t>Ventura</w:t>
      </w:r>
      <w:r>
        <w:rPr>
          <w:spacing w:val="-6"/>
          <w:sz w:val="20"/>
        </w:rPr>
        <w:t> </w:t>
      </w:r>
      <w:r>
        <w:rPr>
          <w:sz w:val="20"/>
        </w:rPr>
        <w:t>Dias</w:t>
      </w:r>
      <w:r>
        <w:rPr>
          <w:spacing w:val="-5"/>
          <w:sz w:val="20"/>
        </w:rPr>
        <w:t> </w:t>
      </w:r>
      <w:r>
        <w:rPr>
          <w:sz w:val="20"/>
        </w:rPr>
        <w:t>Morais</w:t>
      </w:r>
      <w:r>
        <w:rPr>
          <w:spacing w:val="-5"/>
          <w:sz w:val="20"/>
        </w:rPr>
        <w:t> </w:t>
      </w:r>
      <w:r>
        <w:rPr>
          <w:sz w:val="20"/>
        </w:rPr>
        <w:t>Marinho,</w:t>
      </w:r>
      <w:r>
        <w:rPr>
          <w:spacing w:val="-14"/>
          <w:sz w:val="20"/>
        </w:rPr>
        <w:t> </w:t>
      </w:r>
      <w:r>
        <w:rPr>
          <w:sz w:val="20"/>
        </w:rPr>
        <w:t>Iris</w:t>
      </w:r>
      <w:r>
        <w:rPr>
          <w:spacing w:val="-5"/>
          <w:sz w:val="20"/>
        </w:rPr>
        <w:t> </w:t>
      </w:r>
      <w:r>
        <w:rPr>
          <w:sz w:val="20"/>
        </w:rPr>
        <w:t>Palmas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Magalhães Lidiane Rosa Gomes da Silveira</w:t>
        <w:tab/>
        <w:t>Lucimar da Gloria Gomes</w:t>
        <w:tab/>
        <w:t>João Cássio dos Santos</w:t>
      </w:r>
    </w:p>
    <w:p>
      <w:pPr>
        <w:pStyle w:val="BodyText"/>
        <w:spacing w:before="103"/>
        <w:rPr>
          <w:sz w:val="20"/>
        </w:rPr>
      </w:pPr>
    </w:p>
    <w:p>
      <w:pPr>
        <w:tabs>
          <w:tab w:pos="3256" w:val="left" w:leader="none"/>
          <w:tab w:pos="6662" w:val="left" w:leader="none"/>
        </w:tabs>
        <w:spacing w:before="1"/>
        <w:ind w:left="136" w:right="0" w:firstLine="0"/>
        <w:jc w:val="left"/>
        <w:rPr>
          <w:sz w:val="20"/>
        </w:rPr>
      </w:pPr>
      <w:r>
        <w:rPr>
          <w:sz w:val="20"/>
        </w:rPr>
        <w:t>Isabela</w:t>
      </w:r>
      <w:r>
        <w:rPr>
          <w:spacing w:val="-5"/>
          <w:sz w:val="20"/>
        </w:rPr>
        <w:t> </w:t>
      </w:r>
      <w:r>
        <w:rPr>
          <w:sz w:val="20"/>
        </w:rPr>
        <w:t>Rampini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Esteves</w:t>
      </w:r>
      <w:r>
        <w:rPr>
          <w:sz w:val="20"/>
        </w:rPr>
        <w:tab/>
        <w:t>Rosane</w:t>
      </w:r>
      <w:r>
        <w:rPr>
          <w:spacing w:val="-7"/>
          <w:sz w:val="20"/>
        </w:rPr>
        <w:t> </w:t>
      </w:r>
      <w:r>
        <w:rPr>
          <w:sz w:val="20"/>
        </w:rPr>
        <w:t>Carvalho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Amaral</w:t>
      </w:r>
      <w:r>
        <w:rPr>
          <w:sz w:val="20"/>
        </w:rPr>
        <w:tab/>
        <w:t>Mirian</w:t>
      </w:r>
      <w:r>
        <w:rPr>
          <w:spacing w:val="-5"/>
          <w:sz w:val="20"/>
        </w:rPr>
        <w:t> </w:t>
      </w:r>
      <w:r>
        <w:rPr>
          <w:sz w:val="20"/>
        </w:rPr>
        <w:t>Branco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Santos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6662" w:val="left" w:leader="none"/>
        </w:tabs>
        <w:spacing w:before="0"/>
        <w:ind w:left="3257" w:right="0" w:firstLine="0"/>
        <w:jc w:val="left"/>
        <w:rPr>
          <w:sz w:val="20"/>
        </w:rPr>
      </w:pPr>
      <w:r>
        <w:rPr>
          <w:sz w:val="20"/>
        </w:rPr>
        <w:t>Jaqueline</w:t>
      </w:r>
      <w:r>
        <w:rPr>
          <w:spacing w:val="-8"/>
          <w:sz w:val="20"/>
        </w:rPr>
        <w:t> </w:t>
      </w:r>
      <w:r>
        <w:rPr>
          <w:sz w:val="20"/>
        </w:rPr>
        <w:t>P.Pomin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Costa</w:t>
      </w:r>
      <w:r>
        <w:rPr>
          <w:sz w:val="20"/>
        </w:rPr>
        <w:tab/>
        <w:t>Ricardo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Tocantins</w:t>
      </w:r>
    </w:p>
    <w:p>
      <w:pPr>
        <w:spacing w:before="0"/>
        <w:ind w:left="136" w:right="0" w:firstLine="0"/>
        <w:jc w:val="left"/>
        <w:rPr>
          <w:sz w:val="20"/>
        </w:rPr>
      </w:pPr>
      <w:r>
        <w:rPr>
          <w:sz w:val="20"/>
        </w:rPr>
        <w:t>Francisco</w:t>
      </w:r>
      <w:r>
        <w:rPr>
          <w:spacing w:val="-5"/>
          <w:sz w:val="20"/>
        </w:rPr>
        <w:t> </w:t>
      </w:r>
      <w:r>
        <w:rPr>
          <w:sz w:val="20"/>
        </w:rPr>
        <w:t>Afonso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Eccard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256" w:val="left" w:leader="none"/>
        </w:tabs>
        <w:spacing w:before="0"/>
        <w:ind w:left="136" w:right="0" w:firstLine="0"/>
        <w:jc w:val="left"/>
        <w:rPr>
          <w:sz w:val="20"/>
        </w:rPr>
      </w:pPr>
      <w:r>
        <w:rPr>
          <w:sz w:val="20"/>
        </w:rPr>
        <w:t>Sonia</w:t>
      </w:r>
      <w:r>
        <w:rPr>
          <w:spacing w:val="-5"/>
          <w:sz w:val="20"/>
        </w:rPr>
        <w:t> </w:t>
      </w:r>
      <w:r>
        <w:rPr>
          <w:sz w:val="20"/>
        </w:rPr>
        <w:t>Maria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Leão</w:t>
      </w:r>
      <w:r>
        <w:rPr>
          <w:sz w:val="20"/>
        </w:rPr>
        <w:tab/>
        <w:t>Luiz</w:t>
      </w:r>
      <w:r>
        <w:rPr>
          <w:spacing w:val="-7"/>
          <w:sz w:val="20"/>
        </w:rPr>
        <w:t> </w:t>
      </w:r>
      <w:r>
        <w:rPr>
          <w:sz w:val="20"/>
        </w:rPr>
        <w:t>Antonio</w:t>
      </w:r>
      <w:r>
        <w:rPr>
          <w:spacing w:val="-3"/>
          <w:sz w:val="20"/>
        </w:rPr>
        <w:t> </w:t>
      </w:r>
      <w:r>
        <w:rPr>
          <w:sz w:val="20"/>
        </w:rPr>
        <w:t>Moreira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Silva</w:t>
      </w:r>
    </w:p>
    <w:sectPr>
      <w:pgSz w:w="11910" w:h="16840"/>
      <w:pgMar w:header="1069" w:footer="483" w:top="2160" w:bottom="6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2618739</wp:posOffset>
              </wp:positionH>
              <wp:positionV relativeFrom="page">
                <wp:posOffset>10245460</wp:posOffset>
              </wp:positionV>
              <wp:extent cx="2684780" cy="3035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84780" cy="303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" w:right="0" w:firstLine="0"/>
                            <w:jc w:val="center"/>
                            <w:rPr>
                              <w:rFonts w:ascii="Verdana" w:hAnsi="Verdana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Verdana" w:hAnsi="Verdana"/>
                              <w:spacing w:val="3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sz w:val="12"/>
                            </w:rPr>
                            <w:t>25620-050 CNPJ 31.157.589/0001-60 - Tel/Fax: (24) 2220-9200, 2231-1660</w:t>
                          </w:r>
                        </w:p>
                        <w:p>
                          <w:pPr>
                            <w:spacing w:before="0"/>
                            <w:ind w:left="42" w:right="0" w:firstLine="0"/>
                            <w:jc w:val="center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Verdana"/>
                              <w:spacing w:val="-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Verdana"/>
                                <w:spacing w:val="-2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6.199997pt;margin-top:806.729187pt;width:211.4pt;height:23.9pt;mso-position-horizontal-relative:page;mso-position-vertical-relative:page;z-index:-15766016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" w:right="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Rua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Dr.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Alencar</w:t>
                    </w:r>
                    <w:r>
                      <w:rPr>
                        <w:rFonts w:ascii="Verdana" w:hAnsi="Verdana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Lima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35,</w:t>
                    </w:r>
                    <w:r>
                      <w:rPr>
                        <w:rFonts w:ascii="Verdana" w:hAnsi="Verdana"/>
                        <w:spacing w:val="3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Centro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Petrópolis</w:t>
                    </w:r>
                    <w:r>
                      <w:rPr>
                        <w:rFonts w:ascii="Verdana" w:hAnsi="Verdana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RJ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-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CEP.:</w:t>
                    </w:r>
                    <w:r>
                      <w:rPr>
                        <w:rFonts w:ascii="Verdana" w:hAnsi="Verdana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25620-050 CNPJ 31.157.589/0001-60 - Tel/Fax: (24) 2220-9200, 2231-1660</w:t>
                    </w:r>
                  </w:p>
                  <w:p>
                    <w:pPr>
                      <w:spacing w:before="0"/>
                      <w:ind w:left="42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E-mail:</w:t>
                    </w:r>
                    <w:r>
                      <w:rPr>
                        <w:rFonts w:ascii="Verdana"/>
                        <w:spacing w:val="-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Verdana"/>
                          <w:spacing w:val="-2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1125219</wp:posOffset>
          </wp:positionH>
          <wp:positionV relativeFrom="page">
            <wp:posOffset>678959</wp:posOffset>
          </wp:positionV>
          <wp:extent cx="1278890" cy="4432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890" cy="44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2553970</wp:posOffset>
              </wp:positionH>
              <wp:positionV relativeFrom="page">
                <wp:posOffset>670535</wp:posOffset>
              </wp:positionV>
              <wp:extent cx="336804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680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PREVIDÊNCIA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100006pt;margin-top:52.798107pt;width:265.2pt;height:15.45pt;mso-position-horizontal-relative:page;mso-position-vertical-relative:page;z-index:-1576755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CONSELHO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PREVIDÊNCIA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2553970</wp:posOffset>
              </wp:positionH>
              <wp:positionV relativeFrom="page">
                <wp:posOffset>845795</wp:posOffset>
              </wp:positionV>
              <wp:extent cx="1704339" cy="546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04339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PETRÓPOLIS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CMPP</w:t>
                          </w:r>
                        </w:p>
                        <w:p>
                          <w:pPr>
                            <w:spacing w:before="0"/>
                            <w:ind w:left="685" w:right="0" w:hanging="66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Lei nº 7.353/2015 Lei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n.º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7.606/2017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100006pt;margin-top:66.598106pt;width:134.2pt;height:43.05pt;mso-position-horizontal-relative:page;mso-position-vertical-relative:page;z-index:-1576704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PETRÓPOLIS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CMPP</w:t>
                    </w:r>
                  </w:p>
                  <w:p>
                    <w:pPr>
                      <w:spacing w:before="0"/>
                      <w:ind w:left="685" w:right="0" w:hanging="66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Lei nº 7.353/2015 Lei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n.º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7.606/2017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5369938</wp:posOffset>
              </wp:positionH>
              <wp:positionV relativeFrom="page">
                <wp:posOffset>845795</wp:posOffset>
              </wp:positionV>
              <wp:extent cx="1214755" cy="546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1475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Livro: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01</w:t>
                          </w:r>
                        </w:p>
                        <w:p>
                          <w:pPr>
                            <w:spacing w:before="0"/>
                            <w:ind w:left="27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Folha: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67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>
                          <w:pPr>
                            <w:spacing w:before="0"/>
                            <w:ind w:left="26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 18/09/2018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2.829773pt;margin-top:66.598106pt;width:95.65pt;height:43.05pt;mso-position-horizontal-relative:page;mso-position-vertical-relative:page;z-index:-15766528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Livro: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01</w:t>
                    </w:r>
                  </w:p>
                  <w:p>
                    <w:pPr>
                      <w:spacing w:before="0"/>
                      <w:ind w:left="27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Folha: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>67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  <w:p>
                    <w:pPr>
                      <w:spacing w:before="0"/>
                      <w:ind w:left="26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Data: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18/09/2018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SUPRAS</dc:creator>
  <dc:title>Ofício nº  212/02 - Presidência</dc:title>
  <dcterms:created xsi:type="dcterms:W3CDTF">2025-07-23T14:24:35Z</dcterms:created>
  <dcterms:modified xsi:type="dcterms:W3CDTF">2025-07-23T14:24:35Z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2019-01-21T00:00:00Z</vt:filetime>
  </property>
</Properties>
</file>