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1361162</wp:posOffset>
            </wp:positionH>
            <wp:positionV relativeFrom="paragraph">
              <wp:posOffset>149928</wp:posOffset>
            </wp:positionV>
            <wp:extent cx="1261902" cy="4643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902" cy="46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DE PETRÓPOLIS - CMPP</w:t>
      </w:r>
    </w:p>
    <w:p>
      <w:pPr>
        <w:spacing w:before="0"/>
        <w:ind w:left="2565" w:right="275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7.353/2015 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n°.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spacing w:before="124"/>
        <w:ind w:left="636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1"/>
        <w:ind w:left="159" w:right="0" w:firstLine="42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05 </w:t>
      </w:r>
      <w:r>
        <w:rPr>
          <w:rFonts w:ascii="Arial"/>
          <w:b/>
          <w:spacing w:val="-2"/>
          <w:sz w:val="22"/>
        </w:rPr>
        <w:t>Data:07/11/23</w:t>
      </w:r>
    </w:p>
    <w:p>
      <w:pPr>
        <w:spacing w:after="0"/>
        <w:jc w:val="left"/>
        <w:rPr>
          <w:rFonts w:ascii="Arial"/>
          <w:b/>
          <w:sz w:val="22"/>
        </w:rPr>
        <w:sectPr>
          <w:type w:val="continuous"/>
          <w:pgSz w:w="11910" w:h="16840"/>
          <w:pgMar w:top="700" w:bottom="280" w:left="1700" w:right="1133"/>
          <w:cols w:num="2" w:equalWidth="0">
            <w:col w:w="7413" w:space="40"/>
            <w:col w:w="1624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BodyText"/>
        <w:spacing w:line="273" w:lineRule="auto"/>
        <w:ind w:left="2" w:right="702"/>
        <w:jc w:val="both"/>
      </w:pPr>
      <w:r>
        <w:rPr/>
        <w:t>Às 10h 33min do dia 07 de novembro 2023, terça-feira, foi realizada reunião extraordinária do Conselho Municipal de Previdência de Petrópolis-CMPP. Estavam presentes os Conselheiros</w:t>
      </w:r>
      <w:r>
        <w:rPr/>
        <w:t> e</w:t>
      </w:r>
      <w:r>
        <w:rPr/>
        <w:t> servidores</w:t>
      </w:r>
      <w:r>
        <w:rPr/>
        <w:t> que</w:t>
      </w:r>
      <w:r>
        <w:rPr/>
        <w:t> assinaram</w:t>
      </w:r>
      <w:r>
        <w:rPr/>
        <w:t> o</w:t>
      </w:r>
      <w:r>
        <w:rPr/>
        <w:t> livro</w:t>
      </w:r>
      <w:r>
        <w:rPr/>
        <w:t> de presença. O Diretor-Presidente do instituto e Presidente do Conselho, Sr. Claudinei Constantino Portugal inicia a reunião, passando a palavra para a servidora Michele Forster – Gestora de Investimento, que deu início a apresentação dos Investimentos feitos pelo instituto, para os conselheiros presentes, abordando sobre as aplicações. Esta informou que a meta atuarial até o fechamento do mês de setembro, foi alcançada. Foi pontuado pelo Presidente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melhoria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obtivemos</w:t>
      </w:r>
      <w:r>
        <w:rPr>
          <w:spacing w:val="-17"/>
        </w:rPr>
        <w:t> </w:t>
      </w:r>
      <w:r>
        <w:rPr/>
        <w:t>através</w:t>
      </w:r>
      <w:r>
        <w:rPr>
          <w:spacing w:val="-17"/>
        </w:rPr>
        <w:t> </w:t>
      </w:r>
      <w:r>
        <w:rPr/>
        <w:t>da</w:t>
      </w:r>
      <w:r>
        <w:rPr>
          <w:spacing w:val="-16"/>
        </w:rPr>
        <w:t> </w:t>
      </w:r>
      <w:r>
        <w:rPr/>
        <w:t>consultoria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das</w:t>
      </w:r>
      <w:r>
        <w:rPr>
          <w:spacing w:val="-16"/>
        </w:rPr>
        <w:t> </w:t>
      </w:r>
      <w:r>
        <w:rPr/>
        <w:t>reuniões</w:t>
      </w:r>
      <w:r>
        <w:rPr>
          <w:spacing w:val="-17"/>
        </w:rPr>
        <w:t> </w:t>
      </w:r>
      <w:r>
        <w:rPr/>
        <w:t>com o</w:t>
      </w:r>
      <w:r>
        <w:rPr>
          <w:spacing w:val="-17"/>
        </w:rPr>
        <w:t> </w:t>
      </w:r>
      <w:r>
        <w:rPr/>
        <w:t>comitê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investimentos,</w:t>
      </w:r>
      <w:r>
        <w:rPr>
          <w:spacing w:val="-17"/>
        </w:rPr>
        <w:t> </w:t>
      </w:r>
      <w:r>
        <w:rPr/>
        <w:t>onde</w:t>
      </w:r>
      <w:r>
        <w:rPr>
          <w:spacing w:val="-17"/>
        </w:rPr>
        <w:t> </w:t>
      </w:r>
      <w:r>
        <w:rPr/>
        <w:t>é</w:t>
      </w:r>
      <w:r>
        <w:rPr>
          <w:spacing w:val="-17"/>
        </w:rPr>
        <w:t> </w:t>
      </w:r>
      <w:r>
        <w:rPr/>
        <w:t>discutido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cenário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estratégias.</w:t>
      </w:r>
      <w:r>
        <w:rPr>
          <w:spacing w:val="-17"/>
        </w:rPr>
        <w:t> </w:t>
      </w:r>
      <w:r>
        <w:rPr/>
        <w:t>Informou 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cenário</w:t>
      </w:r>
      <w:r>
        <w:rPr>
          <w:spacing w:val="-4"/>
        </w:rPr>
        <w:t> </w:t>
      </w:r>
      <w:r>
        <w:rPr/>
        <w:t>é</w:t>
      </w:r>
      <w:r>
        <w:rPr>
          <w:spacing w:val="-6"/>
        </w:rPr>
        <w:t> </w:t>
      </w:r>
      <w:r>
        <w:rPr/>
        <w:t>favorável</w:t>
      </w:r>
      <w:r>
        <w:rPr>
          <w:spacing w:val="-5"/>
        </w:rPr>
        <w:t> </w:t>
      </w:r>
      <w:r>
        <w:rPr/>
        <w:t>devido</w:t>
      </w:r>
      <w:r>
        <w:rPr>
          <w:spacing w:val="-3"/>
        </w:rPr>
        <w:t> </w:t>
      </w:r>
      <w:r>
        <w:rPr/>
        <w:t>alta</w:t>
      </w:r>
      <w:r>
        <w:rPr>
          <w:spacing w:val="-4"/>
        </w:rPr>
        <w:t> </w:t>
      </w: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juros.</w:t>
      </w:r>
      <w:r>
        <w:rPr>
          <w:spacing w:val="-4"/>
        </w:rPr>
        <w:t> </w:t>
      </w:r>
      <w:r>
        <w:rPr/>
        <w:t>Michele,</w:t>
      </w:r>
      <w:r>
        <w:rPr>
          <w:spacing w:val="-4"/>
        </w:rPr>
        <w:t> </w:t>
      </w:r>
      <w:r>
        <w:rPr/>
        <w:t>ainda,</w:t>
      </w:r>
      <w:r>
        <w:rPr>
          <w:spacing w:val="-6"/>
        </w:rPr>
        <w:t> </w:t>
      </w:r>
      <w:r>
        <w:rPr/>
        <w:t>apresentou o relatório de ALM, que é um estudo detalhado próprio para o INPAS, onde constam as projeções e qual o perfil o Instituto se encaixa. O relatório está disponível na página do INPAS e nesse relatório, foi definido pela consultoria, que a melhor estratégia e a mais adequada é a carteira número 5, que basicamente é a definição de aplicações de 13.3% longuíssimo prazo; 11% longo</w:t>
      </w:r>
      <w:r>
        <w:rPr>
          <w:spacing w:val="-9"/>
        </w:rPr>
        <w:t> </w:t>
      </w:r>
      <w:r>
        <w:rPr/>
        <w:t>prazo;</w:t>
      </w:r>
      <w:r>
        <w:rPr>
          <w:spacing w:val="-12"/>
        </w:rPr>
        <w:t> </w:t>
      </w:r>
      <w:r>
        <w:rPr/>
        <w:t>42,4%</w:t>
      </w:r>
      <w:r>
        <w:rPr>
          <w:spacing w:val="-12"/>
        </w:rPr>
        <w:t> </w:t>
      </w:r>
      <w:r>
        <w:rPr/>
        <w:t>médio</w:t>
      </w:r>
      <w:r>
        <w:rPr>
          <w:spacing w:val="-12"/>
        </w:rPr>
        <w:t> </w:t>
      </w:r>
      <w:r>
        <w:rPr/>
        <w:t>prazo;</w:t>
      </w:r>
      <w:r>
        <w:rPr>
          <w:spacing w:val="-10"/>
        </w:rPr>
        <w:t> </w:t>
      </w:r>
      <w:r>
        <w:rPr/>
        <w:t>8,3%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ações;</w:t>
      </w:r>
      <w:r>
        <w:rPr>
          <w:spacing w:val="-12"/>
        </w:rPr>
        <w:t> </w:t>
      </w:r>
      <w:r>
        <w:rPr/>
        <w:t>5%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FIP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20%</w:t>
      </w:r>
      <w:r>
        <w:rPr>
          <w:spacing w:val="-12"/>
        </w:rPr>
        <w:t> </w:t>
      </w:r>
      <w:r>
        <w:rPr/>
        <w:t>FI</w:t>
      </w:r>
      <w:r>
        <w:rPr>
          <w:spacing w:val="-12"/>
        </w:rPr>
        <w:t> </w:t>
      </w:r>
      <w:r>
        <w:rPr/>
        <w:t>Exterior e que com esse perfil estima-se um retorno de retorno de 8,7%. Essa consultoria também preparou a minuta da política de investimento. Michele também</w:t>
      </w:r>
      <w:r>
        <w:rPr>
          <w:spacing w:val="-17"/>
        </w:rPr>
        <w:t> </w:t>
      </w:r>
      <w:r>
        <w:rPr/>
        <w:t>explicou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estratégia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aplicação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ano</w:t>
      </w:r>
      <w:r>
        <w:rPr>
          <w:spacing w:val="-16"/>
        </w:rPr>
        <w:t> </w:t>
      </w:r>
      <w:r>
        <w:rPr/>
        <w:t>2024,</w:t>
      </w:r>
      <w:r>
        <w:rPr>
          <w:spacing w:val="-16"/>
        </w:rPr>
        <w:t> </w:t>
      </w:r>
      <w:r>
        <w:rPr/>
        <w:t>sendo</w:t>
      </w:r>
      <w:r>
        <w:rPr>
          <w:spacing w:val="-16"/>
        </w:rPr>
        <w:t> </w:t>
      </w:r>
      <w:r>
        <w:rPr/>
        <w:t>como</w:t>
      </w:r>
      <w:r>
        <w:rPr>
          <w:spacing w:val="-17"/>
        </w:rPr>
        <w:t> </w:t>
      </w:r>
      <w:r>
        <w:rPr/>
        <w:t>estratégia alvo:</w:t>
      </w:r>
      <w:r>
        <w:rPr>
          <w:spacing w:val="-17"/>
        </w:rPr>
        <w:t> </w:t>
      </w:r>
      <w:r>
        <w:rPr/>
        <w:t>15,12%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Títulos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Tesouro</w:t>
      </w:r>
      <w:r>
        <w:rPr>
          <w:spacing w:val="-17"/>
        </w:rPr>
        <w:t> </w:t>
      </w:r>
      <w:r>
        <w:rPr/>
        <w:t>Nacional</w:t>
      </w:r>
      <w:r>
        <w:rPr>
          <w:spacing w:val="-16"/>
        </w:rPr>
        <w:t> </w:t>
      </w:r>
      <w:r>
        <w:rPr/>
        <w:t>Selic;</w:t>
      </w:r>
      <w:r>
        <w:rPr>
          <w:spacing w:val="-17"/>
        </w:rPr>
        <w:t> </w:t>
      </w:r>
      <w:r>
        <w:rPr/>
        <w:t>15,14%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FI</w:t>
      </w:r>
      <w:r>
        <w:rPr>
          <w:spacing w:val="-17"/>
        </w:rPr>
        <w:t> </w:t>
      </w:r>
      <w:r>
        <w:rPr/>
        <w:t>100%</w:t>
      </w:r>
      <w:r>
        <w:rPr>
          <w:spacing w:val="-17"/>
        </w:rPr>
        <w:t> </w:t>
      </w:r>
      <w:r>
        <w:rPr/>
        <w:t>Títulos TN; 15,14% em FI Referenciados RF; 15,14% em Renda Fixa de Emissão Bancária; 0,28% em FI em Direitos Creditórios – sênior; 0,28% em FI Renda Fixa “Crédito Privado”;</w:t>
      </w:r>
      <w:r>
        <w:rPr>
          <w:spacing w:val="40"/>
        </w:rPr>
        <w:t> </w:t>
      </w:r>
      <w:r>
        <w:rPr/>
        <w:t>28,16% em FI de Ações; 0,28% em FI Multimercado; 0,07%</w:t>
      </w:r>
      <w:r>
        <w:rPr>
          <w:spacing w:val="-9"/>
        </w:rPr>
        <w:t> </w:t>
      </w:r>
      <w:r>
        <w:rPr/>
        <w:t>em</w:t>
      </w:r>
      <w:r>
        <w:rPr>
          <w:spacing w:val="-5"/>
        </w:rPr>
        <w:t> </w:t>
      </w:r>
      <w:r>
        <w:rPr/>
        <w:t>FI</w:t>
      </w:r>
      <w:r>
        <w:rPr>
          <w:spacing w:val="-9"/>
        </w:rPr>
        <w:t> </w:t>
      </w:r>
      <w:r>
        <w:rPr/>
        <w:t>em</w:t>
      </w:r>
      <w:r>
        <w:rPr>
          <w:spacing w:val="-7"/>
        </w:rPr>
        <w:t> </w:t>
      </w:r>
      <w:r>
        <w:rPr/>
        <w:t>Participações;</w:t>
      </w:r>
      <w:r>
        <w:rPr>
          <w:spacing w:val="-6"/>
        </w:rPr>
        <w:t> </w:t>
      </w:r>
      <w:r>
        <w:rPr/>
        <w:t>1,28%</w:t>
      </w:r>
      <w:r>
        <w:rPr>
          <w:spacing w:val="-9"/>
        </w:rPr>
        <w:t> </w:t>
      </w:r>
      <w:r>
        <w:rPr/>
        <w:t>em</w:t>
      </w:r>
      <w:r>
        <w:rPr>
          <w:spacing w:val="-5"/>
        </w:rPr>
        <w:t> </w:t>
      </w:r>
      <w:r>
        <w:rPr/>
        <w:t>FI</w:t>
      </w:r>
      <w:r>
        <w:rPr>
          <w:spacing w:val="-9"/>
        </w:rPr>
        <w:t> </w:t>
      </w:r>
      <w:r>
        <w:rPr/>
        <w:t>Imobiliário;</w:t>
      </w:r>
      <w:r>
        <w:rPr>
          <w:spacing w:val="-8"/>
        </w:rPr>
        <w:t> </w:t>
      </w:r>
      <w:r>
        <w:rPr/>
        <w:t>8,11%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ações</w:t>
      </w:r>
      <w:r>
        <w:rPr>
          <w:spacing w:val="-6"/>
        </w:rPr>
        <w:t> </w:t>
      </w:r>
      <w:r>
        <w:rPr/>
        <w:t>BDR Nível I e 1% em Empréstimo Consignado. Com os membros presentes na reunião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hoje,</w:t>
      </w:r>
      <w:r>
        <w:rPr>
          <w:spacing w:val="-12"/>
        </w:rPr>
        <w:t> </w:t>
      </w:r>
      <w:r>
        <w:rPr/>
        <w:t>foi</w:t>
      </w:r>
      <w:r>
        <w:rPr>
          <w:spacing w:val="-11"/>
        </w:rPr>
        <w:t> </w:t>
      </w:r>
      <w:r>
        <w:rPr/>
        <w:t>aprovado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unanimidade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Investimentos</w:t>
      </w:r>
      <w:r>
        <w:rPr>
          <w:spacing w:val="-13"/>
        </w:rPr>
        <w:t> </w:t>
      </w:r>
      <w:r>
        <w:rPr/>
        <w:t>para 2024. Após, foi dada a palavra a Lucimar, chefe da contabilidade, que apresentou</w:t>
      </w:r>
      <w:r>
        <w:rPr>
          <w:spacing w:val="-5"/>
        </w:rPr>
        <w:t> </w:t>
      </w:r>
      <w:r>
        <w:rPr/>
        <w:t>os</w:t>
      </w:r>
      <w:r>
        <w:rPr>
          <w:spacing w:val="-8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credenciamento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2024.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bancos que foram credenciados, com vigência até 2026, o Banco do Brasil, Itaú, Santander,</w:t>
      </w:r>
      <w:r>
        <w:rPr>
          <w:spacing w:val="-3"/>
        </w:rPr>
        <w:t> </w:t>
      </w:r>
      <w:r>
        <w:rPr/>
        <w:t>Safra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Caixa</w:t>
      </w:r>
      <w:r>
        <w:rPr>
          <w:spacing w:val="-3"/>
        </w:rPr>
        <w:t> </w:t>
      </w:r>
      <w:r>
        <w:rPr/>
        <w:t>Econômica</w:t>
      </w:r>
      <w:r>
        <w:rPr>
          <w:spacing w:val="-6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dos</w:t>
      </w:r>
      <w:r>
        <w:rPr>
          <w:spacing w:val="-6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1734/23, 1722/23,</w:t>
      </w:r>
      <w:r>
        <w:rPr>
          <w:spacing w:val="32"/>
        </w:rPr>
        <w:t> </w:t>
      </w:r>
      <w:r>
        <w:rPr/>
        <w:t>1723/23,</w:t>
      </w:r>
      <w:r>
        <w:rPr>
          <w:spacing w:val="32"/>
        </w:rPr>
        <w:t> </w:t>
      </w:r>
      <w:r>
        <w:rPr/>
        <w:t>1721/23,</w:t>
      </w:r>
      <w:r>
        <w:rPr>
          <w:spacing w:val="32"/>
        </w:rPr>
        <w:t> </w:t>
      </w:r>
      <w:r>
        <w:rPr/>
        <w:t>1730/23,</w:t>
      </w:r>
      <w:r>
        <w:rPr>
          <w:spacing w:val="32"/>
        </w:rPr>
        <w:t> </w:t>
      </w:r>
      <w:r>
        <w:rPr/>
        <w:t>1729/23,</w:t>
      </w:r>
      <w:r>
        <w:rPr>
          <w:spacing w:val="32"/>
        </w:rPr>
        <w:t> </w:t>
      </w:r>
      <w:r>
        <w:rPr/>
        <w:t>1728/23,</w:t>
      </w:r>
      <w:r>
        <w:rPr>
          <w:spacing w:val="32"/>
        </w:rPr>
        <w:t> </w:t>
      </w:r>
      <w:r>
        <w:rPr/>
        <w:t>1685/23,</w:t>
      </w:r>
      <w:r>
        <w:rPr>
          <w:spacing w:val="29"/>
        </w:rPr>
        <w:t> </w:t>
      </w:r>
      <w:r>
        <w:rPr/>
        <w:t>1686/23</w:t>
      </w:r>
      <w:r>
        <w:rPr>
          <w:spacing w:val="32"/>
        </w:rPr>
        <w:t> </w:t>
      </w:r>
      <w:r>
        <w:rPr/>
        <w:t>e</w:t>
      </w:r>
    </w:p>
    <w:p>
      <w:pPr>
        <w:pStyle w:val="BodyText"/>
        <w:spacing w:line="273" w:lineRule="auto" w:before="14"/>
        <w:ind w:left="2" w:right="702"/>
        <w:jc w:val="both"/>
      </w:pPr>
      <w:r>
        <w:rPr/>
        <w:t>1733/23. Informou sobre a segurança de acordo com a Resolução 4.963 do Banco Central e que esse credenciamento visa atender a legislação vigente. Há 3 processos pendentes que ainda precisam de análise do comitê, sendo eles 1731/23, 1732/23 e 1724/23. Sr. Aluízio, controlador interno, pontuou a importância de analisar essas informações. O Presidente Claudinei, informou que o laudo do PROGESTÃO está em 75%. Sobre o retorno do ISP, que é o retrato do RPPS, o nível do INPAS estava em C-. no ano de 2022, referente a gestão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2021;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deste</w:t>
      </w:r>
      <w:r>
        <w:rPr>
          <w:spacing w:val="-2"/>
        </w:rPr>
        <w:t> </w:t>
      </w:r>
      <w:r>
        <w:rPr/>
        <w:t>ano,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INPAS</w:t>
      </w:r>
      <w:r>
        <w:rPr>
          <w:spacing w:val="-5"/>
        </w:rPr>
        <w:t> </w:t>
      </w:r>
      <w:r>
        <w:rPr/>
        <w:t>encontra-se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nível</w:t>
      </w:r>
      <w:r>
        <w:rPr>
          <w:spacing w:val="-3"/>
        </w:rPr>
        <w:t> </w:t>
      </w:r>
      <w:r>
        <w:rPr/>
        <w:t>C+</w:t>
      </w:r>
    </w:p>
    <w:p>
      <w:pPr>
        <w:pStyle w:val="BodyText"/>
        <w:spacing w:after="0" w:line="273" w:lineRule="auto"/>
        <w:jc w:val="both"/>
        <w:sectPr>
          <w:type w:val="continuous"/>
          <w:pgSz w:w="11910" w:h="16840"/>
          <w:pgMar w:top="700" w:bottom="280" w:left="1700" w:right="1133"/>
        </w:sectPr>
      </w:pPr>
    </w:p>
    <w:p>
      <w:pPr>
        <w:pStyle w:val="Heading1"/>
        <w:ind w:left="2155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1337446</wp:posOffset>
            </wp:positionH>
            <wp:positionV relativeFrom="paragraph">
              <wp:posOffset>149928</wp:posOffset>
            </wp:positionV>
            <wp:extent cx="1017934" cy="4643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34" cy="46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DE PETRÓPOLIS - CMPP</w:t>
      </w:r>
    </w:p>
    <w:p>
      <w:pPr>
        <w:spacing w:before="0"/>
        <w:ind w:left="2155" w:right="275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7.353/2015 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n°.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pStyle w:val="Heading1"/>
        <w:spacing w:before="124"/>
        <w:ind w:left="120" w:right="386"/>
      </w:pPr>
      <w:r>
        <w:rPr>
          <w:b w:val="0"/>
        </w:rPr>
        <w:br w:type="column"/>
      </w:r>
      <w:r>
        <w:rPr/>
        <w:t>Livro: 01 </w:t>
      </w:r>
      <w:r>
        <w:rPr>
          <w:spacing w:val="-2"/>
        </w:rPr>
        <w:t>Folha:05 Data:07/11/23</w:t>
      </w:r>
    </w:p>
    <w:p>
      <w:pPr>
        <w:pStyle w:val="Heading1"/>
        <w:spacing w:after="0"/>
        <w:sectPr>
          <w:pgSz w:w="11910" w:h="16840"/>
          <w:pgMar w:top="700" w:bottom="280" w:left="1700" w:right="1133"/>
          <w:cols w:num="2" w:equalWidth="0">
            <w:col w:w="7002" w:space="40"/>
            <w:col w:w="203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BodyText"/>
        <w:spacing w:line="273" w:lineRule="auto"/>
        <w:ind w:left="2" w:right="623"/>
      </w:pP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aderir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PROGESTÃO</w:t>
      </w:r>
      <w:r>
        <w:rPr>
          <w:spacing w:val="40"/>
        </w:rPr>
        <w:t> </w:t>
      </w:r>
      <w:r>
        <w:rPr/>
        <w:t>passará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nível</w:t>
      </w:r>
      <w:r>
        <w:rPr>
          <w:spacing w:val="40"/>
        </w:rPr>
        <w:t> </w:t>
      </w:r>
      <w:r>
        <w:rPr/>
        <w:t>B.</w:t>
      </w:r>
      <w:r>
        <w:rPr>
          <w:spacing w:val="40"/>
        </w:rPr>
        <w:t> </w:t>
      </w:r>
      <w:r>
        <w:rPr/>
        <w:t>Esse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está disponibilizado no site do Ministério da Previdência. Foi acrescentado também o</w:t>
      </w:r>
      <w:r>
        <w:rPr>
          <w:spacing w:val="-17"/>
        </w:rPr>
        <w:t> </w:t>
      </w:r>
      <w:r>
        <w:rPr/>
        <w:t>relatório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gestão</w:t>
      </w:r>
      <w:r>
        <w:rPr>
          <w:spacing w:val="-14"/>
        </w:rPr>
        <w:t> </w:t>
      </w:r>
      <w:r>
        <w:rPr/>
        <w:t>atuarial</w:t>
      </w:r>
      <w:r>
        <w:rPr>
          <w:spacing w:val="-15"/>
        </w:rPr>
        <w:t> </w:t>
      </w:r>
      <w:r>
        <w:rPr/>
        <w:t>e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mesmo</w:t>
      </w:r>
      <w:r>
        <w:rPr>
          <w:spacing w:val="-16"/>
        </w:rPr>
        <w:t> </w:t>
      </w:r>
      <w:r>
        <w:rPr/>
        <w:t>foi</w:t>
      </w:r>
      <w:r>
        <w:rPr>
          <w:spacing w:val="-17"/>
        </w:rPr>
        <w:t> </w:t>
      </w:r>
      <w:r>
        <w:rPr/>
        <w:t>aprovado</w:t>
      </w:r>
      <w:r>
        <w:rPr>
          <w:spacing w:val="-14"/>
        </w:rPr>
        <w:t> </w:t>
      </w:r>
      <w:r>
        <w:rPr/>
        <w:t>pelos</w:t>
      </w:r>
      <w:r>
        <w:rPr>
          <w:spacing w:val="-17"/>
        </w:rPr>
        <w:t> </w:t>
      </w:r>
      <w:r>
        <w:rPr/>
        <w:t>membros</w:t>
      </w:r>
      <w:r>
        <w:rPr>
          <w:spacing w:val="-17"/>
        </w:rPr>
        <w:t> </w:t>
      </w:r>
      <w:r>
        <w:rPr/>
        <w:t>presentes. Em assuntos gerais, o Presidente informou sobre o dia CONVIVER INPAS e como</w:t>
      </w:r>
      <w:r>
        <w:rPr>
          <w:spacing w:val="40"/>
        </w:rPr>
        <w:t> </w:t>
      </w:r>
      <w:r>
        <w:rPr/>
        <w:t>irá</w:t>
      </w:r>
      <w:r>
        <w:rPr>
          <w:spacing w:val="40"/>
        </w:rPr>
        <w:t> </w:t>
      </w:r>
      <w:r>
        <w:rPr/>
        <w:t>funcionar,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intenção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melhoras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qualidade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vida</w:t>
      </w:r>
      <w:r>
        <w:rPr>
          <w:spacing w:val="40"/>
        </w:rPr>
        <w:t> </w:t>
      </w:r>
      <w:r>
        <w:rPr/>
        <w:t>dos aposentados,</w:t>
      </w:r>
      <w:r>
        <w:rPr>
          <w:spacing w:val="80"/>
        </w:rPr>
        <w:t> </w:t>
      </w:r>
      <w:r>
        <w:rPr/>
        <w:t>sendo</w:t>
      </w:r>
      <w:r>
        <w:rPr>
          <w:spacing w:val="80"/>
        </w:rPr>
        <w:t> </w:t>
      </w:r>
      <w:r>
        <w:rPr/>
        <w:t>um</w:t>
      </w:r>
      <w:r>
        <w:rPr>
          <w:spacing w:val="80"/>
        </w:rPr>
        <w:t> </w:t>
      </w:r>
      <w:r>
        <w:rPr/>
        <w:t>projeto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Instituto</w:t>
      </w:r>
      <w:r>
        <w:rPr>
          <w:spacing w:val="80"/>
        </w:rPr>
        <w:t> </w:t>
      </w:r>
      <w:r>
        <w:rPr/>
        <w:t>quer</w:t>
      </w:r>
      <w:r>
        <w:rPr>
          <w:spacing w:val="80"/>
        </w:rPr>
        <w:t> </w:t>
      </w:r>
      <w:r>
        <w:rPr/>
        <w:t>realizar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mais frequência. Sobre o Clube de Vantagens, já possuímos 80 parceiros e que se estende aos ativos, podendo fazer a carteirinha também. Houve um aumento significativo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acessos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site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Clube.</w:t>
      </w:r>
      <w:r>
        <w:rPr>
          <w:spacing w:val="40"/>
        </w:rPr>
        <w:t> </w:t>
      </w:r>
      <w:r>
        <w:rPr/>
        <w:t>Informou também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mês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vem</w:t>
      </w:r>
      <w:r>
        <w:rPr>
          <w:spacing w:val="-14"/>
        </w:rPr>
        <w:t> </w:t>
      </w:r>
      <w:r>
        <w:rPr/>
        <w:t>será</w:t>
      </w:r>
      <w:r>
        <w:rPr>
          <w:spacing w:val="-16"/>
        </w:rPr>
        <w:t> </w:t>
      </w:r>
      <w:r>
        <w:rPr/>
        <w:t>lançado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aplicativo</w:t>
      </w:r>
      <w:r>
        <w:rPr>
          <w:spacing w:val="-13"/>
        </w:rPr>
        <w:t> </w:t>
      </w:r>
      <w:r>
        <w:rPr/>
        <w:t>INPAS</w:t>
      </w:r>
      <w:r>
        <w:rPr>
          <w:spacing w:val="-15"/>
        </w:rPr>
        <w:t> </w:t>
      </w:r>
      <w:r>
        <w:rPr/>
        <w:t>para</w:t>
      </w:r>
      <w:r>
        <w:rPr>
          <w:spacing w:val="-18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realização da</w:t>
      </w:r>
      <w:r>
        <w:rPr>
          <w:spacing w:val="-3"/>
        </w:rPr>
        <w:t> </w:t>
      </w:r>
      <w:r>
        <w:rPr/>
        <w:t>prova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vida,</w:t>
      </w:r>
      <w:r>
        <w:rPr>
          <w:spacing w:val="-4"/>
        </w:rPr>
        <w:t> </w:t>
      </w:r>
      <w:r>
        <w:rPr/>
        <w:t>visando</w:t>
      </w:r>
      <w:r>
        <w:rPr>
          <w:spacing w:val="-6"/>
        </w:rPr>
        <w:t> </w:t>
      </w:r>
      <w:r>
        <w:rPr/>
        <w:t>facilitar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aposentados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pensionistas.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presidente solicitou o comparecimento de todos presentes na audiência pública, que será realizada no dia 24/11 às 18h na casa dos conselhos, atendendo a exigência do</w:t>
      </w:r>
      <w:r>
        <w:rPr>
          <w:spacing w:val="40"/>
        </w:rPr>
        <w:t> </w:t>
      </w:r>
      <w:r>
        <w:rPr/>
        <w:t>Ministério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laudo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aderência</w:t>
      </w:r>
      <w:r>
        <w:rPr>
          <w:spacing w:val="40"/>
        </w:rPr>
        <w:t> </w:t>
      </w:r>
      <w:r>
        <w:rPr/>
        <w:t>do PROGESTÃO, sendo uma questão de transparência. Encerrada as tratativas da reunião,</w:t>
      </w:r>
      <w:r>
        <w:rPr>
          <w:spacing w:val="-1"/>
        </w:rPr>
        <w:t> </w:t>
      </w:r>
      <w:r>
        <w:rPr/>
        <w:t>o Presidente agradeceu</w:t>
      </w:r>
      <w:r>
        <w:rPr>
          <w:spacing w:val="-1"/>
        </w:rPr>
        <w:t> </w:t>
      </w:r>
      <w:r>
        <w:rPr/>
        <w:t>a todos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 e</w:t>
      </w:r>
      <w:r>
        <w:rPr>
          <w:spacing w:val="-1"/>
        </w:rPr>
        <w:t> </w:t>
      </w:r>
      <w:r>
        <w:rPr/>
        <w:t>encerra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reunião às 11h 15min. Lavrada a presente ata que segue assinada pelos presentes e por mim, Maria Luíza Ribeiro Goulart, quem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161523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.71839pt;width:168pt;height:.1pt;mso-position-horizontal-relative:page;mso-position-vertical-relative:paragraph;z-index:-15728128;mso-wrap-distance-left:0;mso-wrap-distance-right:0" id="docshape1" coordorigin="1702,254" coordsize="3360,0" path="m1702,254l5062,2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4281804</wp:posOffset>
                </wp:positionH>
                <wp:positionV relativeFrom="paragraph">
                  <wp:posOffset>161523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2.71839pt;width:168pt;height:.1pt;mso-position-horizontal-relative:page;mso-position-vertical-relative:paragraph;z-index:-15727616;mso-wrap-distance-left:0;mso-wrap-distance-right:0" id="docshape2" coordorigin="6743,254" coordsize="3360,0" path="m6743,254l10103,2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405pt;width:168pt;height:.1pt;mso-position-horizontal-relative:page;mso-position-vertical-relative:paragraph;z-index:-15727104;mso-wrap-distance-left:0;mso-wrap-distance-right:0" id="docshape3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405pt;width:168pt;height:.1pt;mso-position-horizontal-relative:page;mso-position-vertical-relative:paragraph;z-index:-15726592;mso-wrap-distance-left:0;mso-wrap-distance-right:0" id="docshape4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232135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278379pt;width:168pt;height:.1pt;mso-position-horizontal-relative:page;mso-position-vertical-relative:paragraph;z-index:-15726080;mso-wrap-distance-left:0;mso-wrap-distance-right:0" id="docshape5" coordorigin="1702,366" coordsize="3360,0" path="m1702,366l5062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4281804</wp:posOffset>
                </wp:positionH>
                <wp:positionV relativeFrom="paragraph">
                  <wp:posOffset>232135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278379pt;width:168pt;height:.1pt;mso-position-horizontal-relative:page;mso-position-vertical-relative:paragraph;z-index:-15725568;mso-wrap-distance-left:0;mso-wrap-distance-right:0" id="docshape6" coordorigin="6743,366" coordsize="3360,0" path="m6743,366l10103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234040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28389pt;width:168pt;height:.1pt;mso-position-horizontal-relative:page;mso-position-vertical-relative:paragraph;z-index:-15725056;mso-wrap-distance-left:0;mso-wrap-distance-right:0" id="docshape7" coordorigin="1702,369" coordsize="3360,0" path="m1702,369l5062,3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4281804</wp:posOffset>
                </wp:positionH>
                <wp:positionV relativeFrom="paragraph">
                  <wp:posOffset>234040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428389pt;width:168pt;height:.1pt;mso-position-horizontal-relative:page;mso-position-vertical-relative:paragraph;z-index:-15724544;mso-wrap-distance-left:0;mso-wrap-distance-right:0" id="docshape8" coordorigin="6743,369" coordsize="3360,0" path="m6743,369l10103,3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232135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278395pt;width:168pt;height:.1pt;mso-position-horizontal-relative:page;mso-position-vertical-relative:paragraph;z-index:-15724032;mso-wrap-distance-left:0;mso-wrap-distance-right:0" id="docshape9" coordorigin="1702,366" coordsize="3360,0" path="m1702,366l5062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4281804</wp:posOffset>
                </wp:positionH>
                <wp:positionV relativeFrom="paragraph">
                  <wp:posOffset>232135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278395pt;width:168pt;height:.1pt;mso-position-horizontal-relative:page;mso-position-vertical-relative:paragraph;z-index:-15723520;mso-wrap-distance-left:0;mso-wrap-distance-right:0" id="docshape10" coordorigin="6743,366" coordsize="3360,0" path="m6743,366l10103,3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39pt;width:168pt;height:.1pt;mso-position-horizontal-relative:page;mso-position-vertical-relative:paragraph;z-index:-15723008;mso-wrap-distance-left:0;mso-wrap-distance-right:0" id="docshape11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39pt;width:168pt;height:.1pt;mso-position-horizontal-relative:page;mso-position-vertical-relative:paragraph;z-index:-15722496;mso-wrap-distance-left:0;mso-wrap-distance-right:0" id="docshape12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39pt;width:168pt;height:.1pt;mso-position-horizontal-relative:page;mso-position-vertical-relative:paragraph;z-index:-15721984;mso-wrap-distance-left:0;mso-wrap-distance-right:0" id="docshape13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39pt;width:168pt;height:.1pt;mso-position-horizontal-relative:page;mso-position-vertical-relative:paragraph;z-index:-15721472;mso-wrap-distance-left:0;mso-wrap-distance-right:0" id="docshape14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1080820</wp:posOffset>
                </wp:positionH>
                <wp:positionV relativeFrom="paragraph">
                  <wp:posOffset>230492</wp:posOffset>
                </wp:positionV>
                <wp:extent cx="21336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149023pt;width:168pt;height:.1pt;mso-position-horizontal-relative:page;mso-position-vertical-relative:paragraph;z-index:-15720960;mso-wrap-distance-left:0;mso-wrap-distance-right:0" id="docshape15" coordorigin="1702,363" coordsize="3360,0" path="m1702,363l5062,3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4281804</wp:posOffset>
                </wp:positionH>
                <wp:positionV relativeFrom="paragraph">
                  <wp:posOffset>230492</wp:posOffset>
                </wp:positionV>
                <wp:extent cx="21336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149023pt;width:168pt;height:.1pt;mso-position-horizontal-relative:page;mso-position-vertical-relative:paragraph;z-index:-15720448;mso-wrap-distance-left:0;mso-wrap-distance-right:0" id="docshape16" coordorigin="6743,363" coordsize="3360,0" path="m6743,363l10103,3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700" w:bottom="280" w:left="1700" w:right="1133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1361162</wp:posOffset>
            </wp:positionH>
            <wp:positionV relativeFrom="paragraph">
              <wp:posOffset>149928</wp:posOffset>
            </wp:positionV>
            <wp:extent cx="1261902" cy="46437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902" cy="46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DE PETRÓPOLIS - CMPP</w:t>
      </w:r>
    </w:p>
    <w:p>
      <w:pPr>
        <w:spacing w:before="0"/>
        <w:ind w:left="2565" w:right="275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7.353/2015 Lei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n°.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spacing w:before="124"/>
        <w:ind w:left="636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1"/>
        <w:ind w:left="159" w:right="0" w:firstLine="42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05 </w:t>
      </w:r>
      <w:r>
        <w:rPr>
          <w:rFonts w:ascii="Arial"/>
          <w:b/>
          <w:spacing w:val="-2"/>
          <w:sz w:val="22"/>
        </w:rPr>
        <w:t>Data:07/11/23</w:t>
      </w:r>
    </w:p>
    <w:p>
      <w:pPr>
        <w:spacing w:after="0"/>
        <w:jc w:val="left"/>
        <w:rPr>
          <w:rFonts w:ascii="Arial"/>
          <w:b/>
          <w:sz w:val="22"/>
        </w:rPr>
        <w:sectPr>
          <w:pgSz w:w="11910" w:h="16840"/>
          <w:pgMar w:top="700" w:bottom="280" w:left="1700" w:right="1133"/>
          <w:cols w:num="2" w:equalWidth="0">
            <w:col w:w="7413" w:space="40"/>
            <w:col w:w="162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2"/>
        <w:rPr>
          <w:rFonts w:ascii="Arial"/>
          <w:b/>
          <w:sz w:val="20"/>
        </w:rPr>
      </w:pPr>
    </w:p>
    <w:p>
      <w:pPr>
        <w:tabs>
          <w:tab w:pos="5043" w:val="left" w:leader="none"/>
        </w:tabs>
        <w:spacing w:line="20" w:lineRule="exact"/>
        <w:ind w:left="2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133600" cy="6350"/>
                <wp:effectExtent l="9525" t="0" r="0" b="317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133600" cy="6350"/>
                          <a:chExt cx="21336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3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8pt;height:.5pt;mso-position-horizontal-relative:char;mso-position-vertical-relative:line" id="docshapegroup17" coordorigin="0,0" coordsize="3360,10">
                <v:line style="position:absolute" from="0,5" to="33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133600" cy="6350"/>
                <wp:effectExtent l="9525" t="0" r="0" b="317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133600" cy="6350"/>
                          <a:chExt cx="213360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93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8pt;height:.5pt;mso-position-horizontal-relative:char;mso-position-vertical-relative:line" id="docshapegroup18" coordorigin="0,0" coordsize="3360,10">
                <v:line style="position:absolute" from="0,5" to="33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1080820</wp:posOffset>
                </wp:positionH>
                <wp:positionV relativeFrom="paragraph">
                  <wp:posOffset>222529</wp:posOffset>
                </wp:positionV>
                <wp:extent cx="21336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521973pt;width:168pt;height:.1pt;mso-position-horizontal-relative:page;mso-position-vertical-relative:paragraph;z-index:-15718400;mso-wrap-distance-left:0;mso-wrap-distance-right:0" id="docshape19" coordorigin="1702,350" coordsize="3360,0" path="m1702,350l5062,35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4281804</wp:posOffset>
                </wp:positionH>
                <wp:positionV relativeFrom="paragraph">
                  <wp:posOffset>222529</wp:posOffset>
                </wp:positionV>
                <wp:extent cx="21336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7.521973pt;width:168pt;height:.1pt;mso-position-horizontal-relative:page;mso-position-vertical-relative:paragraph;z-index:-15717888;mso-wrap-distance-left:0;mso-wrap-distance-right:0" id="docshape20" coordorigin="6743,350" coordsize="3360,0" path="m6743,350l10103,35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1080820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8405pt;width:168pt;height:.1pt;mso-position-horizontal-relative:page;mso-position-vertical-relative:paragraph;z-index:-15717376;mso-wrap-distance-left:0;mso-wrap-distance-right:0" id="docshape21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4281804</wp:posOffset>
                </wp:positionH>
                <wp:positionV relativeFrom="paragraph">
                  <wp:posOffset>233659</wp:posOffset>
                </wp:positionV>
                <wp:extent cx="21336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8405pt;width:168pt;height:.1pt;mso-position-horizontal-relative:page;mso-position-vertical-relative:paragraph;z-index:-15716864;mso-wrap-distance-left:0;mso-wrap-distance-right:0" id="docshape22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1080820</wp:posOffset>
                </wp:positionH>
                <wp:positionV relativeFrom="paragraph">
                  <wp:posOffset>233667</wp:posOffset>
                </wp:positionV>
                <wp:extent cx="21336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99023pt;width:168pt;height:.1pt;mso-position-horizontal-relative:page;mso-position-vertical-relative:paragraph;z-index:-15716352;mso-wrap-distance-left:0;mso-wrap-distance-right:0" id="docshape23" coordorigin="1702,368" coordsize="3360,0" path="m1702,368l5062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4281804</wp:posOffset>
                </wp:positionH>
                <wp:positionV relativeFrom="paragraph">
                  <wp:posOffset>233667</wp:posOffset>
                </wp:positionV>
                <wp:extent cx="21336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49994pt;margin-top:18.399023pt;width:168pt;height:.1pt;mso-position-horizontal-relative:page;mso-position-vertical-relative:paragraph;z-index:-15715840;mso-wrap-distance-left:0;mso-wrap-distance-right:0" id="docshape24" coordorigin="6743,368" coordsize="3360,0" path="m6743,368l10103,3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70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56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2025-07-23T14:00:55Z</dcterms:created>
  <dcterms:modified xsi:type="dcterms:W3CDTF">2025-07-23T14:00:55Z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2019</vt:lpwstr>
  </property>
</Properties>
</file>