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6" w:after="1"/>
        <w:rPr>
          <w:rFonts w:ascii="Times New Roman"/>
          <w:b w:val="0"/>
          <w:sz w:val="20"/>
        </w:rPr>
      </w:pPr>
    </w:p>
    <w:p>
      <w:pPr>
        <w:pStyle w:val="BodyText"/>
        <w:ind w:left="522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08725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25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JULHO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4"/>
        </w:rPr>
        <w:t>2012</w:t>
      </w: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9" w:hRule="atLeast"/>
        </w:trPr>
        <w:tc>
          <w:tcPr>
            <w:tcW w:w="4795" w:type="dxa"/>
            <w:shd w:val="clear" w:color="auto" w:fill="C0C0C0"/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shd w:val="clear" w:color="auto" w:fill="C0C0C0"/>
          </w:tcPr>
          <w:p>
            <w:pPr>
              <w:pStyle w:val="TableParagraph"/>
              <w:spacing w:line="208" w:lineRule="exact"/>
              <w:ind w:left="46" w:right="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Nº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shd w:val="clear" w:color="auto" w:fill="C0C0C0"/>
          </w:tcPr>
          <w:p>
            <w:pPr>
              <w:pStyle w:val="TableParagraph"/>
              <w:spacing w:line="208" w:lineRule="exact"/>
              <w:ind w:left="259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shd w:val="clear" w:color="auto" w:fill="C0C0C0"/>
          </w:tcPr>
          <w:p>
            <w:pPr>
              <w:pStyle w:val="TableParagraph"/>
              <w:spacing w:line="208" w:lineRule="exact"/>
              <w:ind w:left="157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shd w:val="clear" w:color="auto" w:fill="C0C0C0"/>
          </w:tcPr>
          <w:p>
            <w:pPr>
              <w:pStyle w:val="TableParagraph"/>
              <w:spacing w:line="208" w:lineRule="exact"/>
              <w:ind w:left="520" w:right="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784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525.554,51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258.302,83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783.857,34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z w:val="19"/>
              </w:rPr>
              <w:t>Câmara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33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21.741,11</w:t>
            </w:r>
          </w:p>
        </w:tc>
        <w:tc>
          <w:tcPr>
            <w:tcW w:w="1749" w:type="dxa"/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10.870,57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32.611,68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z w:val="19"/>
              </w:rPr>
              <w:t>Fundo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0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3034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1.911.904,14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952.745,47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2.864.649,61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Saúde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0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2028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874.286,02</w:t>
            </w:r>
          </w:p>
        </w:tc>
        <w:tc>
          <w:tcPr>
            <w:tcW w:w="1749" w:type="dxa"/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428.143,18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1.302.429,20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COMDEP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  <w:tc>
          <w:tcPr>
            <w:tcW w:w="1737" w:type="dxa"/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2.780,82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1.390,43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4.171,25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CPTRANS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1.459,05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729,53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2.188,58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Cultura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41</w:t>
            </w:r>
          </w:p>
        </w:tc>
        <w:tc>
          <w:tcPr>
            <w:tcW w:w="1737" w:type="dxa"/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13.658,66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6.829,33</w:t>
            </w:r>
          </w:p>
        </w:tc>
        <w:tc>
          <w:tcPr>
            <w:tcW w:w="1891" w:type="dxa"/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20.487,99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Casimiro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Abreu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685,10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342,55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1.027,65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TJ/RJ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387,06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387,06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ALESP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395,56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197,78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593,34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DACPREV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547,74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273,87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821,61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z w:val="19"/>
              </w:rPr>
              <w:t>INPAS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ativos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38</w:t>
            </w:r>
          </w:p>
        </w:tc>
        <w:tc>
          <w:tcPr>
            <w:tcW w:w="1737" w:type="dxa"/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23.789,53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11.894,74</w:t>
            </w:r>
          </w:p>
        </w:tc>
        <w:tc>
          <w:tcPr>
            <w:tcW w:w="1891" w:type="dxa"/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35.684,27</w:t>
            </w:r>
          </w:p>
        </w:tc>
      </w:tr>
      <w:tr>
        <w:trPr>
          <w:trHeight w:val="217" w:hRule="atLeast"/>
        </w:trPr>
        <w:tc>
          <w:tcPr>
            <w:tcW w:w="4795" w:type="dxa"/>
          </w:tcPr>
          <w:p>
            <w:pPr>
              <w:pStyle w:val="TableParagraph"/>
              <w:ind w:left="40" w:right="0"/>
              <w:jc w:val="left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inativos</w:t>
            </w:r>
          </w:p>
        </w:tc>
        <w:tc>
          <w:tcPr>
            <w:tcW w:w="1713" w:type="dxa"/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1675</w:t>
            </w:r>
          </w:p>
        </w:tc>
        <w:tc>
          <w:tcPr>
            <w:tcW w:w="1737" w:type="dxa"/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32.007,66</w:t>
            </w:r>
          </w:p>
        </w:tc>
        <w:tc>
          <w:tcPr>
            <w:tcW w:w="1891" w:type="dxa"/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32.007,66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 w:before="0"/>
              <w:ind w:left="40" w:right="0"/>
              <w:jc w:val="left"/>
              <w:rPr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661</w:t>
            </w:r>
          </w:p>
        </w:tc>
        <w:tc>
          <w:tcPr>
            <w:tcW w:w="17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9"/>
              </w:rPr>
            </w:pPr>
            <w:r>
              <w:rPr>
                <w:spacing w:val="-2"/>
                <w:sz w:val="19"/>
              </w:rPr>
              <w:t>7.835,92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9"/>
              </w:rPr>
            </w:pPr>
            <w:r>
              <w:rPr>
                <w:spacing w:val="-2"/>
                <w:sz w:val="19"/>
              </w:rPr>
              <w:t>7.835,92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ind w:left="40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5985</w:t>
            </w:r>
          </w:p>
        </w:tc>
        <w:tc>
          <w:tcPr>
            <w:tcW w:w="17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3.376.802,24</w:t>
            </w:r>
          </w:p>
        </w:tc>
        <w:tc>
          <w:tcPr>
            <w:tcW w:w="17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1.672.107,34</w:t>
            </w:r>
          </w:p>
        </w:tc>
        <w:tc>
          <w:tcPr>
            <w:tcW w:w="18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ind w:right="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5.048.909,58</w:t>
            </w:r>
          </w:p>
        </w:tc>
      </w:tr>
      <w:tr>
        <w:trPr>
          <w:trHeight w:val="229" w:hRule="atLeast"/>
        </w:trPr>
        <w:tc>
          <w:tcPr>
            <w:tcW w:w="4795" w:type="dxa"/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1675</w:t>
            </w:r>
          </w:p>
        </w:tc>
        <w:tc>
          <w:tcPr>
            <w:tcW w:w="1737" w:type="dxa"/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32.007,66</w:t>
            </w:r>
          </w:p>
        </w:tc>
        <w:tc>
          <w:tcPr>
            <w:tcW w:w="1891" w:type="dxa"/>
          </w:tcPr>
          <w:p>
            <w:pPr>
              <w:pStyle w:val="TableParagraph"/>
              <w:spacing w:line="208" w:lineRule="exact"/>
              <w:ind w:right="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32.007,66</w:t>
            </w:r>
          </w:p>
        </w:tc>
      </w:tr>
      <w:tr>
        <w:trPr>
          <w:trHeight w:val="229" w:hRule="atLeast"/>
        </w:trPr>
        <w:tc>
          <w:tcPr>
            <w:tcW w:w="4795" w:type="dxa"/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661</w:t>
            </w:r>
          </w:p>
        </w:tc>
        <w:tc>
          <w:tcPr>
            <w:tcW w:w="1737" w:type="dxa"/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7.835,92</w:t>
            </w:r>
          </w:p>
        </w:tc>
        <w:tc>
          <w:tcPr>
            <w:tcW w:w="1891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7.835,92</w:t>
            </w:r>
          </w:p>
        </w:tc>
      </w:tr>
      <w:tr>
        <w:trPr>
          <w:trHeight w:val="229" w:hRule="atLeast"/>
        </w:trPr>
        <w:tc>
          <w:tcPr>
            <w:tcW w:w="11885" w:type="dxa"/>
            <w:gridSpan w:val="5"/>
            <w:shd w:val="clear" w:color="auto" w:fill="C0C0C0"/>
          </w:tcPr>
          <w:p>
            <w:pPr>
              <w:pStyle w:val="TableParagraph"/>
              <w:spacing w:line="208" w:lineRule="exact"/>
              <w:ind w:left="43" w:right="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OUTRAS</w:t>
            </w:r>
            <w:r>
              <w:rPr>
                <w:rFonts w:ascii="Arial"/>
                <w:b/>
                <w:spacing w:val="-9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795" w:type="dxa"/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145.078,44</w:t>
            </w:r>
          </w:p>
        </w:tc>
      </w:tr>
      <w:tr>
        <w:trPr>
          <w:trHeight w:val="229" w:hRule="atLeast"/>
        </w:trPr>
        <w:tc>
          <w:tcPr>
            <w:tcW w:w="4795" w:type="dxa"/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Atualizações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sobre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208" w:lineRule="exact"/>
              <w:ind w:right="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119.004,88</w:t>
            </w:r>
          </w:p>
        </w:tc>
      </w:tr>
      <w:tr>
        <w:trPr>
          <w:trHeight w:val="229" w:hRule="atLeast"/>
        </w:trPr>
        <w:tc>
          <w:tcPr>
            <w:tcW w:w="4795" w:type="dxa"/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Rendimentos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aplicações</w:t>
            </w:r>
          </w:p>
        </w:tc>
        <w:tc>
          <w:tcPr>
            <w:tcW w:w="1713" w:type="dxa"/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233.740,18</w:t>
            </w:r>
          </w:p>
        </w:tc>
      </w:tr>
      <w:tr>
        <w:trPr>
          <w:trHeight w:val="229" w:hRule="atLeast"/>
        </w:trPr>
        <w:tc>
          <w:tcPr>
            <w:tcW w:w="4795" w:type="dxa"/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COMPREV</w:t>
            </w:r>
          </w:p>
        </w:tc>
        <w:tc>
          <w:tcPr>
            <w:tcW w:w="1713" w:type="dxa"/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242.475,78</w:t>
            </w:r>
          </w:p>
        </w:tc>
      </w:tr>
      <w:tr>
        <w:trPr>
          <w:trHeight w:val="229" w:hRule="atLeast"/>
        </w:trPr>
        <w:tc>
          <w:tcPr>
            <w:tcW w:w="4795" w:type="dxa"/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Custos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operacionais</w:t>
            </w:r>
          </w:p>
        </w:tc>
        <w:tc>
          <w:tcPr>
            <w:tcW w:w="1713" w:type="dxa"/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1.241,42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left="37" w:right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left="46" w:righ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8321</w:t>
            </w:r>
          </w:p>
        </w:tc>
        <w:tc>
          <w:tcPr>
            <w:tcW w:w="17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3.376.802,24</w:t>
            </w:r>
          </w:p>
        </w:tc>
        <w:tc>
          <w:tcPr>
            <w:tcW w:w="17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1.711.950,92</w:t>
            </w:r>
          </w:p>
        </w:tc>
        <w:tc>
          <w:tcPr>
            <w:tcW w:w="189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5.830.293,86</w:t>
            </w:r>
          </w:p>
        </w:tc>
      </w:tr>
    </w:tbl>
    <w:p>
      <w:pPr>
        <w:pStyle w:val="BodyText"/>
        <w:spacing w:before="218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214</w:t>
      </w:r>
    </w:p>
    <w:p>
      <w:pPr>
        <w:pStyle w:val="BodyText"/>
        <w:spacing w:before="27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44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179"/>
      </w:pPr>
      <w:r>
        <w:rPr/>
        <w:t>Valores</w:t>
      </w:r>
      <w:r>
        <w:rPr>
          <w:spacing w:val="-12"/>
        </w:rPr>
        <w:t> </w:t>
      </w:r>
      <w:r>
        <w:rPr/>
        <w:t>repassados</w:t>
      </w:r>
      <w:r>
        <w:rPr>
          <w:spacing w:val="-11"/>
        </w:rPr>
        <w:t> </w:t>
      </w:r>
      <w:r>
        <w:rPr/>
        <w:t>até</w:t>
      </w:r>
      <w:r>
        <w:rPr>
          <w:spacing w:val="-11"/>
        </w:rPr>
        <w:t> </w:t>
      </w:r>
      <w:r>
        <w:rPr/>
        <w:t>28-08-</w:t>
      </w:r>
      <w:r>
        <w:rPr>
          <w:spacing w:val="-2"/>
        </w:rPr>
        <w:t>2012.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9"/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96" w:lineRule="exact"/>
      <w:ind w:right="6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- 2012</dc:title>
  <dcterms:created xsi:type="dcterms:W3CDTF">2025-07-08T14:04:39Z</dcterms:created>
  <dcterms:modified xsi:type="dcterms:W3CDTF">2025-07-08T14:04:39Z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