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210" w:val="left" w:leader="none"/>
        </w:tabs>
      </w:pPr>
      <w:r>
        <w:rPr>
          <w:w w:val="105"/>
        </w:rPr>
        <w:t>RECEITAS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DE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CONTRIBUIÇÕES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w w:val="105"/>
        </w:rPr>
        <w:t>-</w:t>
      </w:r>
      <w:r>
        <w:rPr>
          <w:rFonts w:ascii="Times New Roman" w:hAnsi="Times New Roman"/>
          <w:b w:val="0"/>
          <w:spacing w:val="-12"/>
          <w:w w:val="105"/>
        </w:rPr>
        <w:t> </w:t>
      </w:r>
      <w:r>
        <w:rPr>
          <w:w w:val="105"/>
        </w:rPr>
        <w:t>JANEIRO</w:t>
      </w:r>
      <w:r>
        <w:rPr>
          <w:rFonts w:ascii="Times New Roman" w:hAnsi="Times New Roman"/>
          <w:b w:val="0"/>
          <w:spacing w:val="-9"/>
          <w:w w:val="105"/>
        </w:rPr>
        <w:t> </w:t>
      </w:r>
      <w:r>
        <w:rPr>
          <w:w w:val="105"/>
        </w:rPr>
        <w:t>–</w:t>
      </w:r>
      <w:r>
        <w:rPr>
          <w:rFonts w:ascii="Times New Roman" w:hAnsi="Times New Roman"/>
          <w:b w:val="0"/>
          <w:spacing w:val="-10"/>
          <w:w w:val="105"/>
        </w:rPr>
        <w:t> </w:t>
      </w:r>
      <w:r>
        <w:rPr>
          <w:spacing w:val="-4"/>
          <w:w w:val="105"/>
        </w:rPr>
        <w:t>2020</w:t>
      </w:r>
      <w:r>
        <w:rPr>
          <w:rFonts w:ascii="Times New Roman" w:hAnsi="Times New Roman"/>
          <w:b w:val="0"/>
        </w:rPr>
        <w:tab/>
      </w:r>
      <w:r>
        <w:rPr>
          <w:w w:val="105"/>
        </w:rPr>
        <w:t>Plano</w:t>
      </w:r>
      <w:r>
        <w:rPr>
          <w:rFonts w:ascii="Times New Roman" w:hAnsi="Times New Roman"/>
          <w:b w:val="0"/>
          <w:spacing w:val="-7"/>
          <w:w w:val="105"/>
        </w:rPr>
        <w:t> </w:t>
      </w:r>
      <w:r>
        <w:rPr>
          <w:spacing w:val="-2"/>
          <w:w w:val="105"/>
        </w:rPr>
        <w:t>Financeiro</w:t>
      </w:r>
    </w:p>
    <w:p>
      <w:pPr>
        <w:pStyle w:val="BodyText"/>
        <w:spacing w:before="56"/>
        <w:rPr>
          <w:sz w:val="20"/>
        </w:rPr>
      </w:pPr>
    </w:p>
    <w:tbl>
      <w:tblPr>
        <w:tblW w:w="0" w:type="auto"/>
        <w:jc w:val="left"/>
        <w:tblInd w:w="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2"/>
        <w:gridCol w:w="1435"/>
        <w:gridCol w:w="1437"/>
        <w:gridCol w:w="1514"/>
        <w:gridCol w:w="1593"/>
      </w:tblGrid>
      <w:tr>
        <w:trPr>
          <w:trHeight w:val="234" w:hRule="atLeast"/>
        </w:trPr>
        <w:tc>
          <w:tcPr>
            <w:tcW w:w="5712" w:type="dxa"/>
            <w:shd w:val="clear" w:color="auto" w:fill="C0C0C0"/>
          </w:tcPr>
          <w:p>
            <w:pPr>
              <w:pStyle w:val="TableParagraph"/>
              <w:spacing w:before="22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CONTRIBUIÇÕES</w:t>
            </w:r>
          </w:p>
        </w:tc>
        <w:tc>
          <w:tcPr>
            <w:tcW w:w="1435" w:type="dxa"/>
            <w:shd w:val="clear" w:color="auto" w:fill="C0C0C0"/>
          </w:tcPr>
          <w:p>
            <w:pPr>
              <w:pStyle w:val="TableParagraph"/>
              <w:spacing w:before="22"/>
              <w:ind w:left="4" w:right="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Nº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437" w:type="dxa"/>
            <w:shd w:val="clear" w:color="auto" w:fill="C0C0C0"/>
          </w:tcPr>
          <w:p>
            <w:pPr>
              <w:pStyle w:val="TableParagraph"/>
              <w:spacing w:before="22"/>
              <w:ind w:left="172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Patronal</w:t>
            </w:r>
          </w:p>
        </w:tc>
        <w:tc>
          <w:tcPr>
            <w:tcW w:w="1514" w:type="dxa"/>
            <w:shd w:val="clear" w:color="auto" w:fill="C0C0C0"/>
          </w:tcPr>
          <w:p>
            <w:pPr>
              <w:pStyle w:val="TableParagraph"/>
              <w:spacing w:before="22"/>
              <w:ind w:left="113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Cota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Servidores</w:t>
            </w:r>
          </w:p>
        </w:tc>
        <w:tc>
          <w:tcPr>
            <w:tcW w:w="1593" w:type="dxa"/>
            <w:shd w:val="clear" w:color="auto" w:fill="C0C0C0"/>
          </w:tcPr>
          <w:p>
            <w:pPr>
              <w:pStyle w:val="TableParagraph"/>
              <w:spacing w:before="22"/>
              <w:ind w:left="411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5"/>
                <w:w w:val="105"/>
                <w:sz w:val="16"/>
              </w:rPr>
              <w:t>Mês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729</w:t>
            </w:r>
          </w:p>
        </w:tc>
        <w:tc>
          <w:tcPr>
            <w:tcW w:w="143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618.475,93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309.238,11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927.714,04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Câmara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Petrópolis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26</w:t>
            </w:r>
          </w:p>
        </w:tc>
        <w:tc>
          <w:tcPr>
            <w:tcW w:w="143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40.204,85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20.102,42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60.307,27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Fundo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Educação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3074</w:t>
            </w:r>
          </w:p>
        </w:tc>
        <w:tc>
          <w:tcPr>
            <w:tcW w:w="143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2.309.917,29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1.154.957,41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3.464.874,70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Secretaria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Saúde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1597</w:t>
            </w:r>
          </w:p>
        </w:tc>
        <w:tc>
          <w:tcPr>
            <w:tcW w:w="1437" w:type="dxa"/>
          </w:tcPr>
          <w:p>
            <w:pPr>
              <w:pStyle w:val="TableParagraph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1.192.334,22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596.167,11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1.788.501,33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COMDEP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10</w:t>
            </w:r>
          </w:p>
        </w:tc>
        <w:tc>
          <w:tcPr>
            <w:tcW w:w="1437" w:type="dxa"/>
          </w:tcPr>
          <w:p>
            <w:pPr>
              <w:pStyle w:val="TableParagraph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3.385,10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1.692,57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5.077,67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Municipal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Casimiro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Abreu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679,64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339,82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1.019,46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DACPREV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774,72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387,28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1.162,00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TJ/RJ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422,21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211,10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633,31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MPT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rFonts w:ascii="Times New Roman" w:hAnsi="Times New Roman"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Bianca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Wilbert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355,02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177,51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532,53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spacing w:before="22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Paty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do</w:t>
            </w:r>
            <w:r>
              <w:rPr>
                <w:rFonts w:ascii="Times New Roman" w:hAnsi="Times New Roman"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Alferes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–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Elida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spacing w:before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323,99</w:t>
            </w:r>
          </w:p>
        </w:tc>
        <w:tc>
          <w:tcPr>
            <w:tcW w:w="1514" w:type="dxa"/>
          </w:tcPr>
          <w:p>
            <w:pPr>
              <w:pStyle w:val="TableParagraph"/>
              <w:spacing w:before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161,99</w:t>
            </w:r>
          </w:p>
        </w:tc>
        <w:tc>
          <w:tcPr>
            <w:tcW w:w="1593" w:type="dxa"/>
          </w:tcPr>
          <w:p>
            <w:pPr>
              <w:pStyle w:val="TableParagraph"/>
              <w:spacing w:before="22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485,98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spacing w:before="22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4" w:right="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43</w:t>
            </w:r>
          </w:p>
        </w:tc>
        <w:tc>
          <w:tcPr>
            <w:tcW w:w="1437" w:type="dxa"/>
          </w:tcPr>
          <w:p>
            <w:pPr>
              <w:pStyle w:val="TableParagraph"/>
              <w:spacing w:before="22"/>
              <w:ind w:right="2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42.745,45</w:t>
            </w:r>
          </w:p>
        </w:tc>
        <w:tc>
          <w:tcPr>
            <w:tcW w:w="1514" w:type="dxa"/>
          </w:tcPr>
          <w:p>
            <w:pPr>
              <w:pStyle w:val="TableParagraph"/>
              <w:spacing w:before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21.372,69</w:t>
            </w:r>
          </w:p>
        </w:tc>
        <w:tc>
          <w:tcPr>
            <w:tcW w:w="1593" w:type="dxa"/>
          </w:tcPr>
          <w:p>
            <w:pPr>
              <w:pStyle w:val="TableParagraph"/>
              <w:spacing w:before="22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64.118,14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spacing w:before="22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spacing w:val="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279</w:t>
            </w:r>
          </w:p>
        </w:tc>
        <w:tc>
          <w:tcPr>
            <w:tcW w:w="1437" w:type="dxa"/>
          </w:tcPr>
          <w:p>
            <w:pPr>
              <w:pStyle w:val="TableParagraph"/>
              <w:spacing w:before="2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spacing w:before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64.529,71</w:t>
            </w:r>
          </w:p>
        </w:tc>
        <w:tc>
          <w:tcPr>
            <w:tcW w:w="1593" w:type="dxa"/>
          </w:tcPr>
          <w:p>
            <w:pPr>
              <w:pStyle w:val="TableParagraph"/>
              <w:spacing w:before="22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64.529,71</w:t>
            </w:r>
          </w:p>
        </w:tc>
      </w:tr>
      <w:tr>
        <w:trPr>
          <w:trHeight w:val="226" w:hRule="atLeast"/>
        </w:trPr>
        <w:tc>
          <w:tcPr>
            <w:tcW w:w="5712" w:type="dxa"/>
            <w:tcBorders>
              <w:bottom w:val="single" w:sz="48" w:space="0" w:color="CCCCCC"/>
            </w:tcBorders>
          </w:tcPr>
          <w:p>
            <w:pPr>
              <w:pStyle w:val="TableParagraph"/>
              <w:spacing w:before="22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**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INPAS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5" w:type="dxa"/>
            <w:tcBorders>
              <w:bottom w:val="single" w:sz="48" w:space="0" w:color="CCCCCC"/>
            </w:tcBorders>
          </w:tcPr>
          <w:p>
            <w:pPr>
              <w:pStyle w:val="TableParagraph"/>
              <w:spacing w:before="22"/>
              <w:ind w:left="4" w:right="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43</w:t>
            </w:r>
          </w:p>
        </w:tc>
        <w:tc>
          <w:tcPr>
            <w:tcW w:w="1437" w:type="dxa"/>
            <w:tcBorders>
              <w:bottom w:val="single" w:sz="48" w:space="0" w:color="CCCCCC"/>
            </w:tcBorders>
          </w:tcPr>
          <w:p>
            <w:pPr>
              <w:pStyle w:val="TableParagraph"/>
              <w:spacing w:before="2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  <w:tcBorders>
              <w:bottom w:val="single" w:sz="48" w:space="0" w:color="CCCCCC"/>
            </w:tcBorders>
          </w:tcPr>
          <w:p>
            <w:pPr>
              <w:pStyle w:val="TableParagraph"/>
              <w:spacing w:before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8.548,65</w:t>
            </w:r>
          </w:p>
        </w:tc>
        <w:tc>
          <w:tcPr>
            <w:tcW w:w="1593" w:type="dxa"/>
            <w:tcBorders>
              <w:bottom w:val="single" w:sz="48" w:space="0" w:color="CCCCCC"/>
            </w:tcBorders>
          </w:tcPr>
          <w:p>
            <w:pPr>
              <w:pStyle w:val="TableParagraph"/>
              <w:spacing w:before="22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8.548,65</w:t>
            </w:r>
          </w:p>
        </w:tc>
      </w:tr>
      <w:tr>
        <w:trPr>
          <w:trHeight w:val="229" w:hRule="atLeast"/>
        </w:trPr>
        <w:tc>
          <w:tcPr>
            <w:tcW w:w="5712" w:type="dxa"/>
            <w:tcBorders>
              <w:top w:val="single" w:sz="48" w:space="0" w:color="CCCCCC"/>
            </w:tcBorders>
          </w:tcPr>
          <w:p>
            <w:pPr>
              <w:pStyle w:val="TableParagraph"/>
              <w:spacing w:before="16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ativos</w:t>
            </w:r>
          </w:p>
        </w:tc>
        <w:tc>
          <w:tcPr>
            <w:tcW w:w="1435" w:type="dxa"/>
            <w:tcBorders>
              <w:top w:val="single" w:sz="48" w:space="0" w:color="CCCCCC"/>
            </w:tcBorders>
          </w:tcPr>
          <w:p>
            <w:pPr>
              <w:pStyle w:val="TableParagraph"/>
              <w:spacing w:before="16"/>
              <w:ind w:left="4" w:right="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5484</w:t>
            </w:r>
          </w:p>
        </w:tc>
        <w:tc>
          <w:tcPr>
            <w:tcW w:w="1437" w:type="dxa"/>
            <w:tcBorders>
              <w:top w:val="single" w:sz="48" w:space="0" w:color="CCCCCC"/>
            </w:tcBorders>
          </w:tcPr>
          <w:p>
            <w:pPr>
              <w:pStyle w:val="TableParagraph"/>
              <w:spacing w:before="16"/>
              <w:ind w:right="1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4.209.618,42</w:t>
            </w:r>
          </w:p>
        </w:tc>
        <w:tc>
          <w:tcPr>
            <w:tcW w:w="1514" w:type="dxa"/>
            <w:tcBorders>
              <w:top w:val="single" w:sz="48" w:space="0" w:color="CCCCCC"/>
            </w:tcBorders>
          </w:tcPr>
          <w:p>
            <w:pPr>
              <w:pStyle w:val="TableParagraph"/>
              <w:spacing w:before="1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2.104.808,01</w:t>
            </w:r>
          </w:p>
        </w:tc>
        <w:tc>
          <w:tcPr>
            <w:tcW w:w="1593" w:type="dxa"/>
            <w:tcBorders>
              <w:top w:val="single" w:sz="48" w:space="0" w:color="CCCCCC"/>
            </w:tcBorders>
          </w:tcPr>
          <w:p>
            <w:pPr>
              <w:pStyle w:val="TableParagraph"/>
              <w:spacing w:before="16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6.314.426,43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inativos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279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64.529,71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64.529,71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Total</w:t>
            </w:r>
            <w:r>
              <w:rPr>
                <w:rFonts w:asci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pensionistas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43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8.548,65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8.548,65</w:t>
            </w:r>
          </w:p>
        </w:tc>
      </w:tr>
      <w:tr>
        <w:trPr>
          <w:trHeight w:val="232" w:hRule="atLeast"/>
        </w:trPr>
        <w:tc>
          <w:tcPr>
            <w:tcW w:w="11691" w:type="dxa"/>
            <w:gridSpan w:val="5"/>
            <w:shd w:val="clear" w:color="auto" w:fill="C0C0C0"/>
          </w:tcPr>
          <w:p>
            <w:pPr>
              <w:pStyle w:val="TableParagraph"/>
              <w:ind w:left="5" w:right="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OUTRAS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RECEITAS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Parcelamentos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95.710,46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Atualiz.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s/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parcelamentos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99.031,90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Rendimentos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aplicações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8.403,70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Belford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Roxo</w:t>
            </w:r>
            <w:r>
              <w:rPr>
                <w:rFonts w:asci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(Agosto/19)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169,37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169,37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APORTES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9.784.508,87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spacing w:before="32"/>
              <w:ind w:left="28" w:right="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Atualiz.</w:t>
            </w:r>
            <w:r>
              <w:rPr>
                <w:rFonts w:ascii="Times New Roman" w:hAnsi="Times New Roman"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Duque</w:t>
            </w:r>
            <w:r>
              <w:rPr>
                <w:rFonts w:ascii="Times New Roman" w:hAnsi="Times New Roman"/>
                <w:spacing w:val="11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rFonts w:ascii="Times New Roman" w:hAnsi="Times New Roman"/>
                <w:spacing w:val="11"/>
                <w:sz w:val="15"/>
              </w:rPr>
              <w:t> </w:t>
            </w:r>
            <w:r>
              <w:rPr>
                <w:b/>
                <w:sz w:val="15"/>
              </w:rPr>
              <w:t>Caxias</w:t>
            </w:r>
            <w:r>
              <w:rPr>
                <w:rFonts w:ascii="Times New Roman" w:hAnsi="Times New Roman"/>
                <w:spacing w:val="11"/>
                <w:sz w:val="15"/>
              </w:rPr>
              <w:t> </w:t>
            </w:r>
            <w:r>
              <w:rPr>
                <w:b/>
                <w:sz w:val="15"/>
              </w:rPr>
              <w:t>–</w:t>
            </w:r>
            <w:r>
              <w:rPr>
                <w:rFonts w:ascii="Times New Roman" w:hAnsi="Times New Roman"/>
                <w:spacing w:val="1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Novembro/2019</w:t>
            </w:r>
          </w:p>
        </w:tc>
        <w:tc>
          <w:tcPr>
            <w:tcW w:w="1435" w:type="dxa"/>
          </w:tcPr>
          <w:p>
            <w:pPr>
              <w:pStyle w:val="TableParagraph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45,84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22,92</w:t>
            </w:r>
          </w:p>
        </w:tc>
        <w:tc>
          <w:tcPr>
            <w:tcW w:w="1593" w:type="dxa"/>
          </w:tcPr>
          <w:p>
            <w:pPr>
              <w:pStyle w:val="TableParagraph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68,76</w:t>
            </w:r>
          </w:p>
        </w:tc>
      </w:tr>
      <w:tr>
        <w:trPr>
          <w:trHeight w:val="232" w:hRule="atLeast"/>
        </w:trPr>
        <w:tc>
          <w:tcPr>
            <w:tcW w:w="5712" w:type="dxa"/>
          </w:tcPr>
          <w:p>
            <w:pPr>
              <w:pStyle w:val="TableParagraph"/>
              <w:spacing w:before="22"/>
              <w:ind w:left="28" w:right="0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Prefeitura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Vassouras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(Dezembro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13º</w:t>
            </w:r>
            <w:r>
              <w:rPr>
                <w:rFonts w:ascii="Times New Roman" w:hAnsi="Times New Roman"/>
                <w:spacing w:val="3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salário/2019)</w:t>
            </w:r>
          </w:p>
        </w:tc>
        <w:tc>
          <w:tcPr>
            <w:tcW w:w="1435" w:type="dxa"/>
          </w:tcPr>
          <w:p>
            <w:pPr>
              <w:pStyle w:val="TableParagraph"/>
              <w:spacing w:before="22"/>
              <w:ind w:left="4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spacing w:before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911,85</w:t>
            </w:r>
          </w:p>
        </w:tc>
        <w:tc>
          <w:tcPr>
            <w:tcW w:w="1514" w:type="dxa"/>
          </w:tcPr>
          <w:p>
            <w:pPr>
              <w:pStyle w:val="TableParagraph"/>
              <w:spacing w:before="2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455,92</w:t>
            </w:r>
          </w:p>
        </w:tc>
        <w:tc>
          <w:tcPr>
            <w:tcW w:w="1593" w:type="dxa"/>
          </w:tcPr>
          <w:p>
            <w:pPr>
              <w:pStyle w:val="TableParagraph"/>
              <w:spacing w:before="22"/>
              <w:ind w:right="2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1.367,77</w:t>
            </w:r>
          </w:p>
        </w:tc>
      </w:tr>
      <w:tr>
        <w:trPr>
          <w:trHeight w:val="266" w:hRule="atLeast"/>
        </w:trPr>
        <w:tc>
          <w:tcPr>
            <w:tcW w:w="5712" w:type="dxa"/>
          </w:tcPr>
          <w:p>
            <w:pPr>
              <w:pStyle w:val="TableParagraph"/>
              <w:spacing w:before="21"/>
              <w:ind w:left="28" w:right="0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  <w:r>
              <w:rPr>
                <w:rFonts w:ascii="Times New Roman" w:hAnsi="Times New Roman"/>
                <w:spacing w:val="-7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Mês</w:t>
            </w:r>
          </w:p>
        </w:tc>
        <w:tc>
          <w:tcPr>
            <w:tcW w:w="1435" w:type="dxa"/>
          </w:tcPr>
          <w:p>
            <w:pPr>
              <w:pStyle w:val="TableParagraph"/>
              <w:spacing w:before="21"/>
              <w:ind w:left="4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5806</w:t>
            </w:r>
          </w:p>
        </w:tc>
        <w:tc>
          <w:tcPr>
            <w:tcW w:w="1437" w:type="dxa"/>
          </w:tcPr>
          <w:p>
            <w:pPr>
              <w:pStyle w:val="TableParagraph"/>
              <w:spacing w:before="21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4.210.576,11</w:t>
            </w:r>
          </w:p>
        </w:tc>
        <w:tc>
          <w:tcPr>
            <w:tcW w:w="1514" w:type="dxa"/>
          </w:tcPr>
          <w:p>
            <w:pPr>
              <w:pStyle w:val="TableParagraph"/>
              <w:spacing w:before="2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2.178.534,58</w:t>
            </w:r>
          </w:p>
        </w:tc>
        <w:tc>
          <w:tcPr>
            <w:tcW w:w="1593" w:type="dxa"/>
          </w:tcPr>
          <w:p>
            <w:pPr>
              <w:pStyle w:val="TableParagraph"/>
              <w:spacing w:before="2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16.376.765,62</w:t>
            </w:r>
          </w:p>
        </w:tc>
      </w:tr>
    </w:tbl>
    <w:p>
      <w:pPr>
        <w:pStyle w:val="BodyText"/>
        <w:spacing w:before="196"/>
        <w:ind w:left="63"/>
      </w:pPr>
      <w:r>
        <w:rPr>
          <w:w w:val="105"/>
        </w:rPr>
        <w:t>*</w:t>
      </w:r>
      <w:r>
        <w:rPr>
          <w:rFonts w:ascii="Times New Roman"/>
          <w:b w:val="0"/>
          <w:spacing w:val="-2"/>
          <w:w w:val="105"/>
        </w:rPr>
        <w:t> </w:t>
      </w:r>
      <w:r>
        <w:rPr>
          <w:w w:val="105"/>
        </w:rPr>
        <w:t>Total</w:t>
      </w:r>
      <w:r>
        <w:rPr>
          <w:rFonts w:ascii="Times New Roman"/>
          <w:b w:val="0"/>
          <w:spacing w:val="1"/>
          <w:w w:val="105"/>
        </w:rPr>
        <w:t> </w:t>
      </w:r>
      <w:r>
        <w:rPr>
          <w:w w:val="105"/>
        </w:rPr>
        <w:t>de</w:t>
      </w:r>
      <w:r>
        <w:rPr>
          <w:rFonts w:ascii="Times New Roman"/>
          <w:b w:val="0"/>
          <w:spacing w:val="2"/>
          <w:w w:val="105"/>
        </w:rPr>
        <w:t> </w:t>
      </w:r>
      <w:r>
        <w:rPr>
          <w:w w:val="105"/>
        </w:rPr>
        <w:t>inativos</w:t>
      </w:r>
      <w:r>
        <w:rPr>
          <w:rFonts w:ascii="Times New Roman"/>
          <w:b w:val="0"/>
          <w:spacing w:val="1"/>
          <w:w w:val="105"/>
        </w:rPr>
        <w:t> </w:t>
      </w:r>
      <w:r>
        <w:rPr>
          <w:w w:val="105"/>
        </w:rPr>
        <w:t>na</w:t>
      </w:r>
      <w:r>
        <w:rPr>
          <w:rFonts w:ascii="Times New Roman"/>
          <w:b w:val="0"/>
          <w:spacing w:val="2"/>
          <w:w w:val="105"/>
        </w:rPr>
        <w:t> </w:t>
      </w:r>
      <w:r>
        <w:rPr>
          <w:w w:val="105"/>
        </w:rPr>
        <w:t>folha</w:t>
      </w:r>
      <w:r>
        <w:rPr>
          <w:rFonts w:ascii="Times New Roman"/>
          <w:b w:val="0"/>
          <w:spacing w:val="2"/>
          <w:w w:val="105"/>
        </w:rPr>
        <w:t> </w:t>
      </w:r>
      <w:r>
        <w:rPr>
          <w:w w:val="105"/>
        </w:rPr>
        <w:t>=</w:t>
      </w:r>
      <w:r>
        <w:rPr>
          <w:rFonts w:ascii="Times New Roman"/>
          <w:b w:val="0"/>
          <w:spacing w:val="2"/>
          <w:w w:val="105"/>
        </w:rPr>
        <w:t> </w:t>
      </w:r>
      <w:r>
        <w:rPr>
          <w:spacing w:val="-4"/>
          <w:w w:val="105"/>
        </w:rPr>
        <w:t>2356</w:t>
      </w:r>
    </w:p>
    <w:p>
      <w:pPr>
        <w:pStyle w:val="BodyText"/>
        <w:spacing w:before="37"/>
        <w:ind w:left="63"/>
      </w:pPr>
      <w:r>
        <w:rPr>
          <w:w w:val="105"/>
        </w:rPr>
        <w:t>**</w:t>
      </w:r>
      <w:r>
        <w:rPr>
          <w:rFonts w:ascii="Times New Roman"/>
          <w:b w:val="0"/>
          <w:w w:val="105"/>
        </w:rPr>
        <w:t> </w:t>
      </w:r>
      <w:r>
        <w:rPr>
          <w:w w:val="105"/>
        </w:rPr>
        <w:t>Total</w:t>
      </w:r>
      <w:r>
        <w:rPr>
          <w:rFonts w:ascii="Times New Roman"/>
          <w:b w:val="0"/>
          <w:spacing w:val="1"/>
          <w:w w:val="105"/>
        </w:rPr>
        <w:t> </w:t>
      </w:r>
      <w:r>
        <w:rPr>
          <w:w w:val="105"/>
        </w:rPr>
        <w:t>de</w:t>
      </w:r>
      <w:r>
        <w:rPr>
          <w:rFonts w:ascii="Times New Roman"/>
          <w:b w:val="0"/>
          <w:spacing w:val="1"/>
          <w:w w:val="105"/>
        </w:rPr>
        <w:t> </w:t>
      </w:r>
      <w:r>
        <w:rPr>
          <w:w w:val="105"/>
        </w:rPr>
        <w:t>pensionistas</w:t>
      </w:r>
      <w:r>
        <w:rPr>
          <w:rFonts w:ascii="Times New Roman"/>
          <w:b w:val="0"/>
          <w:spacing w:val="2"/>
          <w:w w:val="105"/>
        </w:rPr>
        <w:t> </w:t>
      </w:r>
      <w:r>
        <w:rPr>
          <w:w w:val="105"/>
        </w:rPr>
        <w:t>na</w:t>
      </w:r>
      <w:r>
        <w:rPr>
          <w:rFonts w:ascii="Times New Roman"/>
          <w:b w:val="0"/>
          <w:spacing w:val="1"/>
          <w:w w:val="105"/>
        </w:rPr>
        <w:t> </w:t>
      </w:r>
      <w:r>
        <w:rPr>
          <w:w w:val="105"/>
        </w:rPr>
        <w:t>folha</w:t>
      </w:r>
      <w:r>
        <w:rPr>
          <w:rFonts w:ascii="Times New Roman"/>
          <w:b w:val="0"/>
          <w:spacing w:val="2"/>
          <w:w w:val="105"/>
        </w:rPr>
        <w:t> </w:t>
      </w:r>
      <w:r>
        <w:rPr>
          <w:w w:val="105"/>
        </w:rPr>
        <w:t>=</w:t>
      </w:r>
      <w:r>
        <w:rPr>
          <w:rFonts w:ascii="Times New Roman"/>
          <w:b w:val="0"/>
          <w:spacing w:val="2"/>
          <w:w w:val="105"/>
        </w:rPr>
        <w:t> </w:t>
      </w:r>
      <w:r>
        <w:rPr>
          <w:spacing w:val="-5"/>
          <w:w w:val="105"/>
        </w:rPr>
        <w:t>670</w:t>
      </w:r>
    </w:p>
    <w:p>
      <w:pPr>
        <w:pStyle w:val="BodyText"/>
      </w:pPr>
    </w:p>
    <w:p>
      <w:pPr>
        <w:pStyle w:val="BodyText"/>
        <w:spacing w:before="35"/>
      </w:pPr>
    </w:p>
    <w:p>
      <w:pPr>
        <w:spacing w:before="0"/>
        <w:ind w:left="63" w:right="0" w:firstLine="0"/>
        <w:jc w:val="left"/>
        <w:rPr>
          <w:b/>
          <w:sz w:val="14"/>
        </w:rPr>
      </w:pPr>
      <w:r>
        <w:rPr>
          <w:b/>
          <w:spacing w:val="-2"/>
          <w:sz w:val="14"/>
        </w:rPr>
        <w:t>Atualizada</w:t>
      </w:r>
      <w:r>
        <w:rPr>
          <w:rFonts w:ascii="Times New Roman"/>
          <w:spacing w:val="5"/>
          <w:sz w:val="14"/>
        </w:rPr>
        <w:t> </w:t>
      </w:r>
      <w:r>
        <w:rPr>
          <w:b/>
          <w:spacing w:val="-2"/>
          <w:sz w:val="14"/>
        </w:rPr>
        <w:t>em:</w:t>
      </w:r>
      <w:r>
        <w:rPr>
          <w:rFonts w:ascii="Times New Roman"/>
          <w:spacing w:val="6"/>
          <w:sz w:val="14"/>
        </w:rPr>
        <w:t> </w:t>
      </w:r>
      <w:r>
        <w:rPr>
          <w:b/>
          <w:spacing w:val="-2"/>
          <w:sz w:val="14"/>
        </w:rPr>
        <w:t>20-02-</w:t>
      </w:r>
      <w:r>
        <w:rPr>
          <w:b/>
          <w:spacing w:val="-4"/>
          <w:sz w:val="14"/>
        </w:rPr>
        <w:t>2020</w:t>
      </w:r>
    </w:p>
    <w:sectPr>
      <w:headerReference w:type="default" r:id="rId5"/>
      <w:type w:val="continuous"/>
      <w:pgSz w:w="16840" w:h="11900" w:orient="landscape"/>
      <w:pgMar w:header="485" w:footer="0" w:top="1260" w:bottom="28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75872">
          <wp:simplePos x="0" y="0"/>
          <wp:positionH relativeFrom="page">
            <wp:posOffset>4766910</wp:posOffset>
          </wp:positionH>
          <wp:positionV relativeFrom="page">
            <wp:posOffset>307735</wp:posOffset>
          </wp:positionV>
          <wp:extent cx="830659" cy="25628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0659" cy="256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610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/>
      <w:ind w:right="1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contribuies- Janeiro-2020 - Financeiro</dc:title>
  <dcterms:created xsi:type="dcterms:W3CDTF">2025-07-10T13:55:51Z</dcterms:created>
  <dcterms:modified xsi:type="dcterms:W3CDTF">2025-07-10T13:55:51Z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2.2.1.0</vt:lpwstr>
  </property>
</Properties>
</file>