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CONTRIBUIÇÕES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AGOSTO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4"/>
        </w:rPr>
        <w:t>2017</w:t>
      </w: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4"/>
        <w:gridCol w:w="1833"/>
        <w:gridCol w:w="1562"/>
        <w:gridCol w:w="1538"/>
        <w:gridCol w:w="1540"/>
      </w:tblGrid>
      <w:tr>
        <w:trPr>
          <w:trHeight w:val="249" w:hRule="atLeast"/>
        </w:trPr>
        <w:tc>
          <w:tcPr>
            <w:tcW w:w="5414" w:type="dxa"/>
            <w:shd w:val="clear" w:color="auto" w:fill="C0C0C0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833" w:type="dxa"/>
            <w:shd w:val="clear" w:color="auto" w:fill="C0C0C0"/>
          </w:tcPr>
          <w:p>
            <w:pPr>
              <w:pStyle w:val="TableParagraph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62" w:type="dxa"/>
            <w:shd w:val="clear" w:color="auto" w:fill="C0C0C0"/>
          </w:tcPr>
          <w:p>
            <w:pPr>
              <w:pStyle w:val="TableParagraph"/>
              <w:ind w:left="19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8" w:type="dxa"/>
            <w:shd w:val="clear" w:color="auto" w:fill="C0C0C0"/>
          </w:tcPr>
          <w:p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0" w:type="dxa"/>
            <w:shd w:val="clear" w:color="auto" w:fill="C0C0C0"/>
          </w:tcPr>
          <w:p>
            <w:pPr>
              <w:pStyle w:val="TableParagraph"/>
              <w:ind w:left="35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51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806</w:t>
            </w:r>
          </w:p>
        </w:tc>
        <w:tc>
          <w:tcPr>
            <w:tcW w:w="1562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578.164,94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289.082,54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867.247,48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spacing w:before="16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833" w:type="dxa"/>
          </w:tcPr>
          <w:p>
            <w:pPr>
              <w:pStyle w:val="TableParagraph"/>
              <w:spacing w:before="16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38.599,35</w:t>
            </w:r>
          </w:p>
        </w:tc>
        <w:tc>
          <w:tcPr>
            <w:tcW w:w="1538" w:type="dxa"/>
          </w:tcPr>
          <w:p>
            <w:pPr>
              <w:pStyle w:val="TableParagraph"/>
              <w:spacing w:before="16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19.299,70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57.899,05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3790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2.588.448,72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1.294.224,79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3.882.673,51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1817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1.305.360,02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652.680,01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1.958.040,03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3.307,93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1.653,97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4.961,90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508,74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254,37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763,11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1.260,18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1.890,27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51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dos Deputados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Robson </w:t>
            </w:r>
            <w:r>
              <w:rPr>
                <w:b/>
                <w:spacing w:val="-2"/>
                <w:sz w:val="18"/>
              </w:rPr>
              <w:t>Cardinelli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326,40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163,20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489,60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M.P.T.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Guimarães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833" w:type="dxa"/>
          </w:tcPr>
          <w:p>
            <w:pPr>
              <w:pStyle w:val="TableParagraph"/>
              <w:spacing w:before="16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327,77</w:t>
            </w:r>
          </w:p>
        </w:tc>
        <w:tc>
          <w:tcPr>
            <w:tcW w:w="1538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163,89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491,66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62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35.583,95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17.791,95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53.375,90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243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53.070,07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53.070,07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8.335,10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8.335,10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6500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4.551.888,00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2.276.160,01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6.828.048,01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243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53.070,07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53.070,07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8.335,10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8.335,10</w:t>
            </w:r>
          </w:p>
        </w:tc>
      </w:tr>
      <w:tr>
        <w:trPr>
          <w:trHeight w:val="251" w:hRule="atLeast"/>
        </w:trPr>
        <w:tc>
          <w:tcPr>
            <w:tcW w:w="11887" w:type="dxa"/>
            <w:gridSpan w:val="5"/>
            <w:shd w:val="clear" w:color="auto" w:fill="C0C0C0"/>
          </w:tcPr>
          <w:p>
            <w:pPr>
              <w:pStyle w:val="TableParagraph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spacing w:before="16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833" w:type="dxa"/>
          </w:tcPr>
          <w:p>
            <w:pPr>
              <w:pStyle w:val="TableParagraph"/>
              <w:spacing w:before="16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251.676,13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 sobre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282.532,68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8.574,59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276.230,58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2.045,76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1.190.109,43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P.M.P.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Complementos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 atualizações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folha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Julho/17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61,34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54,42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115,76</w:t>
            </w:r>
          </w:p>
        </w:tc>
      </w:tr>
      <w:tr>
        <w:trPr>
          <w:trHeight w:val="251" w:hRule="atLeast"/>
        </w:trPr>
        <w:tc>
          <w:tcPr>
            <w:tcW w:w="5414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Alugueis (salas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203-</w:t>
            </w:r>
            <w:r>
              <w:rPr>
                <w:b/>
                <w:spacing w:val="-4"/>
                <w:sz w:val="18"/>
              </w:rPr>
              <w:t>205)</w:t>
            </w:r>
          </w:p>
        </w:tc>
        <w:tc>
          <w:tcPr>
            <w:tcW w:w="183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>
        <w:trPr>
          <w:trHeight w:val="249" w:hRule="atLeast"/>
        </w:trPr>
        <w:tc>
          <w:tcPr>
            <w:tcW w:w="5414" w:type="dxa"/>
          </w:tcPr>
          <w:p>
            <w:pPr>
              <w:pStyle w:val="TableParagraph"/>
              <w:spacing w:before="39"/>
              <w:ind w:left="31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MPT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Bianca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Wilbert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(Patronais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atualiz.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Fev.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Mar.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Abr./2017)</w:t>
            </w:r>
          </w:p>
        </w:tc>
        <w:tc>
          <w:tcPr>
            <w:tcW w:w="1833" w:type="dxa"/>
          </w:tcPr>
          <w:p>
            <w:pPr>
              <w:pStyle w:val="TableParagraph"/>
              <w:spacing w:before="16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1.237,86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1.237,86</w:t>
            </w:r>
          </w:p>
        </w:tc>
      </w:tr>
      <w:tr>
        <w:trPr>
          <w:trHeight w:val="282" w:hRule="atLeast"/>
        </w:trPr>
        <w:tc>
          <w:tcPr>
            <w:tcW w:w="5414" w:type="dxa"/>
          </w:tcPr>
          <w:p>
            <w:pPr>
              <w:pStyle w:val="TableParagraph"/>
              <w:spacing w:before="16"/>
              <w:ind w:left="3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833" w:type="dxa"/>
          </w:tcPr>
          <w:p>
            <w:pPr>
              <w:pStyle w:val="TableParagraph"/>
              <w:spacing w:before="52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6790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6"/>
              <w:ind w:righ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4.553.187,20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2.337.619,60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righ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8.902.775,97</w:t>
            </w:r>
          </w:p>
        </w:tc>
      </w:tr>
    </w:tbl>
    <w:p>
      <w:pPr>
        <w:pStyle w:val="BodyText"/>
        <w:spacing w:line="273" w:lineRule="auto" w:before="204"/>
        <w:ind w:left="44" w:right="9374"/>
      </w:pPr>
      <w:r>
        <w:rPr/>
        <w:t>Total de inativos na folha – 2221 Total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683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44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27-09-</w:t>
      </w:r>
      <w:r>
        <w:rPr>
          <w:b/>
          <w:spacing w:val="-4"/>
          <w:sz w:val="15"/>
        </w:rPr>
        <w:t>2017</w:t>
      </w:r>
    </w:p>
    <w:sectPr>
      <w:headerReference w:type="default" r:id="rId5"/>
      <w:type w:val="continuous"/>
      <w:pgSz w:w="16840" w:h="11900" w:orient="landscape"/>
      <w:pgMar w:header="612" w:footer="0" w:top="134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0000">
          <wp:simplePos x="0" y="0"/>
          <wp:positionH relativeFrom="page">
            <wp:posOffset>4719634</wp:posOffset>
          </wp:positionH>
          <wp:positionV relativeFrom="page">
            <wp:posOffset>388445</wp:posOffset>
          </wp:positionV>
          <wp:extent cx="1039487" cy="32496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487" cy="32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657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2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Agosto-2017</dc:title>
  <dcterms:created xsi:type="dcterms:W3CDTF">2025-07-07T17:30:45Z</dcterms:created>
  <dcterms:modified xsi:type="dcterms:W3CDTF">2025-07-07T17:30:45Z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