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 w:after="1"/>
        <w:rPr>
          <w:rFonts w:ascii="Times New Roman"/>
          <w:b w:val="0"/>
          <w:sz w:val="16"/>
        </w:rPr>
      </w:pPr>
    </w:p>
    <w:p>
      <w:pPr>
        <w:pStyle w:val="BodyText"/>
        <w:ind w:left="50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8725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25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NOVEMBRO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2012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6" w:right="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783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529.019,07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259.371,56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788.390,63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Câmara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23.166,17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11.583,10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34.749,27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3063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1.886.625,12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940.650,63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2.827.275,75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2149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913.795,42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456.897,80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1.370.693,22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2.406,09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1.203,06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3.609,15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CPTRANS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1.303,80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869,20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2.173,00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12.446,75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6.223,37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18.670,12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Casimiro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878,42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439,21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1.317,63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Areal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(Outubro-</w:t>
            </w:r>
            <w:r>
              <w:rPr>
                <w:spacing w:val="-5"/>
                <w:sz w:val="19"/>
              </w:rPr>
              <w:t>12)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242,28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121,14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363,42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Justiça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508,94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254,47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763,41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JUCERJA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273,87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136,94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410,81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ALESP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427,20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213,60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640,80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DACPREV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305,47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152,74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458,21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INPAS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24.882,03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12.440,99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37.323,02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1696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32.986,69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32.986,69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663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7.709,68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9"/>
              </w:rPr>
            </w:pPr>
            <w:r>
              <w:rPr>
                <w:spacing w:val="-2"/>
                <w:sz w:val="19"/>
              </w:rPr>
              <w:t>7.709,68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6139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3.396.280,63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1.690.937,56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5.087.218,19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1696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32.986,69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32.986,69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663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7.709,68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7.709,68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/>
              <w:ind w:left="4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OUTRAS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145.078,44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Atualizações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sobre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135.264,86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Rendimentos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47.102,11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COMPREV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(Nov./13°sal.)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393.162,71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Custos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1.196,29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6" w:righ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8498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3.396.280,63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1.731.633,93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5.849.718,97</w:t>
            </w:r>
          </w:p>
        </w:tc>
      </w:tr>
    </w:tbl>
    <w:p>
      <w:pPr>
        <w:pStyle w:val="BodyText"/>
        <w:spacing w:before="213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221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45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179"/>
      </w:pPr>
      <w:r>
        <w:rPr/>
        <w:t>Valores</w:t>
      </w:r>
      <w:r>
        <w:rPr>
          <w:spacing w:val="-9"/>
        </w:rPr>
        <w:t> </w:t>
      </w:r>
      <w:r>
        <w:rPr/>
        <w:t>repassados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>
          <w:spacing w:val="-2"/>
        </w:rPr>
        <w:t>28/12/2012.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6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- 2012</dc:title>
  <dcterms:created xsi:type="dcterms:W3CDTF">2025-07-08T14:07:59Z</dcterms:created>
  <dcterms:modified xsi:type="dcterms:W3CDTF">2025-07-08T14:07:59Z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