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1507"/>
      </w:pPr>
      <w:r>
        <w:rPr/>
        <w:t>RECEITAS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CONTRIBUIÇÕES</w:t>
      </w:r>
      <w:r>
        <w:rPr>
          <w:spacing w:val="19"/>
        </w:rPr>
        <w:t> </w:t>
      </w:r>
      <w:r>
        <w:rPr/>
        <w:t>-</w:t>
      </w:r>
      <w:r>
        <w:rPr>
          <w:spacing w:val="17"/>
        </w:rPr>
        <w:t> </w:t>
      </w:r>
      <w:r>
        <w:rPr/>
        <w:t>NOVEMBRO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4"/>
        </w:rPr>
        <w:t>2018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9"/>
        <w:gridCol w:w="1731"/>
        <w:gridCol w:w="1642"/>
        <w:gridCol w:w="1644"/>
        <w:gridCol w:w="1819"/>
      </w:tblGrid>
      <w:tr>
        <w:trPr>
          <w:trHeight w:val="232" w:hRule="atLeast"/>
        </w:trPr>
        <w:tc>
          <w:tcPr>
            <w:tcW w:w="6209" w:type="dxa"/>
            <w:shd w:val="clear" w:color="auto" w:fill="C0C0C0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CONTRIBUIÇÕES</w:t>
            </w:r>
          </w:p>
        </w:tc>
        <w:tc>
          <w:tcPr>
            <w:tcW w:w="1731" w:type="dxa"/>
            <w:shd w:val="clear" w:color="auto" w:fill="C0C0C0"/>
          </w:tcPr>
          <w:p>
            <w:pPr>
              <w:pStyle w:val="TableParagraph"/>
              <w:spacing w:before="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Servidores</w:t>
            </w:r>
          </w:p>
        </w:tc>
        <w:tc>
          <w:tcPr>
            <w:tcW w:w="1642" w:type="dxa"/>
            <w:shd w:val="clear" w:color="auto" w:fill="C0C0C0"/>
          </w:tcPr>
          <w:p>
            <w:pPr>
              <w:pStyle w:val="TableParagraph"/>
              <w:spacing w:before="8"/>
              <w:ind w:left="248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Cota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Patronal</w:t>
            </w:r>
          </w:p>
        </w:tc>
        <w:tc>
          <w:tcPr>
            <w:tcW w:w="1644" w:type="dxa"/>
            <w:shd w:val="clear" w:color="auto" w:fill="C0C0C0"/>
          </w:tcPr>
          <w:p>
            <w:pPr>
              <w:pStyle w:val="TableParagraph"/>
              <w:spacing w:before="8"/>
              <w:ind w:left="1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Cota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Servidores</w:t>
            </w:r>
          </w:p>
        </w:tc>
        <w:tc>
          <w:tcPr>
            <w:tcW w:w="1819" w:type="dxa"/>
            <w:shd w:val="clear" w:color="auto" w:fill="C0C0C0"/>
          </w:tcPr>
          <w:p>
            <w:pPr>
              <w:pStyle w:val="TableParagraph"/>
              <w:spacing w:before="8"/>
              <w:ind w:left="50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Mês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Prefeitura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Petrópolis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766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569.533,89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284.766,90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854.300,79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Câmara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Petrópolis</w:t>
            </w:r>
          </w:p>
        </w:tc>
        <w:tc>
          <w:tcPr>
            <w:tcW w:w="1731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39.989,92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19.994,99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59.984,91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Fundo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Educação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3536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2.199.199,06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1.099.600,75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3.298.799,81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Fundação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Saúde</w:t>
            </w:r>
          </w:p>
        </w:tc>
        <w:tc>
          <w:tcPr>
            <w:tcW w:w="1731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1721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1.304.458,38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652.229,19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1.956.687,57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COMDEP</w:t>
            </w:r>
          </w:p>
        </w:tc>
        <w:tc>
          <w:tcPr>
            <w:tcW w:w="1731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3.333,12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1.666,57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4.999,69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Câmara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Deputados-DF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Robson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Cardinelli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326,40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163,20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489,60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Prefeitura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Casimiro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Abreu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651,62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325,81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977,43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Justiça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Federal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1.260,18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630,09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1.890,27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TJ/RJ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431,00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215,50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646,50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MPT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Bianca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Wilbert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340,38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170,19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510,57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MPT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Bianca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Wilbert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Novembro/2017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327,77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163,89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491,66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MPT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Bianca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Wilbert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Outubro/2018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340,38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170,19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510,57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Duque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Caxias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Cátia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Cilene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794,18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397,09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1.191,27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Belford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Roxo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Anderson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(Maio-</w:t>
            </w:r>
            <w:r>
              <w:rPr>
                <w:b/>
                <w:spacing w:val="-2"/>
                <w:sz w:val="17"/>
              </w:rPr>
              <w:t>2018)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169,37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169,37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Paty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Alferes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Elida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Nascimento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310,64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155,32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465,96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INPAS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ativos</w:t>
            </w:r>
          </w:p>
        </w:tc>
        <w:tc>
          <w:tcPr>
            <w:tcW w:w="1731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39.599,97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19.799,98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59.399,95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*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INPAS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inativos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302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64.353,90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64.353,90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**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INPAS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pensionistas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9.333,84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9.333,84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ativos</w:t>
            </w:r>
          </w:p>
        </w:tc>
        <w:tc>
          <w:tcPr>
            <w:tcW w:w="1731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6111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4.160.896,89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2.080.619,03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6.241.515,92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inativos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302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64.353,90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64.353,90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pensionistas</w:t>
            </w:r>
          </w:p>
        </w:tc>
        <w:tc>
          <w:tcPr>
            <w:tcW w:w="1731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9.333,84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9.333,84</w:t>
            </w:r>
          </w:p>
        </w:tc>
      </w:tr>
      <w:tr>
        <w:trPr>
          <w:trHeight w:val="232" w:hRule="atLeast"/>
        </w:trPr>
        <w:tc>
          <w:tcPr>
            <w:tcW w:w="13045" w:type="dxa"/>
            <w:gridSpan w:val="5"/>
            <w:shd w:val="clear" w:color="auto" w:fill="C0C0C0"/>
          </w:tcPr>
          <w:p>
            <w:pPr>
              <w:pStyle w:val="TableParagraph"/>
              <w:spacing w:before="8"/>
              <w:ind w:lef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OUTRAS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RECEITAS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Parcelamentos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144.537,68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Atualizações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sobre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parcelamentos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119.324,40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Rendimentos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aplicações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5.236,97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COMPREV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(Novembro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 13º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Salário/2018)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558.832,98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APORTES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8.977.427,17</w:t>
            </w:r>
          </w:p>
        </w:tc>
      </w:tr>
      <w:tr>
        <w:trPr>
          <w:trHeight w:val="226" w:hRule="atLeast"/>
        </w:trPr>
        <w:tc>
          <w:tcPr>
            <w:tcW w:w="620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Custos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operacionais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4.042,02</w:t>
            </w:r>
          </w:p>
        </w:tc>
      </w:tr>
      <w:tr>
        <w:trPr>
          <w:trHeight w:val="220" w:hRule="atLeast"/>
        </w:trPr>
        <w:tc>
          <w:tcPr>
            <w:tcW w:w="6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Aluguel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Casarão</w:t>
            </w:r>
          </w:p>
        </w:tc>
        <w:tc>
          <w:tcPr>
            <w:tcW w:w="17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2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8.200,00</w:t>
            </w:r>
          </w:p>
        </w:tc>
      </w:tr>
      <w:tr>
        <w:trPr>
          <w:trHeight w:val="226" w:hRule="atLeast"/>
        </w:trPr>
        <w:tc>
          <w:tcPr>
            <w:tcW w:w="6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Regularização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parc.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011/060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termo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134/2015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(atualizações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atraso)</w:t>
            </w:r>
          </w:p>
        </w:tc>
        <w:tc>
          <w:tcPr>
            <w:tcW w:w="1731" w:type="dxa"/>
          </w:tcPr>
          <w:p>
            <w:pPr>
              <w:pStyle w:val="TableParagraph"/>
              <w:spacing w:before="2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ind w:right="2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2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12.406,94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Duque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Caxias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Cátia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Cilene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(Outubro/18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Atualiz.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Juros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multa)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43,46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21,74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65,20</w:t>
            </w:r>
          </w:p>
        </w:tc>
      </w:tr>
      <w:tr>
        <w:trPr>
          <w:trHeight w:val="230" w:hRule="atLeast"/>
        </w:trPr>
        <w:tc>
          <w:tcPr>
            <w:tcW w:w="6209" w:type="dxa"/>
          </w:tcPr>
          <w:p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Dir.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Trabalhistas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(PMP)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Sergio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Jorge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Mattos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Costa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(por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falecimento)</w:t>
            </w:r>
          </w:p>
        </w:tc>
        <w:tc>
          <w:tcPr>
            <w:tcW w:w="1731" w:type="dxa"/>
          </w:tcPr>
          <w:p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58,75</w:t>
            </w:r>
          </w:p>
        </w:tc>
        <w:tc>
          <w:tcPr>
            <w:tcW w:w="1819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58,75</w:t>
            </w:r>
          </w:p>
        </w:tc>
      </w:tr>
      <w:tr>
        <w:trPr>
          <w:trHeight w:val="232" w:hRule="atLeast"/>
        </w:trPr>
        <w:tc>
          <w:tcPr>
            <w:tcW w:w="6209" w:type="dxa"/>
          </w:tcPr>
          <w:p>
            <w:pPr>
              <w:pStyle w:val="TableParagraph"/>
              <w:spacing w:before="8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Mês</w:t>
            </w:r>
          </w:p>
        </w:tc>
        <w:tc>
          <w:tcPr>
            <w:tcW w:w="1731" w:type="dxa"/>
          </w:tcPr>
          <w:p>
            <w:pPr>
              <w:pStyle w:val="TableParagraph"/>
              <w:spacing w:before="8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6461</w:t>
            </w:r>
          </w:p>
        </w:tc>
        <w:tc>
          <w:tcPr>
            <w:tcW w:w="1642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4.160.940,35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ind w:righ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2.154.387,26</w:t>
            </w:r>
          </w:p>
        </w:tc>
        <w:tc>
          <w:tcPr>
            <w:tcW w:w="1819" w:type="dxa"/>
          </w:tcPr>
          <w:p>
            <w:pPr>
              <w:pStyle w:val="TableParagraph"/>
              <w:spacing w:before="8"/>
              <w:ind w:right="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16.145.335,77</w:t>
            </w:r>
          </w:p>
        </w:tc>
      </w:tr>
    </w:tbl>
    <w:p>
      <w:pPr>
        <w:pStyle w:val="BodyText"/>
        <w:spacing w:before="56"/>
      </w:pPr>
    </w:p>
    <w:p>
      <w:pPr>
        <w:pStyle w:val="BodyText"/>
        <w:spacing w:line="288" w:lineRule="auto"/>
        <w:ind w:left="162" w:right="9991"/>
      </w:pPr>
      <w:r>
        <w:rPr>
          <w:w w:val="105"/>
        </w:rPr>
        <w:t>Total de inativos na folha – 2486 Total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pensionistas</w:t>
      </w:r>
      <w:r>
        <w:rPr>
          <w:spacing w:val="-13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3"/>
          <w:w w:val="105"/>
        </w:rPr>
        <w:t> </w:t>
      </w:r>
      <w:r>
        <w:rPr>
          <w:w w:val="105"/>
        </w:rPr>
        <w:t>680</w:t>
      </w:r>
    </w:p>
    <w:p>
      <w:pPr>
        <w:pStyle w:val="BodyText"/>
        <w:spacing w:before="43"/>
      </w:pPr>
    </w:p>
    <w:p>
      <w:pPr>
        <w:pStyle w:val="BodyText"/>
        <w:spacing w:before="1"/>
        <w:ind w:left="162"/>
      </w:pPr>
      <w:r>
        <w:rPr/>
        <w:t>Atualizada</w:t>
      </w:r>
      <w:r>
        <w:rPr>
          <w:spacing w:val="23"/>
        </w:rPr>
        <w:t> </w:t>
      </w:r>
      <w:r>
        <w:rPr/>
        <w:t>em:</w:t>
      </w:r>
      <w:r>
        <w:rPr>
          <w:spacing w:val="23"/>
        </w:rPr>
        <w:t> </w:t>
      </w:r>
      <w:r>
        <w:rPr/>
        <w:t>14-12-</w:t>
      </w:r>
      <w:r>
        <w:rPr>
          <w:spacing w:val="-4"/>
        </w:rPr>
        <w:t>2018</w:t>
      </w:r>
    </w:p>
    <w:sectPr>
      <w:headerReference w:type="default" r:id="rId5"/>
      <w:type w:val="continuous"/>
      <w:pgSz w:w="16840" w:h="11900" w:orient="landscape"/>
      <w:pgMar w:header="561" w:footer="0" w:top="1160" w:bottom="280" w:left="1700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15456">
          <wp:simplePos x="0" y="0"/>
          <wp:positionH relativeFrom="page">
            <wp:posOffset>5167691</wp:posOffset>
          </wp:positionH>
          <wp:positionV relativeFrom="page">
            <wp:posOffset>356445</wp:posOffset>
          </wp:positionV>
          <wp:extent cx="972428" cy="2518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428" cy="251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Novembro-2018</dc:title>
  <dcterms:created xsi:type="dcterms:W3CDTF">2025-07-07T17:09:01Z</dcterms:created>
  <dcterms:modified xsi:type="dcterms:W3CDTF">2025-07-07T17:09:01Z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