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9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Outubro/2020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23.468,16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11.734,07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35.202,23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169.360,99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84.679,93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254.040,92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134.915,70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67.457,85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202.373,55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7.364,09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7.364,09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327.744,85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163.871,85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491.616,70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7.364,09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7.364,09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12.235,65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296.948,49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974.471,88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casarão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(2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dias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Outubro/20)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632,28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Aluguel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b/>
                <w:sz w:val="17"/>
              </w:rPr>
              <w:t>(28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b/>
                <w:sz w:val="17"/>
              </w:rPr>
              <w:t>dias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Outubro/20)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b/>
                <w:sz w:val="17"/>
              </w:rPr>
              <w:t>termo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aditivo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8.851,92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327.744,85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171.235,94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1.792.121,01</w:t>
            </w:r>
          </w:p>
        </w:tc>
      </w:tr>
    </w:tbl>
    <w:p>
      <w:pPr>
        <w:pStyle w:val="BodyText"/>
        <w:spacing w:before="16"/>
        <w:rPr>
          <w:sz w:val="23"/>
        </w:rPr>
      </w:pPr>
    </w:p>
    <w:p>
      <w:pPr>
        <w:pStyle w:val="BodyText"/>
        <w:spacing w:line="280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309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before="151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1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2"/>
          <w:sz w:val="17"/>
        </w:rPr>
        <w:t> </w:t>
      </w:r>
      <w:r>
        <w:rPr>
          <w:b/>
          <w:spacing w:val="-2"/>
          <w:sz w:val="17"/>
        </w:rPr>
        <w:t>23/11/2020</w:t>
      </w:r>
    </w:p>
    <w:sectPr>
      <w:headerReference w:type="default" r:id="rId5"/>
      <w:footerReference w:type="default" r:id="rId6"/>
      <w:type w:val="continuous"/>
      <w:pgSz w:w="16840" w:h="11900" w:orient="landscape"/>
      <w:pgMar w:header="1141" w:footer="1163" w:top="2200" w:bottom="136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5107822</wp:posOffset>
              </wp:positionH>
              <wp:positionV relativeFrom="page">
                <wp:posOffset>6678046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0765pt;margin-top:525.830444pt;width:37.5pt;height:13.3pt;mso-position-horizontal-relative:page;mso-position-vertical-relative:page;z-index:-1586841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4966091</wp:posOffset>
              </wp:positionH>
              <wp:positionV relativeFrom="page">
                <wp:posOffset>711588</wp:posOffset>
              </wp:positionV>
              <wp:extent cx="75946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594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Outubro-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1.030853pt;margin-top:56.030621pt;width:59.8pt;height:13.3pt;mso-position-horizontal-relative:page;mso-position-vertical-relative:page;z-index:-15868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Outubro-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contribuições-Outubro-2020 - Previdenciário</dc:title>
  <dcterms:created xsi:type="dcterms:W3CDTF">2025-07-10T19:21:01Z</dcterms:created>
  <dcterms:modified xsi:type="dcterms:W3CDTF">2025-07-10T19:21:01Z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