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304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82302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02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Title"/>
      </w:pPr>
      <w:r>
        <w:rPr/>
        <w:t>RECEITAS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CONTRIBUIÇÕES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AGOSTO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>
          <w:spacing w:val="-4"/>
        </w:rPr>
        <w:t>2012</w:t>
      </w:r>
    </w:p>
    <w:p>
      <w:pPr>
        <w:pStyle w:val="BodyText"/>
        <w:spacing w:before="81"/>
      </w:pPr>
    </w:p>
    <w:tbl>
      <w:tblPr>
        <w:tblW w:w="0" w:type="auto"/>
        <w:jc w:val="left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6"/>
        <w:gridCol w:w="1805"/>
        <w:gridCol w:w="1831"/>
        <w:gridCol w:w="1845"/>
        <w:gridCol w:w="1990"/>
      </w:tblGrid>
      <w:tr>
        <w:trPr>
          <w:trHeight w:val="232" w:hRule="atLeast"/>
        </w:trPr>
        <w:tc>
          <w:tcPr>
            <w:tcW w:w="5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CONTRIBUIÇÕES</w:t>
            </w:r>
          </w:p>
        </w:tc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51"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Segurados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266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Patronal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156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Servidores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541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Mês</w:t>
            </w:r>
          </w:p>
        </w:tc>
      </w:tr>
      <w:tr>
        <w:trPr>
          <w:trHeight w:val="229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544.759,37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265.788,07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810.547,44</w:t>
            </w:r>
          </w:p>
        </w:tc>
      </w:tr>
      <w:tr>
        <w:trPr>
          <w:trHeight w:val="229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sz w:val="20"/>
              </w:rPr>
            </w:pPr>
            <w:r>
              <w:rPr>
                <w:sz w:val="20"/>
              </w:rPr>
              <w:t>Câmara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22.989,96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11.495,00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34.484,96</w:t>
            </w:r>
          </w:p>
        </w:tc>
      </w:tr>
      <w:tr>
        <w:trPr>
          <w:trHeight w:val="229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sz w:val="20"/>
              </w:rPr>
            </w:pPr>
            <w:r>
              <w:rPr>
                <w:sz w:val="20"/>
              </w:rPr>
              <w:t>Fundo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Educação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3025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1.841.900,34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918.430,30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2.760.330,64</w:t>
            </w:r>
          </w:p>
        </w:tc>
      </w:tr>
      <w:tr>
        <w:trPr>
          <w:trHeight w:val="229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2058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852.026,73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435.013,40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1.287.040,13</w:t>
            </w:r>
          </w:p>
        </w:tc>
      </w:tr>
      <w:tr>
        <w:trPr>
          <w:trHeight w:val="229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COMDEP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2.521,93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1.260,99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3.782,92</w:t>
            </w:r>
          </w:p>
        </w:tc>
      </w:tr>
      <w:tr>
        <w:trPr>
          <w:trHeight w:val="229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CPTRANS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487,85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243,92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731,77</w:t>
            </w:r>
          </w:p>
        </w:tc>
      </w:tr>
      <w:tr>
        <w:trPr>
          <w:trHeight w:val="229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Cultura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13.250,27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6.625,14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19.875,41</w:t>
            </w:r>
          </w:p>
        </w:tc>
      </w:tr>
      <w:tr>
        <w:trPr>
          <w:trHeight w:val="229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Casimiro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Abreu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817,96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408,98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1.226,94</w:t>
            </w:r>
          </w:p>
        </w:tc>
      </w:tr>
      <w:tr>
        <w:trPr>
          <w:trHeight w:val="229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Areal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(Julho-</w:t>
            </w:r>
            <w:r>
              <w:rPr>
                <w:spacing w:val="-5"/>
                <w:sz w:val="20"/>
              </w:rPr>
              <w:t>12)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220,74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110,37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331,11</w:t>
            </w:r>
          </w:p>
        </w:tc>
      </w:tr>
      <w:tr>
        <w:trPr>
          <w:trHeight w:val="229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sz w:val="20"/>
              </w:rPr>
            </w:pPr>
            <w:r>
              <w:rPr>
                <w:sz w:val="20"/>
              </w:rPr>
              <w:t>Justiça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(Julho-</w:t>
            </w:r>
            <w:r>
              <w:rPr>
                <w:spacing w:val="-5"/>
                <w:sz w:val="20"/>
              </w:rPr>
              <w:t>12)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503,39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251,70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755,09</w:t>
            </w:r>
          </w:p>
        </w:tc>
      </w:tr>
      <w:tr>
        <w:trPr>
          <w:trHeight w:val="229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TJ/RJ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372,45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372,45</w:t>
            </w:r>
          </w:p>
        </w:tc>
      </w:tr>
      <w:tr>
        <w:trPr>
          <w:trHeight w:val="229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ALESP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458,74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229,42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688,16</w:t>
            </w:r>
          </w:p>
        </w:tc>
      </w:tr>
      <w:tr>
        <w:trPr>
          <w:trHeight w:val="229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DACPREV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547,75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273,87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821,62</w:t>
            </w:r>
          </w:p>
        </w:tc>
      </w:tr>
      <w:tr>
        <w:trPr>
          <w:trHeight w:val="229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ativos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23.672,83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11.836,39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35.509,22</w:t>
            </w:r>
          </w:p>
        </w:tc>
      </w:tr>
      <w:tr>
        <w:trPr>
          <w:trHeight w:val="229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INPAS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inativos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1673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32.843,99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32.843,99</w:t>
            </w:r>
          </w:p>
        </w:tc>
      </w:tr>
      <w:tr>
        <w:trPr>
          <w:trHeight w:val="230" w:hRule="atLeast"/>
        </w:trPr>
        <w:tc>
          <w:tcPr>
            <w:tcW w:w="505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0"/>
              <w:ind w:left="32" w:right="0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pensionistas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0"/>
              <w:ind w:left="5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7.678,88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10" w:lineRule="exact" w:before="0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7.678,88</w:t>
            </w:r>
          </w:p>
        </w:tc>
      </w:tr>
      <w:tr>
        <w:trPr>
          <w:trHeight w:val="232" w:hRule="atLeast"/>
        </w:trPr>
        <w:tc>
          <w:tcPr>
            <w:tcW w:w="505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ativos</w:t>
            </w:r>
          </w:p>
        </w:tc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6008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3.304.157,86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1.652.340,00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4.956.497,86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inativos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1673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32.843,99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32.843,99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pensionistas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51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663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7.678,88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7.678,88</w:t>
            </w:r>
          </w:p>
        </w:tc>
      </w:tr>
      <w:tr>
        <w:trPr>
          <w:trHeight w:val="243" w:hRule="atLeast"/>
        </w:trPr>
        <w:tc>
          <w:tcPr>
            <w:tcW w:w="1252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21" w:lineRule="exact"/>
              <w:ind w:left="53" w:righ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OUTRAS</w:t>
            </w:r>
            <w:r>
              <w:rPr>
                <w:rFonts w:ascii="Arial"/>
                <w:b/>
                <w:spacing w:val="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51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145.078,44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Atualizações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122.792,65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Rendimentos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aplicações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51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77.500,46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COMPREV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51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281.453,87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Custos</w:t>
            </w:r>
            <w:r>
              <w:rPr>
                <w:rFonts w:ascii="Arial"/>
                <w:b/>
                <w:spacing w:val="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operacionais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51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1.106,96</w:t>
            </w:r>
          </w:p>
        </w:tc>
      </w:tr>
      <w:tr>
        <w:trPr>
          <w:trHeight w:val="280" w:hRule="atLeast"/>
        </w:trPr>
        <w:tc>
          <w:tcPr>
            <w:tcW w:w="505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"/>
              <w:ind w:left="37" w:right="0"/>
              <w:jc w:val="left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Total</w:t>
            </w:r>
            <w:r>
              <w:rPr>
                <w:rFonts w:ascii="Arial" w:hAnsi="Arial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"/>
              <w:ind w:left="51" w:right="2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4"/>
                <w:w w:val="105"/>
                <w:sz w:val="23"/>
              </w:rPr>
              <w:t>8344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"/>
              <w:ind w:right="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3.304.157,86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"/>
              <w:ind w:right="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1.692.862,87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2" w:lineRule="exact" w:before="8"/>
              <w:ind w:right="-1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5.624.953,11</w:t>
            </w:r>
          </w:p>
        </w:tc>
      </w:tr>
    </w:tbl>
    <w:p>
      <w:pPr>
        <w:pStyle w:val="BodyText"/>
        <w:spacing w:before="218"/>
        <w:ind w:left="18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216</w:t>
      </w:r>
    </w:p>
    <w:p>
      <w:pPr>
        <w:pStyle w:val="BodyText"/>
        <w:spacing w:line="552" w:lineRule="auto" w:before="35"/>
        <w:ind w:left="186" w:right="7665"/>
      </w:pPr>
      <w:r>
        <w:rPr/>
        <w:t>** Quantidade de pensionistas que contribuem = 46 Valores repassados até 25/09/2012.</w:t>
      </w:r>
    </w:p>
    <w:sectPr>
      <w:type w:val="continuous"/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207" w:lineRule="exact"/>
      <w:ind w:right="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AGOSTO-2012</dc:title>
  <dcterms:created xsi:type="dcterms:W3CDTF">2025-07-08T14:05:47Z</dcterms:created>
  <dcterms:modified xsi:type="dcterms:W3CDTF">2025-07-08T14:05:47Z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