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FEVEREIRO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FINANCEIRO</w:t>
      </w:r>
    </w:p>
    <w:p>
      <w:pPr>
        <w:pStyle w:val="BodyText"/>
        <w:spacing w:before="3"/>
      </w:pPr>
    </w:p>
    <w:tbl>
      <w:tblPr>
        <w:tblW w:w="0" w:type="auto"/>
        <w:jc w:val="left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642"/>
        <w:gridCol w:w="1556"/>
        <w:gridCol w:w="1642"/>
        <w:gridCol w:w="1642"/>
      </w:tblGrid>
      <w:tr>
        <w:trPr>
          <w:trHeight w:val="261" w:hRule="atLeast"/>
        </w:trPr>
        <w:tc>
          <w:tcPr>
            <w:tcW w:w="6348" w:type="dxa"/>
            <w:shd w:val="clear" w:color="auto" w:fill="BFBFBF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shd w:val="clear" w:color="auto" w:fill="BFBFBF"/>
          </w:tcPr>
          <w:p>
            <w:pPr>
              <w:pStyle w:val="TableParagraph"/>
              <w:spacing w:before="13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3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679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556.134,56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278.067,28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834.201,84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53.706,78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26.853,39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80.560,17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39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Câmara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Petrópolis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(Atualiz.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Juros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multa)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176,95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176,95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2869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1.982.710,60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991.355,30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2.974.065,90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1427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909.081,56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454.540,78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1.363.622,34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Saúde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(Atualiz.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multa)</w:t>
            </w:r>
          </w:p>
        </w:tc>
        <w:tc>
          <w:tcPr>
            <w:tcW w:w="1642" w:type="dxa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10.116,70</w:t>
            </w:r>
          </w:p>
        </w:tc>
        <w:tc>
          <w:tcPr>
            <w:tcW w:w="1642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5.058,35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15.175,05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2.203,16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1.101,58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3.304,74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COMDEP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(Atualiz.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e </w:t>
            </w:r>
            <w:r>
              <w:rPr>
                <w:b/>
                <w:spacing w:val="-2"/>
                <w:sz w:val="19"/>
              </w:rPr>
              <w:t>multa)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272,77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136,39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409,16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390,98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195,49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586,47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1.136,10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568,05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1.704,15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Paty 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360,46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180,23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540,69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42.014,02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21.007,01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63.021,03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263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</w:tr>
      <w:tr>
        <w:trPr>
          <w:trHeight w:val="131" w:hRule="atLeast"/>
        </w:trPr>
        <w:tc>
          <w:tcPr>
            <w:tcW w:w="634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6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5052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3.558.304,64</w:t>
            </w:r>
          </w:p>
        </w:tc>
        <w:tc>
          <w:tcPr>
            <w:tcW w:w="1642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1.779.063,85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5.337.368,49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263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</w:tr>
      <w:tr>
        <w:trPr>
          <w:trHeight w:val="261" w:hRule="atLeast"/>
        </w:trPr>
        <w:tc>
          <w:tcPr>
            <w:tcW w:w="12830" w:type="dxa"/>
            <w:gridSpan w:val="5"/>
            <w:shd w:val="clear" w:color="auto" w:fill="BFBFBF"/>
          </w:tcPr>
          <w:p>
            <w:pPr>
              <w:pStyle w:val="TableParagraph"/>
              <w:spacing w:before="13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9.595.432,95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12.198,00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Lucimar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Glória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Gomes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(Diferença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incorporação)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12.995,80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6.497,90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19.493,70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MPT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(Diferença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Janeiro/22)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13,96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6,98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20,94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(Diferença 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Janeiro/22)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68,34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34,17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102,51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Três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Rios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(Janeiro/22)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1.076,34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538,17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1.614,51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(Atualiz.Juros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multa)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Janeiro/22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2.989,89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1.494,95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4.484,84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Três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classificar)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398,88</w:t>
            </w:r>
          </w:p>
        </w:tc>
      </w:tr>
      <w:tr>
        <w:trPr>
          <w:trHeight w:val="297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5353</w:t>
            </w:r>
          </w:p>
        </w:tc>
        <w:tc>
          <w:tcPr>
            <w:tcW w:w="1556" w:type="dxa"/>
          </w:tcPr>
          <w:p>
            <w:pPr>
              <w:pStyle w:val="TableParagraph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3.575.448,97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1.884.949,35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15.068.428,15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297" w:lineRule="auto"/>
        <w:ind w:left="78" w:right="9582"/>
      </w:pPr>
      <w:r>
        <w:rPr/>
        <w:t>Total de inativos na folha = 2606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683</w:t>
      </w:r>
    </w:p>
    <w:p>
      <w:pPr>
        <w:pStyle w:val="BodyText"/>
        <w:spacing w:before="14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03-06-</w:t>
      </w:r>
      <w:r>
        <w:rPr>
          <w:b/>
          <w:spacing w:val="-4"/>
          <w:sz w:val="16"/>
        </w:rPr>
        <w:t>2022</w:t>
      </w:r>
    </w:p>
    <w:sectPr>
      <w:headerReference w:type="default" r:id="rId5"/>
      <w:footerReference w:type="default" r:id="rId6"/>
      <w:type w:val="continuous"/>
      <w:pgSz w:w="16840" w:h="11910" w:orient="landscape"/>
      <w:pgMar w:header="290" w:footer="475" w:top="1160" w:bottom="660" w:left="1842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5121655</wp:posOffset>
              </wp:positionH>
              <wp:positionV relativeFrom="page">
                <wp:posOffset>7119183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60.565613pt;width:35.2pt;height:12.65pt;mso-position-horizontal-relative:page;mso-position-vertical-relative:page;z-index:-1596723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48224">
          <wp:simplePos x="0" y="0"/>
          <wp:positionH relativeFrom="page">
            <wp:posOffset>5284006</wp:posOffset>
          </wp:positionH>
          <wp:positionV relativeFrom="page">
            <wp:posOffset>431480</wp:posOffset>
          </wp:positionV>
          <wp:extent cx="961938" cy="2696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938" cy="26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4926584</wp:posOffset>
              </wp:positionH>
              <wp:positionV relativeFrom="page">
                <wp:posOffset>171267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20013pt;margin-top:13.485646pt;width:66pt;height:12.65pt;mso-position-horizontal-relative:page;mso-position-vertical-relative:page;z-index:-159677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2025-07-07T16:54:23Z</dcterms:created>
  <dcterms:modified xsi:type="dcterms:W3CDTF">2025-07-07T16:54:23Z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Microsoft: Print To PDF</vt:lpwstr>
  </property>
</Properties>
</file>